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14="http://schemas.microsoft.com/office/drawing/2010/main" xmlns:dgm="http://schemas.openxmlformats.org/drawingml/2006/diagram" mc:Ignorable="w14 w15 w16se w16cid w16 w16cex w16sdtdh w16sdtfl w16du wp14">
  <w:body>
    <w:bookmarkStart w:name="_Hlk106037873" w:displacedByCustomXml="next" w:id="0"/>
    <w:bookmarkEnd w:displacedByCustomXml="next" w:id="0"/>
    <w:sdt>
      <w:sdtPr>
        <w:id w:val="964776957"/>
        <w:docPartObj>
          <w:docPartGallery w:val="Cover Pages"/>
          <w:docPartUnique/>
        </w:docPartObj>
        <w:rPr>
          <w:rFonts w:ascii="Nunito Sans" w:hAnsi="Nunito Sans" w:eastAsia="" w:cs="Calibri" w:eastAsiaTheme="majorEastAsia"/>
          <w:b w:val="1"/>
          <w:bCs w:val="1"/>
          <w:color w:val="E8A043"/>
          <w:sz w:val="22"/>
          <w:szCs w:val="22"/>
          <w:lang w:val="en-US"/>
        </w:rPr>
      </w:sdtPr>
      <w:sdtEndPr>
        <w:rPr>
          <w:rFonts w:ascii="Nunito Sans" w:hAnsi="Nunito Sans" w:eastAsia="" w:cs="Calibri" w:eastAsiaTheme="minorEastAsia"/>
          <w:b w:val="0"/>
          <w:bCs w:val="0"/>
          <w:color w:val="E1AF3B"/>
          <w:sz w:val="22"/>
          <w:szCs w:val="22"/>
          <w:lang w:val="es-ES"/>
        </w:rPr>
      </w:sdtEndPr>
      <w:sdtContent>
        <w:sdt>
          <w:sdtPr>
            <w:id w:val="-1175267750"/>
            <w:docPartObj>
              <w:docPartGallery w:val="Cover Pages"/>
              <w:docPartUnique/>
            </w:docPartObj>
            <w:rPr>
              <w:rFonts w:ascii="Nunito Sans" w:hAnsi="Nunito Sans" w:eastAsia="" w:cs="Calibri" w:eastAsiaTheme="majorEastAsia"/>
              <w:sz w:val="22"/>
              <w:szCs w:val="22"/>
            </w:rPr>
          </w:sdtPr>
          <w:sdtEndPr>
            <w:rPr>
              <w:rFonts w:ascii="Nunito Sans" w:hAnsi="Nunito Sans" w:eastAsia="" w:cs="Calibri" w:eastAsiaTheme="majorEastAsia"/>
              <w:sz w:val="22"/>
              <w:szCs w:val="22"/>
            </w:rPr>
          </w:sdtEndPr>
          <w:sdtContent>
            <w:p w:rsidRPr="007E3FC8" w:rsidR="005E3BD6" w:rsidP="005E3BD6" w:rsidRDefault="00BC695F" w14:paraId="07271FD3" w14:textId="2045DBA0">
              <w:pPr>
                <w:ind w:left="720" w:hanging="720"/>
                <w:jc w:val="both"/>
                <w:rPr>
                  <w:rFonts w:ascii="Nunito Sans" w:hAnsi="Nunito Sans" w:cs="Calibri" w:eastAsiaTheme="majorEastAsia"/>
                  <w:sz w:val="22"/>
                  <w:szCs w:val="22"/>
                </w:rPr>
              </w:pPr>
              <w:r>
                <w:rPr>
                  <w:rFonts w:ascii="Nunito Sans" w:hAnsi="Nunito Sans" w:cs="Calibri" w:eastAsiaTheme="majorEastAsia"/>
                  <w:noProof/>
                  <w:sz w:val="22"/>
                  <w:szCs w:val="22"/>
                </w:rPr>
                <mc:AlternateContent>
                  <mc:Choice Requires="wps">
                    <w:drawing>
                      <wp:anchor distT="0" distB="0" distL="114300" distR="114300" simplePos="0" relativeHeight="251658250" behindDoc="0" locked="0" layoutInCell="1" allowOverlap="1" wp14:anchorId="330753D4" wp14:editId="1F50FD10">
                        <wp:simplePos x="0" y="0"/>
                        <wp:positionH relativeFrom="column">
                          <wp:posOffset>2255520</wp:posOffset>
                        </wp:positionH>
                        <wp:positionV relativeFrom="paragraph">
                          <wp:posOffset>6898080</wp:posOffset>
                        </wp:positionV>
                        <wp:extent cx="914400" cy="297180"/>
                        <wp:effectExtent l="0" t="0" r="0" b="0"/>
                        <wp:wrapNone/>
                        <wp:docPr id="713300606" name="Cuadro de texto 3"/>
                        <wp:cNvGraphicFramePr/>
                        <a:graphic xmlns:a="http://schemas.openxmlformats.org/drawingml/2006/main">
                          <a:graphicData uri="http://schemas.microsoft.com/office/word/2010/wordprocessingShape">
                            <wps:wsp>
                              <wps:cNvSpPr txBox="1"/>
                              <wps:spPr>
                                <a:xfrm>
                                  <a:off x="0" y="0"/>
                                  <a:ext cx="914400" cy="297180"/>
                                </a:xfrm>
                                <a:prstGeom prst="rect">
                                  <a:avLst/>
                                </a:prstGeom>
                                <a:noFill/>
                                <a:ln w="6350">
                                  <a:noFill/>
                                </a:ln>
                              </wps:spPr>
                              <wps:txbx>
                                <w:txbxContent>
                                  <w:p w:rsidRPr="00BC695F" w:rsidR="00BC695F" w:rsidRDefault="00BC695F" w14:paraId="09A38AD1" w14:textId="178A6D92">
                                    <w:pPr>
                                      <w:rPr>
                                        <w:rFonts w:ascii="Lato" w:hAnsi="Lato"/>
                                        <w:color w:val="FFFFFF" w:themeColor="background1"/>
                                        <w:sz w:val="72"/>
                                        <w:szCs w:val="72"/>
                                      </w:rPr>
                                    </w:pPr>
                                    <w:r w:rsidRPr="00BC695F">
                                      <w:rPr>
                                        <w:rFonts w:ascii="Lato" w:hAnsi="Lato"/>
                                        <w:color w:val="FFFFFF" w:themeColor="background1"/>
                                        <w:sz w:val="72"/>
                                        <w:szCs w:val="72"/>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w14:anchorId="330753D4">
                        <v:stroke joinstyle="miter"/>
                        <v:path gradientshapeok="t" o:connecttype="rect"/>
                      </v:shapetype>
                      <v:shape id="Cuadro de texto 3" style="position:absolute;left:0;text-align:left;margin-left:177.6pt;margin-top:543.15pt;width:1in;height:23.4pt;z-index:25165825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ed="f" stroked="f" strokeweight=".5pt"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">
                        <v:textbox>
                          <w:txbxContent>
                            <w:p w:rsidRPr="00BC695F" w:rsidR="00BC695F" w:rsidRDefault="00BC695F" w14:paraId="09A38AD1" w14:textId="178A6D92">
                              <w:pPr>
                                <w:rPr>
                                  <w:rFonts w:ascii="Lato" w:hAnsi="Lato"/>
                                  <w:color w:val="FFFFFF" w:themeColor="background1"/>
                                  <w:sz w:val="72"/>
                                  <w:szCs w:val="72"/>
                                </w:rPr>
                              </w:pPr>
                              <w:r w:rsidRPr="00BC695F">
                                <w:rPr>
                                  <w:rFonts w:ascii="Lato" w:hAnsi="Lato"/>
                                  <w:color w:val="FFFFFF" w:themeColor="background1"/>
                                  <w:sz w:val="72"/>
                                  <w:szCs w:val="72"/>
                                </w:rPr>
                                <w:t>´</w:t>
                              </w:r>
                            </w:p>
                          </w:txbxContent>
                        </v:textbox>
                      </v:shape>
                    </w:pict>
                  </mc:Fallback>
                </mc:AlternateContent>
              </w:r>
              <w:r w:rsidRPr="007E3FC8" w:rsidR="005E3BD6">
                <w:rPr>
                  <w:rFonts w:ascii="Nunito Sans" w:hAnsi="Nunito Sans" w:cs="Calibri" w:eastAsiaTheme="majorEastAsia"/>
                  <w:noProof/>
                  <w:sz w:val="22"/>
                  <w:szCs w:val="22"/>
                </w:rPr>
                <w:drawing>
                  <wp:anchor distT="0" distB="0" distL="114300" distR="114300" simplePos="0" relativeHeight="251658249" behindDoc="0" locked="0" layoutInCell="1" allowOverlap="1" wp14:anchorId="39E87F0A" wp14:editId="6462BDFF">
                    <wp:simplePos x="0" y="0"/>
                    <wp:positionH relativeFrom="page">
                      <wp:posOffset>0</wp:posOffset>
                    </wp:positionH>
                    <wp:positionV relativeFrom="margin">
                      <wp:posOffset>-1420451</wp:posOffset>
                    </wp:positionV>
                    <wp:extent cx="7772400" cy="10367645"/>
                    <wp:effectExtent l="0" t="0" r="0" b="0"/>
                    <wp:wrapSquare wrapText="bothSides"/>
                    <wp:docPr id="1010167405"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167405" name="Imagen 1010167405"/>
                            <pic:cNvPicPr/>
                          </pic:nvPicPr>
                          <pic:blipFill>
                            <a:blip r:embed="rId11"/>
                            <a:stretch>
                              <a:fillRect/>
                            </a:stretch>
                          </pic:blipFill>
                          <pic:spPr>
                            <a:xfrm>
                              <a:off x="0" y="0"/>
                              <a:ext cx="7772400" cy="10367645"/>
                            </a:xfrm>
                            <a:prstGeom prst="rect">
                              <a:avLst/>
                            </a:prstGeom>
                          </pic:spPr>
                        </pic:pic>
                      </a:graphicData>
                    </a:graphic>
                    <wp14:sizeRelH relativeFrom="margin">
                      <wp14:pctWidth>0</wp14:pctWidth>
                    </wp14:sizeRelH>
                    <wp14:sizeRelV relativeFrom="margin">
                      <wp14:pctHeight>0</wp14:pctHeight>
                    </wp14:sizeRelV>
                  </wp:anchor>
                </w:drawing>
              </w:r>
            </w:p>
          </w:sdtContent>
        </w:sdt>
        <w:p w:rsidRPr="007E3FC8" w:rsidR="005E3BD6" w:rsidP="005E3BD6" w:rsidRDefault="005E3BD6" w14:paraId="02FC980E" w14:textId="77777777">
          <w:pPr>
            <w:jc w:val="both"/>
            <w:rPr>
              <w:rFonts w:ascii="Nunito Sans" w:hAnsi="Nunito Sans" w:cs="Calibri"/>
              <w:sz w:val="22"/>
              <w:szCs w:val="22"/>
            </w:rPr>
          </w:pPr>
        </w:p>
        <w:p w:rsidRPr="007E3FC8" w:rsidR="005E3BD6" w:rsidP="005E3BD6" w:rsidRDefault="005E3BD6" w14:paraId="2F61FF9E" w14:textId="77777777">
          <w:pPr>
            <w:jc w:val="both"/>
            <w:rPr>
              <w:rFonts w:ascii="Nunito Sans" w:hAnsi="Nunito Sans" w:cs="Calibri"/>
              <w:sz w:val="22"/>
              <w:szCs w:val="22"/>
            </w:rPr>
          </w:pPr>
        </w:p>
        <w:p w:rsidRPr="00C20FDF" w:rsidR="005E3BD6" w:rsidP="005E3BD6" w:rsidRDefault="005E3BD6" w14:paraId="5D982285" w14:textId="77777777">
          <w:pPr>
            <w:jc w:val="both"/>
            <w:rPr>
              <w:rFonts w:ascii="Nunito Sans" w:hAnsi="Nunito Sans" w:cs="Calibri"/>
            </w:rPr>
          </w:pPr>
        </w:p>
        <w:p w:rsidRPr="00C20FDF" w:rsidR="005E3BD6" w:rsidP="005E3BD6" w:rsidRDefault="005E3BD6" w14:paraId="30713C28" w14:textId="77777777">
          <w:pPr>
            <w:jc w:val="both"/>
            <w:rPr>
              <w:rFonts w:ascii="Nunito Sans" w:hAnsi="Nunito Sans" w:cs="Calibri"/>
              <w:sz w:val="22"/>
              <w:szCs w:val="22"/>
            </w:rPr>
          </w:pPr>
          <w:r w:rsidRPr="00C20FDF">
            <w:rPr>
              <w:rFonts w:ascii="Nunito Sans" w:hAnsi="Nunito Sans" w:cs="Calibri"/>
              <w:sz w:val="22"/>
              <w:szCs w:val="22"/>
            </w:rPr>
            <w:t xml:space="preserve">Ministerio de Minas y Energía </w:t>
          </w:r>
        </w:p>
        <w:p w:rsidRPr="00C20FDF" w:rsidR="005E3BD6" w:rsidP="005E3BD6" w:rsidRDefault="005E3BD6" w14:paraId="031D9D55" w14:textId="77777777">
          <w:pPr>
            <w:jc w:val="both"/>
            <w:rPr>
              <w:rFonts w:ascii="Nunito Sans" w:hAnsi="Nunito Sans" w:cs="Calibri"/>
              <w:sz w:val="22"/>
              <w:szCs w:val="22"/>
            </w:rPr>
          </w:pPr>
          <w:r w:rsidRPr="00C20FDF">
            <w:rPr>
              <w:rFonts w:ascii="Nunito Sans" w:hAnsi="Nunito Sans" w:cs="Calibri"/>
              <w:sz w:val="22"/>
              <w:szCs w:val="22"/>
            </w:rPr>
            <w:t>Secretaría General</w:t>
          </w:r>
        </w:p>
        <w:p w:rsidRPr="00C20FDF" w:rsidR="005E3BD6" w:rsidP="005E3BD6" w:rsidRDefault="005E3BD6" w14:paraId="22296E58" w14:textId="77777777">
          <w:pPr>
            <w:jc w:val="both"/>
            <w:rPr>
              <w:rFonts w:ascii="Nunito Sans" w:hAnsi="Nunito Sans" w:cs="Calibri"/>
              <w:sz w:val="22"/>
              <w:szCs w:val="22"/>
            </w:rPr>
          </w:pPr>
          <w:r w:rsidRPr="00C20FDF">
            <w:rPr>
              <w:rFonts w:ascii="Nunito Sans" w:hAnsi="Nunito Sans" w:cs="Calibri"/>
              <w:sz w:val="22"/>
              <w:szCs w:val="22"/>
            </w:rPr>
            <w:t>Dirección de Gobierno Digital</w:t>
          </w:r>
        </w:p>
        <w:p w:rsidRPr="00C20FDF" w:rsidR="005E3BD6" w:rsidP="005E3BD6" w:rsidRDefault="005E3BD6" w14:paraId="2A7ADCBF" w14:textId="77777777">
          <w:pPr>
            <w:jc w:val="both"/>
            <w:rPr>
              <w:rFonts w:ascii="Nunito Sans" w:hAnsi="Nunito Sans" w:cs="Calibri"/>
              <w:sz w:val="22"/>
              <w:szCs w:val="22"/>
            </w:rPr>
          </w:pPr>
          <w:r w:rsidRPr="00C20FDF">
            <w:rPr>
              <w:rFonts w:ascii="Nunito Sans" w:hAnsi="Nunito Sans" w:cs="Calibri"/>
              <w:sz w:val="22"/>
              <w:szCs w:val="22"/>
            </w:rPr>
            <w:t>Subdirección de Estándares y Arquitectura de Tecnologías de la Información</w:t>
          </w:r>
        </w:p>
        <w:p w:rsidRPr="00C20FDF" w:rsidR="005E3BD6" w:rsidP="005E3BD6" w:rsidRDefault="005E3BD6" w14:paraId="46734D66" w14:textId="77777777">
          <w:pPr>
            <w:jc w:val="both"/>
            <w:rPr>
              <w:rFonts w:ascii="Nunito Sans" w:hAnsi="Nunito Sans" w:cs="Calibri"/>
              <w:sz w:val="22"/>
              <w:szCs w:val="22"/>
            </w:rPr>
          </w:pPr>
        </w:p>
        <w:p w:rsidRPr="00C20FDF" w:rsidR="005E3BD6" w:rsidP="005E3BD6" w:rsidRDefault="005E3BD6" w14:paraId="506D1CDE" w14:textId="77777777">
          <w:pPr>
            <w:jc w:val="both"/>
            <w:rPr>
              <w:rFonts w:ascii="Nunito Sans" w:hAnsi="Nunito Sans" w:cs="Calibri"/>
              <w:sz w:val="22"/>
              <w:szCs w:val="22"/>
            </w:rPr>
          </w:pPr>
        </w:p>
        <w:p w:rsidRPr="004417A7" w:rsidR="005E3BD6" w:rsidP="005E3BD6" w:rsidRDefault="005E3BD6" w14:paraId="04F95030" w14:textId="77777777">
          <w:pPr>
            <w:jc w:val="both"/>
            <w:rPr>
              <w:rFonts w:ascii="Nunito Sans" w:hAnsi="Nunito Sans" w:cs="Calibri"/>
              <w:color w:val="EDB600"/>
              <w:sz w:val="22"/>
              <w:szCs w:val="22"/>
            </w:rPr>
          </w:pPr>
          <w:r w:rsidRPr="004417A7">
            <w:rPr>
              <w:rFonts w:ascii="Nunito Sans" w:hAnsi="Nunito Sans" w:cs="Calibri"/>
              <w:color w:val="EDB600"/>
              <w:sz w:val="22"/>
              <w:szCs w:val="22"/>
            </w:rPr>
            <w:t>Equipo de trabajo</w:t>
          </w:r>
        </w:p>
        <w:p w:rsidRPr="00C20FDF" w:rsidR="005E3BD6" w:rsidP="005E3BD6" w:rsidRDefault="005E3BD6" w14:paraId="6B85E540" w14:textId="77777777">
          <w:pPr>
            <w:jc w:val="both"/>
            <w:rPr>
              <w:rFonts w:ascii="Nunito Sans" w:hAnsi="Nunito Sans" w:cs="Calibri"/>
              <w:sz w:val="22"/>
              <w:szCs w:val="22"/>
            </w:rPr>
          </w:pPr>
          <w:bookmarkStart w:name="_Hlk113443960" w:id="1"/>
          <w:bookmarkStart w:name="_Hlk118789320" w:id="2"/>
          <w:r w:rsidRPr="00C20FDF">
            <w:rPr>
              <w:rFonts w:ascii="Nunito Sans" w:hAnsi="Nunito Sans" w:eastAsia="Work Sans" w:cs="Calibri"/>
              <w:sz w:val="22"/>
              <w:szCs w:val="22"/>
            </w:rPr>
            <w:t>Edwin Palma Egea</w:t>
          </w:r>
          <w:r w:rsidRPr="00C20FDF">
            <w:rPr>
              <w:rFonts w:ascii="Nunito Sans" w:hAnsi="Nunito Sans" w:cs="Calibri"/>
              <w:sz w:val="22"/>
              <w:szCs w:val="22"/>
            </w:rPr>
            <w:t xml:space="preserve"> - Ministro de Minas y Energía </w:t>
          </w:r>
        </w:p>
        <w:bookmarkEnd w:id="1"/>
        <w:bookmarkEnd w:id="2"/>
        <w:p w:rsidRPr="00C20FDF" w:rsidR="005E3BD6" w:rsidP="005E3BD6" w:rsidRDefault="005E3BD6" w14:paraId="0AB8C1B6" w14:textId="77777777">
          <w:pPr>
            <w:jc w:val="both"/>
            <w:rPr>
              <w:rFonts w:ascii="Nunito Sans" w:hAnsi="Nunito Sans" w:cs="Calibri"/>
              <w:sz w:val="22"/>
              <w:szCs w:val="22"/>
            </w:rPr>
          </w:pPr>
          <w:r w:rsidRPr="00C20FDF">
            <w:rPr>
              <w:rFonts w:ascii="Nunito Sans" w:hAnsi="Nunito Sans" w:cs="Calibri"/>
              <w:sz w:val="22"/>
              <w:szCs w:val="22"/>
            </w:rPr>
            <w:t>Comisión Estratégica de Tecnologías de la Información y de Datos del Sector Minero Energético.​</w:t>
          </w:r>
        </w:p>
        <w:p w:rsidRPr="00C20FDF" w:rsidR="005E3BD6" w:rsidP="005E3BD6" w:rsidRDefault="005E3BD6" w14:paraId="6CEC2786" w14:textId="77777777">
          <w:pPr>
            <w:jc w:val="both"/>
            <w:rPr>
              <w:rFonts w:ascii="Nunito Sans" w:hAnsi="Nunito Sans" w:cs="Calibri"/>
              <w:sz w:val="22"/>
              <w:szCs w:val="22"/>
            </w:rPr>
          </w:pPr>
        </w:p>
        <w:p w:rsidRPr="004417A7" w:rsidR="005E3BD6" w:rsidP="005E3BD6" w:rsidRDefault="005E3BD6" w14:paraId="3AB539AA" w14:textId="77777777">
          <w:pPr>
            <w:jc w:val="both"/>
            <w:rPr>
              <w:rFonts w:ascii="Nunito Sans" w:hAnsi="Nunito Sans" w:cs="Calibri"/>
              <w:color w:val="EDB600"/>
              <w:sz w:val="22"/>
              <w:szCs w:val="22"/>
            </w:rPr>
          </w:pPr>
          <w:r w:rsidRPr="004417A7">
            <w:rPr>
              <w:rFonts w:ascii="Nunito Sans" w:hAnsi="Nunito Sans" w:cs="Calibri"/>
              <w:color w:val="EDB600"/>
              <w:sz w:val="22"/>
              <w:szCs w:val="22"/>
            </w:rPr>
            <w:t>Datos</w:t>
          </w:r>
        </w:p>
        <w:p w:rsidRPr="00C20FDF" w:rsidR="005E3BD6" w:rsidP="005E3BD6" w:rsidRDefault="005E3BD6" w14:paraId="5571FD82" w14:textId="59557BF7">
          <w:pPr>
            <w:jc w:val="both"/>
            <w:rPr>
              <w:rFonts w:ascii="Nunito Sans" w:hAnsi="Nunito Sans" w:cs="Calibri"/>
              <w:i/>
              <w:iCs/>
              <w:color w:val="E6B543"/>
              <w:sz w:val="22"/>
              <w:szCs w:val="22"/>
            </w:rPr>
          </w:pPr>
          <w:r w:rsidRPr="00C20FDF">
            <w:rPr>
              <w:rFonts w:ascii="Nunito Sans" w:hAnsi="Nunito Sans" w:cs="Calibri"/>
              <w:sz w:val="22"/>
              <w:szCs w:val="22"/>
            </w:rPr>
            <w:t xml:space="preserve">Líder de la Gestión Estratégica de la Información </w:t>
          </w:r>
          <w:r w:rsidR="00D44F62">
            <w:rPr>
              <w:rFonts w:ascii="Nunito Sans" w:hAnsi="Nunito Sans" w:cs="Calibri"/>
              <w:sz w:val="22"/>
              <w:szCs w:val="22"/>
            </w:rPr>
            <w:t>d</w:t>
          </w:r>
          <w:r w:rsidRPr="00C20FDF">
            <w:rPr>
              <w:rFonts w:ascii="Nunito Sans" w:hAnsi="Nunito Sans" w:cs="Calibri"/>
              <w:sz w:val="22"/>
              <w:szCs w:val="22"/>
            </w:rPr>
            <w:t xml:space="preserve">el Sector Minero </w:t>
          </w:r>
          <w:r w:rsidR="00D44F62">
            <w:rPr>
              <w:rFonts w:ascii="Nunito Sans" w:hAnsi="Nunito Sans" w:cs="Calibri"/>
              <w:sz w:val="22"/>
              <w:szCs w:val="22"/>
            </w:rPr>
            <w:t>E</w:t>
          </w:r>
          <w:r w:rsidRPr="00C20FDF">
            <w:rPr>
              <w:rFonts w:ascii="Nunito Sans" w:hAnsi="Nunito Sans" w:cs="Calibri"/>
              <w:sz w:val="22"/>
              <w:szCs w:val="22"/>
            </w:rPr>
            <w:t>nergético ​– CIO</w:t>
          </w:r>
        </w:p>
        <w:p w:rsidRPr="00C20FDF" w:rsidR="005E3BD6" w:rsidP="005E3BD6" w:rsidRDefault="005E3BD6" w14:paraId="11173A66" w14:textId="77777777">
          <w:pPr>
            <w:jc w:val="both"/>
            <w:rPr>
              <w:rFonts w:ascii="Nunito Sans" w:hAnsi="Nunito Sans" w:cs="Calibri"/>
              <w:sz w:val="22"/>
              <w:szCs w:val="22"/>
            </w:rPr>
          </w:pPr>
          <w:r w:rsidRPr="00C20FDF">
            <w:rPr>
              <w:rFonts w:ascii="Nunito Sans" w:hAnsi="Nunito Sans" w:cs="Calibri"/>
              <w:sz w:val="22"/>
              <w:szCs w:val="22"/>
            </w:rPr>
            <w:t>UPME a través de la oficina de gestión de la información.</w:t>
          </w:r>
        </w:p>
        <w:p w:rsidRPr="00C20FDF" w:rsidR="005E3BD6" w:rsidP="005E3BD6" w:rsidRDefault="005E3BD6" w14:paraId="43280A2F" w14:textId="77777777">
          <w:pPr>
            <w:jc w:val="both"/>
            <w:rPr>
              <w:rFonts w:ascii="Nunito Sans" w:hAnsi="Nunito Sans" w:cs="Calibri"/>
              <w:sz w:val="22"/>
              <w:szCs w:val="22"/>
            </w:rPr>
          </w:pPr>
        </w:p>
        <w:p w:rsidRPr="00C20FDF" w:rsidR="005E3BD6" w:rsidP="005E3BD6" w:rsidRDefault="005E3BD6" w14:paraId="721B9094" w14:textId="77777777">
          <w:pPr>
            <w:jc w:val="both"/>
            <w:rPr>
              <w:rFonts w:ascii="Nunito Sans" w:hAnsi="Nunito Sans" w:cs="Calibri"/>
              <w:color w:val="FFC000"/>
              <w:sz w:val="22"/>
              <w:szCs w:val="22"/>
            </w:rPr>
          </w:pPr>
          <w:r w:rsidRPr="004417A7">
            <w:rPr>
              <w:rFonts w:ascii="Nunito Sans" w:hAnsi="Nunito Sans" w:cs="Calibri"/>
              <w:color w:val="EDB600"/>
              <w:sz w:val="22"/>
              <w:szCs w:val="22"/>
            </w:rPr>
            <w:t>Tecnología de Información</w:t>
          </w:r>
        </w:p>
        <w:p w:rsidRPr="00C20FDF" w:rsidR="005E3BD6" w:rsidP="005E3BD6" w:rsidRDefault="005E3BD6" w14:paraId="26866000" w14:textId="77777777">
          <w:pPr>
            <w:jc w:val="both"/>
            <w:rPr>
              <w:rFonts w:ascii="Nunito Sans" w:hAnsi="Nunito Sans" w:cs="Calibri"/>
              <w:sz w:val="22"/>
              <w:szCs w:val="22"/>
            </w:rPr>
          </w:pPr>
          <w:r w:rsidRPr="00C20FDF">
            <w:rPr>
              <w:rFonts w:ascii="Nunito Sans" w:hAnsi="Nunito Sans" w:cs="Calibri"/>
              <w:sz w:val="22"/>
              <w:szCs w:val="22"/>
            </w:rPr>
            <w:t>Líder de la Gestión Estratégica de Infraestructura y Aplicaciones de Tecnologías de la Información del Sector Minero Energético – CTO</w:t>
          </w:r>
        </w:p>
        <w:p w:rsidRPr="00C20FDF" w:rsidR="005E3BD6" w:rsidP="005E3BD6" w:rsidRDefault="005E3BD6" w14:paraId="0C1D9893" w14:textId="77777777">
          <w:pPr>
            <w:jc w:val="both"/>
            <w:rPr>
              <w:rFonts w:ascii="Nunito Sans" w:hAnsi="Nunito Sans" w:cs="Calibri"/>
              <w:sz w:val="22"/>
              <w:szCs w:val="22"/>
            </w:rPr>
          </w:pPr>
          <w:r w:rsidRPr="00C20FDF">
            <w:rPr>
              <w:rFonts w:ascii="Nunito Sans" w:hAnsi="Nunito Sans" w:cs="Calibri"/>
              <w:sz w:val="22"/>
              <w:szCs w:val="22"/>
            </w:rPr>
            <w:t>Comité Interinstitucional de Tecnologías de la Información y Comunicaciones del Sector Minero Energético.</w:t>
          </w:r>
        </w:p>
        <w:p w:rsidRPr="00C20FDF" w:rsidR="005E3BD6" w:rsidP="005E3BD6" w:rsidRDefault="005E3BD6" w14:paraId="6672F832" w14:textId="77777777">
          <w:pPr>
            <w:jc w:val="both"/>
            <w:rPr>
              <w:rFonts w:ascii="Nunito Sans" w:hAnsi="Nunito Sans" w:cs="Calibri"/>
              <w:sz w:val="22"/>
              <w:szCs w:val="22"/>
            </w:rPr>
          </w:pPr>
          <w:r w:rsidRPr="00C20FDF">
            <w:rPr>
              <w:rFonts w:ascii="Nunito Sans" w:hAnsi="Nunito Sans" w:cs="Calibri"/>
              <w:sz w:val="22"/>
              <w:szCs w:val="22"/>
            </w:rPr>
            <w:t xml:space="preserve">Equipos tácticos operativos. </w:t>
          </w:r>
        </w:p>
        <w:p w:rsidR="005E3BD6" w:rsidP="005E3BD6" w:rsidRDefault="005E3BD6" w14:paraId="63A88A3A" w14:textId="77777777">
          <w:pPr>
            <w:jc w:val="both"/>
            <w:rPr>
              <w:rFonts w:ascii="Nunito Sans" w:hAnsi="Nunito Sans" w:cs="Calibri"/>
              <w:sz w:val="22"/>
              <w:szCs w:val="22"/>
            </w:rPr>
          </w:pPr>
        </w:p>
        <w:p w:rsidRPr="007E3FC8" w:rsidR="005E3BD6" w:rsidP="005E3BD6" w:rsidRDefault="005E3BD6" w14:paraId="53CBBAC5" w14:textId="77777777">
          <w:pPr>
            <w:jc w:val="both"/>
            <w:rPr>
              <w:rFonts w:ascii="Nunito Sans" w:hAnsi="Nunito Sans" w:cs="Calibri"/>
              <w:sz w:val="22"/>
              <w:szCs w:val="22"/>
            </w:rPr>
          </w:pPr>
        </w:p>
        <w:tbl>
          <w:tblPr>
            <w:tblStyle w:val="TablasMinTIC1"/>
            <w:tblW w:w="9072" w:type="dxa"/>
            <w:tblLayout w:type="fixed"/>
            <w:tblLook w:val="04A0" w:firstRow="1" w:lastRow="0" w:firstColumn="1" w:lastColumn="0" w:noHBand="0" w:noVBand="1"/>
          </w:tblPr>
          <w:tblGrid>
            <w:gridCol w:w="3402"/>
            <w:gridCol w:w="5670"/>
          </w:tblGrid>
          <w:tr w:rsidRPr="007E3FC8" w:rsidR="005E3BD6" w:rsidTr="2FC2A464" w14:paraId="6A6E99A9"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02" w:type="dxa"/>
                <w:tcBorders>
                  <w:bottom w:val="single" w:color="E1AF3B" w:sz="4" w:space="0"/>
                </w:tcBorders>
              </w:tcPr>
              <w:p w:rsidRPr="00DE22CA" w:rsidR="005E3BD6" w:rsidP="00B4771C" w:rsidRDefault="005E3BD6" w14:paraId="49C90064" w14:textId="77777777">
                <w:pPr>
                  <w:jc w:val="both"/>
                  <w:rPr>
                    <w:rFonts w:ascii="Nunito Sans" w:hAnsi="Nunito Sans" w:cs="Calibri"/>
                    <w:color w:val="EDB600"/>
                    <w:sz w:val="20"/>
                    <w:szCs w:val="20"/>
                  </w:rPr>
                </w:pPr>
                <w:r w:rsidRPr="00DE22CA">
                  <w:rPr>
                    <w:rFonts w:ascii="Nunito Sans" w:hAnsi="Nunito Sans" w:cs="Calibri"/>
                    <w:color w:val="EDB600"/>
                    <w:sz w:val="20"/>
                    <w:szCs w:val="20"/>
                  </w:rPr>
                  <w:t>Versión</w:t>
                </w:r>
              </w:p>
            </w:tc>
            <w:tc>
              <w:tcPr>
                <w:tcW w:w="5670" w:type="dxa"/>
                <w:tcBorders>
                  <w:bottom w:val="single" w:color="E1AF3B" w:sz="4" w:space="0"/>
                </w:tcBorders>
              </w:tcPr>
              <w:p w:rsidRPr="00DE22CA" w:rsidR="005E3BD6" w:rsidP="00B4771C" w:rsidRDefault="005E3BD6" w14:paraId="3F20DA97" w14:textId="77777777">
                <w:pPr>
                  <w:jc w:val="both"/>
                  <w:cnfStyle w:val="100000000000" w:firstRow="1" w:lastRow="0" w:firstColumn="0" w:lastColumn="0" w:oddVBand="0" w:evenVBand="0" w:oddHBand="0" w:evenHBand="0" w:firstRowFirstColumn="0" w:firstRowLastColumn="0" w:lastRowFirstColumn="0" w:lastRowLastColumn="0"/>
                  <w:rPr>
                    <w:rFonts w:ascii="Nunito Sans" w:hAnsi="Nunito Sans" w:cs="Calibri"/>
                    <w:color w:val="EDB600"/>
                    <w:sz w:val="20"/>
                    <w:szCs w:val="20"/>
                  </w:rPr>
                </w:pPr>
                <w:r w:rsidRPr="00DE22CA">
                  <w:rPr>
                    <w:rFonts w:ascii="Nunito Sans" w:hAnsi="Nunito Sans" w:cs="Calibri"/>
                    <w:color w:val="EDB600"/>
                    <w:sz w:val="20"/>
                    <w:szCs w:val="20"/>
                  </w:rPr>
                  <w:t>Observaciones</w:t>
                </w:r>
              </w:p>
            </w:tc>
          </w:tr>
          <w:tr w:rsidRPr="007E3FC8" w:rsidR="005E3BD6" w:rsidTr="2FC2A464" w14:paraId="17D53A4C" w14:textId="77777777">
            <w:trPr>
              <w:trHeight w:val="1054"/>
            </w:trPr>
            <w:tc>
              <w:tcPr>
                <w:cnfStyle w:val="001000000000" w:firstRow="0" w:lastRow="0" w:firstColumn="1" w:lastColumn="0" w:oddVBand="0" w:evenVBand="0" w:oddHBand="0" w:evenHBand="0" w:firstRowFirstColumn="0" w:firstRowLastColumn="0" w:lastRowFirstColumn="0" w:lastRowLastColumn="0"/>
                <w:tcW w:w="3402" w:type="dxa"/>
                <w:tcBorders>
                  <w:top w:val="single" w:color="E1AF3B" w:sz="4" w:space="0"/>
                </w:tcBorders>
              </w:tcPr>
              <w:p w:rsidRPr="00DE22CA" w:rsidR="005E3BD6" w:rsidP="00B4771C" w:rsidRDefault="005E3BD6" w14:paraId="3009DB30" w14:textId="378752A2">
                <w:pPr>
                  <w:jc w:val="both"/>
                  <w:rPr>
                    <w:rFonts w:ascii="Nunito Sans" w:hAnsi="Nunito Sans" w:eastAsia="Work Sans" w:cs="Calibri"/>
                    <w:color w:val="000000" w:themeColor="text1"/>
                  </w:rPr>
                </w:pPr>
                <w:r w:rsidRPr="2FC2A464">
                  <w:rPr>
                    <w:rFonts w:ascii="Nunito Sans" w:hAnsi="Nunito Sans" w:eastAsia="Work Sans" w:cs="Calibri"/>
                    <w:color w:val="000000" w:themeColor="text1"/>
                  </w:rPr>
                  <w:t xml:space="preserve">Versión </w:t>
                </w:r>
                <w:r w:rsidRPr="2FC2A464" w:rsidR="74AD0499">
                  <w:rPr>
                    <w:rFonts w:ascii="Nunito Sans" w:hAnsi="Nunito Sans" w:eastAsia="Work Sans" w:cs="Calibri"/>
                    <w:color w:val="000000" w:themeColor="text1"/>
                  </w:rPr>
                  <w:t>2</w:t>
                </w:r>
                <w:r w:rsidRPr="2FC2A464">
                  <w:rPr>
                    <w:rFonts w:ascii="Nunito Sans" w:hAnsi="Nunito Sans" w:eastAsia="Work Sans" w:cs="Calibri"/>
                    <w:color w:val="000000" w:themeColor="text1"/>
                  </w:rPr>
                  <w:t>.0</w:t>
                </w:r>
              </w:p>
              <w:p w:rsidRPr="00DE22CA" w:rsidR="005E3BD6" w:rsidP="00B4771C" w:rsidRDefault="766F4299" w14:paraId="052A7E68" w14:textId="3D45D1CF">
                <w:pPr>
                  <w:ind w:left="708" w:hanging="708"/>
                  <w:jc w:val="both"/>
                  <w:rPr>
                    <w:rFonts w:ascii="Nunito Sans" w:hAnsi="Nunito Sans" w:eastAsia="Work Sans" w:cs="Calibri"/>
                    <w:color w:val="000000" w:themeColor="text1"/>
                  </w:rPr>
                </w:pPr>
                <w:r w:rsidRPr="7FF4A623">
                  <w:rPr>
                    <w:rFonts w:ascii="Nunito Sans" w:hAnsi="Nunito Sans" w:eastAsia="Work Sans" w:cs="Calibri"/>
                    <w:color w:val="000000" w:themeColor="text1"/>
                  </w:rPr>
                  <w:t>Junio</w:t>
                </w:r>
                <w:r w:rsidRPr="7FF4A623" w:rsidR="005E3BD6">
                  <w:rPr>
                    <w:rFonts w:ascii="Nunito Sans" w:hAnsi="Nunito Sans" w:eastAsia="Work Sans" w:cs="Calibri"/>
                    <w:color w:val="000000" w:themeColor="text1"/>
                  </w:rPr>
                  <w:t xml:space="preserve"> 202</w:t>
                </w:r>
                <w:r w:rsidRPr="7FF4A623" w:rsidR="6196FF07">
                  <w:rPr>
                    <w:rFonts w:ascii="Nunito Sans" w:hAnsi="Nunito Sans" w:eastAsia="Work Sans" w:cs="Calibri"/>
                    <w:color w:val="000000" w:themeColor="text1"/>
                  </w:rPr>
                  <w:t>6</w:t>
                </w:r>
              </w:p>
            </w:tc>
            <w:tc>
              <w:tcPr>
                <w:tcW w:w="5670" w:type="dxa"/>
                <w:tcBorders>
                  <w:top w:val="single" w:color="E1AF3B" w:sz="4" w:space="0"/>
                </w:tcBorders>
              </w:tcPr>
              <w:p w:rsidRPr="00DE22CA" w:rsidR="005E3BD6" w:rsidP="00B4771C" w:rsidRDefault="005E3BD6" w14:paraId="4A401793"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b/>
                    <w:color w:val="000000" w:themeColor="text1"/>
                  </w:rPr>
                </w:pPr>
                <w:r w:rsidRPr="00DE22CA">
                  <w:rPr>
                    <w:rFonts w:ascii="Nunito Sans" w:hAnsi="Nunito Sans" w:cs="Calibri"/>
                    <w:b/>
                    <w:color w:val="000000" w:themeColor="text1"/>
                  </w:rPr>
                  <w:t xml:space="preserve">PETI Sectorial </w:t>
                </w:r>
              </w:p>
            </w:tc>
          </w:tr>
        </w:tbl>
        <w:p w:rsidRPr="007E3FC8" w:rsidR="005E3BD6" w:rsidP="005E3BD6" w:rsidRDefault="00014D1F" w14:paraId="6A2A2B8E" w14:textId="4056597B">
          <w:pPr>
            <w:jc w:val="both"/>
            <w:rPr>
              <w:rFonts w:ascii="Nunito Sans" w:hAnsi="Nunito Sans" w:cs="Calibri"/>
              <w:sz w:val="22"/>
              <w:szCs w:val="22"/>
            </w:rPr>
          </w:pPr>
          <w:r w:rsidRPr="007E3FC8">
            <w:rPr>
              <w:rFonts w:ascii="Nunito Sans" w:hAnsi="Nunito Sans" w:cs="Calibri"/>
              <w:noProof/>
              <w:sz w:val="22"/>
              <w:szCs w:val="22"/>
            </w:rPr>
            <w:drawing>
              <wp:anchor distT="0" distB="0" distL="114300" distR="114300" simplePos="0" relativeHeight="251658247" behindDoc="0" locked="0" layoutInCell="1" allowOverlap="1" wp14:anchorId="70442F55" wp14:editId="69905A91">
                <wp:simplePos x="0" y="0"/>
                <wp:positionH relativeFrom="margin">
                  <wp:posOffset>2535703</wp:posOffset>
                </wp:positionH>
                <wp:positionV relativeFrom="margin">
                  <wp:posOffset>5699760</wp:posOffset>
                </wp:positionV>
                <wp:extent cx="894715" cy="765810"/>
                <wp:effectExtent l="0" t="0" r="0" b="0"/>
                <wp:wrapSquare wrapText="bothSides"/>
                <wp:docPr id="276112327" name="Imagen 30" descr="Logotipo, nombre de la empres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112327" name="Imagen 30" descr="Logotipo, nombre de la empresa&#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94715" cy="7658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E3FC8" w:rsidR="00C20FDF">
            <w:rPr>
              <w:rFonts w:ascii="Nunito Sans" w:hAnsi="Nunito Sans" w:cs="Calibri"/>
              <w:noProof/>
              <w:sz w:val="22"/>
              <w:szCs w:val="22"/>
            </w:rPr>
            <mc:AlternateContent>
              <mc:Choice Requires="wps">
                <w:drawing>
                  <wp:anchor distT="0" distB="0" distL="114300" distR="114300" simplePos="0" relativeHeight="251658248" behindDoc="0" locked="0" layoutInCell="1" allowOverlap="1" wp14:anchorId="36BEB858" wp14:editId="4F029DEE">
                    <wp:simplePos x="0" y="0"/>
                    <wp:positionH relativeFrom="column">
                      <wp:posOffset>0</wp:posOffset>
                    </wp:positionH>
                    <wp:positionV relativeFrom="paragraph">
                      <wp:posOffset>0</wp:posOffset>
                    </wp:positionV>
                    <wp:extent cx="5758180" cy="0"/>
                    <wp:effectExtent l="0" t="0" r="7620" b="12700"/>
                    <wp:wrapNone/>
                    <wp:docPr id="1432055380" name="Conector recto 29"/>
                    <wp:cNvGraphicFramePr/>
                    <a:graphic xmlns:a="http://schemas.openxmlformats.org/drawingml/2006/main">
                      <a:graphicData uri="http://schemas.microsoft.com/office/word/2010/wordprocessingShape">
                        <wps:wsp>
                          <wps:cNvCnPr/>
                          <wps:spPr>
                            <a:xfrm>
                              <a:off x="0" y="0"/>
                              <a:ext cx="5758180" cy="0"/>
                            </a:xfrm>
                            <a:prstGeom prst="line">
                              <a:avLst/>
                            </a:prstGeom>
                            <a:ln w="9525">
                              <a:solidFill>
                                <a:srgbClr val="E1AF3B"/>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dgm="http://schemas.openxmlformats.org/drawingml/2006/diagram" xmlns:arto="http://schemas.microsoft.com/office/word/2006/arto">
                <w:pict>
                  <v:line id="Conector recto 29" style="position:absolute;z-index:251658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1af3b" from="0,0" to="453.4pt,0" w14:anchorId="1B5356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">
                    <v:stroke joinstyle="miter"/>
                  </v:line>
                </w:pict>
              </mc:Fallback>
            </mc:AlternateContent>
          </w:r>
        </w:p>
        <w:p w:rsidRPr="007E3FC8" w:rsidR="005E3BD6" w:rsidP="005E3BD6" w:rsidRDefault="005E3BD6" w14:paraId="6ED5DE65" w14:textId="77777777">
          <w:pPr>
            <w:jc w:val="both"/>
            <w:rPr>
              <w:rFonts w:ascii="Nunito Sans" w:hAnsi="Nunito Sans" w:cs="Calibri"/>
              <w:sz w:val="22"/>
              <w:szCs w:val="22"/>
            </w:rPr>
          </w:pPr>
        </w:p>
        <w:p w:rsidRPr="007E3FC8" w:rsidR="005E3BD6" w:rsidP="005E3BD6" w:rsidRDefault="005E3BD6" w14:paraId="1DC1B38B" w14:textId="62E09625">
          <w:pPr>
            <w:jc w:val="both"/>
            <w:rPr>
              <w:rFonts w:ascii="Nunito Sans" w:hAnsi="Nunito Sans" w:cs="Calibri"/>
              <w:sz w:val="22"/>
              <w:szCs w:val="22"/>
            </w:rPr>
          </w:pPr>
        </w:p>
        <w:p w:rsidRPr="007E3FC8" w:rsidR="005E3BD6" w:rsidP="005E3BD6" w:rsidRDefault="005E3BD6" w14:paraId="2B118FDF" w14:textId="2B512B5C">
          <w:pPr>
            <w:jc w:val="both"/>
            <w:rPr>
              <w:rFonts w:ascii="Nunito Sans" w:hAnsi="Nunito Sans" w:cs="Calibri"/>
              <w:sz w:val="22"/>
              <w:szCs w:val="22"/>
            </w:rPr>
          </w:pPr>
        </w:p>
        <w:p w:rsidRPr="007E3FC8" w:rsidR="005E3BD6" w:rsidP="005E3BD6" w:rsidRDefault="00014D1F" w14:paraId="5BC93693" w14:textId="5106FD28">
          <w:pPr>
            <w:jc w:val="both"/>
            <w:rPr>
              <w:rFonts w:ascii="Nunito Sans" w:hAnsi="Nunito Sans" w:cs="Calibri"/>
              <w:sz w:val="22"/>
              <w:szCs w:val="22"/>
            </w:rPr>
          </w:pPr>
          <w:r w:rsidRPr="007E3FC8">
            <w:rPr>
              <w:rFonts w:ascii="Nunito Sans" w:hAnsi="Nunito Sans" w:cs="Calibri"/>
              <w:noProof/>
              <w:sz w:val="22"/>
              <w:szCs w:val="22"/>
            </w:rPr>
            <w:drawing>
              <wp:anchor distT="0" distB="0" distL="114300" distR="114300" simplePos="0" relativeHeight="251658240" behindDoc="0" locked="0" layoutInCell="1" allowOverlap="1" wp14:anchorId="0BC1158E" wp14:editId="34627CC3">
                <wp:simplePos x="0" y="0"/>
                <wp:positionH relativeFrom="margin">
                  <wp:posOffset>2536973</wp:posOffset>
                </wp:positionH>
                <wp:positionV relativeFrom="margin">
                  <wp:posOffset>6423025</wp:posOffset>
                </wp:positionV>
                <wp:extent cx="906145" cy="906145"/>
                <wp:effectExtent l="0" t="0" r="0" b="0"/>
                <wp:wrapSquare wrapText="bothSides"/>
                <wp:docPr id="1750908125" name="Imagen 25"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908125" name="Imagen 25" descr="Logotipo&#10;&#10;El contenido generado por IA puede ser incorrecto."/>
                        <pic:cNvPicPr/>
                      </pic:nvPicPr>
                      <pic:blipFill>
                        <a:blip r:embed="rId13"/>
                        <a:stretch>
                          <a:fillRect/>
                        </a:stretch>
                      </pic:blipFill>
                      <pic:spPr>
                        <a:xfrm>
                          <a:off x="0" y="0"/>
                          <a:ext cx="906145" cy="906145"/>
                        </a:xfrm>
                        <a:prstGeom prst="rect">
                          <a:avLst/>
                        </a:prstGeom>
                      </pic:spPr>
                    </pic:pic>
                  </a:graphicData>
                </a:graphic>
                <wp14:sizeRelH relativeFrom="margin">
                  <wp14:pctWidth>0</wp14:pctWidth>
                </wp14:sizeRelH>
                <wp14:sizeRelV relativeFrom="margin">
                  <wp14:pctHeight>0</wp14:pctHeight>
                </wp14:sizeRelV>
              </wp:anchor>
            </w:drawing>
          </w:r>
          <w:r w:rsidRPr="007E3FC8" w:rsidR="005E3BD6">
            <w:rPr>
              <w:rFonts w:ascii="Nunito Sans" w:hAnsi="Nunito Sans" w:cs="Calibri"/>
              <w:sz w:val="22"/>
              <w:szCs w:val="22"/>
            </w:rPr>
            <w:fldChar w:fldCharType="begin"/>
          </w:r>
          <w:r w:rsidRPr="007E3FC8" w:rsidR="005E3BD6">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sidR="005E3BD6">
            <w:rPr>
              <w:rFonts w:ascii="Nunito Sans" w:hAnsi="Nunito Sans" w:cs="Calibri"/>
              <w:sz w:val="22"/>
              <w:szCs w:val="22"/>
            </w:rPr>
            <w:fldChar w:fldCharType="end"/>
          </w:r>
          <w:r w:rsidRPr="007E3FC8" w:rsidR="005E3BD6">
            <w:rPr>
              <w:rFonts w:ascii="Nunito Sans" w:hAnsi="Nunito Sans" w:cs="Calibri"/>
              <w:sz w:val="22"/>
              <w:szCs w:val="22"/>
            </w:rPr>
            <w:fldChar w:fldCharType="begin"/>
          </w:r>
          <w:r w:rsidRPr="007E3FC8" w:rsidR="005E3BD6">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sidR="005E3BD6">
            <w:rPr>
              <w:rFonts w:ascii="Nunito Sans" w:hAnsi="Nunito Sans" w:cs="Calibri"/>
              <w:sz w:val="22"/>
              <w:szCs w:val="22"/>
            </w:rPr>
            <w:fldChar w:fldCharType="end"/>
          </w:r>
          <w:r w:rsidRPr="007E3FC8" w:rsidR="005E3BD6">
            <w:rPr>
              <w:rFonts w:ascii="Nunito Sans" w:hAnsi="Nunito Sans" w:cs="Calibri"/>
              <w:sz w:val="22"/>
              <w:szCs w:val="22"/>
            </w:rPr>
            <w:fldChar w:fldCharType="begin"/>
          </w:r>
          <w:r w:rsidRPr="007E3FC8" w:rsidR="005E3BD6">
            <w:rPr>
              <w:rFonts w:ascii="Nunito Sans" w:hAnsi="Nunito Sans" w:cs="Calibri"/>
              <w:sz w:val="22"/>
              <w:szCs w:val="22"/>
            </w:rPr>
            <w:instrText xml:space="preserve"> INCLUDEPICTURE "https://crudotransparente.com/wp-content/uploads/2019/12/logo-anh-white.png" \* MERGEFORMATINET </w:instrText>
          </w:r>
          <w:r w:rsidRPr="007E3FC8" w:rsidR="005E3BD6">
            <w:rPr>
              <w:rFonts w:ascii="Nunito Sans" w:hAnsi="Nunito Sans" w:cs="Calibri"/>
              <w:sz w:val="22"/>
              <w:szCs w:val="22"/>
            </w:rPr>
            <w:fldChar w:fldCharType="end"/>
          </w:r>
          <w:r w:rsidRPr="007E3FC8" w:rsidR="005E3BD6">
            <w:rPr>
              <w:rFonts w:ascii="Nunito Sans" w:hAnsi="Nunito Sans" w:cs="Calibri"/>
              <w:sz w:val="22"/>
              <w:szCs w:val="22"/>
            </w:rPr>
            <w:fldChar w:fldCharType="begin"/>
          </w:r>
          <w:r w:rsidRPr="007E3FC8" w:rsidR="005E3BD6">
            <w:rPr>
              <w:rFonts w:ascii="Nunito Sans" w:hAnsi="Nunito Sans" w:cs="Calibri"/>
              <w:sz w:val="22"/>
              <w:szCs w:val="22"/>
            </w:rPr>
            <w:instrText xml:space="preserve"> INCLUDEPICTURE "https://formulariowebpcp.anm.gov.co/assets/img/LogoANM.png" \* MERGEFORMATINET </w:instrText>
          </w:r>
          <w:r w:rsidRPr="007E3FC8" w:rsidR="005E3BD6">
            <w:rPr>
              <w:rFonts w:ascii="Nunito Sans" w:hAnsi="Nunito Sans" w:cs="Calibri"/>
              <w:sz w:val="22"/>
              <w:szCs w:val="22"/>
            </w:rPr>
            <w:fldChar w:fldCharType="end"/>
          </w:r>
          <w:r w:rsidRPr="007E3FC8" w:rsidR="005E3BD6">
            <w:rPr>
              <w:rFonts w:ascii="Nunito Sans" w:hAnsi="Nunito Sans" w:cs="Calibri"/>
              <w:sz w:val="22"/>
              <w:szCs w:val="22"/>
            </w:rPr>
            <w:fldChar w:fldCharType="begin"/>
          </w:r>
          <w:r w:rsidRPr="007E3FC8" w:rsidR="005E3BD6">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sidR="005E3BD6">
            <w:rPr>
              <w:rFonts w:ascii="Nunito Sans" w:hAnsi="Nunito Sans" w:cs="Calibri"/>
              <w:sz w:val="22"/>
              <w:szCs w:val="22"/>
            </w:rPr>
            <w:fldChar w:fldCharType="end"/>
          </w:r>
          <w:r w:rsidRPr="007E3FC8" w:rsidR="005E3BD6">
            <w:rPr>
              <w:rFonts w:ascii="Nunito Sans" w:hAnsi="Nunito Sans" w:cs="Calibri"/>
              <w:sz w:val="22"/>
              <w:szCs w:val="22"/>
            </w:rPr>
            <w:fldChar w:fldCharType="begin"/>
          </w:r>
          <w:r w:rsidRPr="007E3FC8" w:rsidR="005E3BD6">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sidR="005E3BD6">
            <w:rPr>
              <w:rFonts w:ascii="Nunito Sans" w:hAnsi="Nunito Sans" w:cs="Calibri"/>
              <w:sz w:val="22"/>
              <w:szCs w:val="22"/>
            </w:rPr>
            <w:fldChar w:fldCharType="end"/>
          </w:r>
        </w:p>
        <w:p w:rsidRPr="007E3FC8" w:rsidR="005E3BD6" w:rsidP="005E3BD6" w:rsidRDefault="005E3BD6" w14:paraId="513F9A11" w14:textId="76696976">
          <w:pPr>
            <w:jc w:val="both"/>
            <w:rPr>
              <w:rFonts w:ascii="Nunito Sans" w:hAnsi="Nunito Sans" w:cs="Calibri"/>
              <w:sz w:val="22"/>
              <w:szCs w:val="22"/>
            </w:rPr>
          </w:pP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p>
        <w:p w:rsidRPr="007E3FC8" w:rsidR="005E3BD6" w:rsidP="005E3BD6" w:rsidRDefault="00014D1F" w14:paraId="100650E6" w14:textId="459E04FC">
          <w:pPr>
            <w:rPr>
              <w:rFonts w:ascii="Nunito Sans" w:hAnsi="Nunito Sans" w:cs="Calibri"/>
            </w:rPr>
          </w:pPr>
          <w:r w:rsidRPr="007E3FC8">
            <w:rPr>
              <w:rFonts w:ascii="Nunito Sans" w:hAnsi="Nunito Sans" w:cs="Calibri"/>
              <w:noProof/>
              <w:sz w:val="22"/>
              <w:szCs w:val="22"/>
            </w:rPr>
            <w:drawing>
              <wp:anchor distT="0" distB="0" distL="114300" distR="114300" simplePos="0" relativeHeight="251658243" behindDoc="0" locked="0" layoutInCell="1" allowOverlap="1" wp14:anchorId="747EBB13" wp14:editId="14001674">
                <wp:simplePos x="0" y="0"/>
                <wp:positionH relativeFrom="margin">
                  <wp:posOffset>4930140</wp:posOffset>
                </wp:positionH>
                <wp:positionV relativeFrom="margin">
                  <wp:posOffset>7051040</wp:posOffset>
                </wp:positionV>
                <wp:extent cx="884555" cy="884555"/>
                <wp:effectExtent l="0" t="0" r="0" b="0"/>
                <wp:wrapSquare wrapText="bothSides"/>
                <wp:docPr id="24686178" name="Imagen 2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6178" name="Imagen 21" descr="Logotipo&#10;&#10;El contenido generado por IA puede ser incorrecto."/>
                        <pic:cNvPicPr/>
                      </pic:nvPicPr>
                      <pic:blipFill>
                        <a:blip r:embed="rId14"/>
                        <a:stretch>
                          <a:fillRect/>
                        </a:stretch>
                      </pic:blipFill>
                      <pic:spPr>
                        <a:xfrm>
                          <a:off x="0" y="0"/>
                          <a:ext cx="884555" cy="884555"/>
                        </a:xfrm>
                        <a:prstGeom prst="rect">
                          <a:avLst/>
                        </a:prstGeom>
                      </pic:spPr>
                    </pic:pic>
                  </a:graphicData>
                </a:graphic>
                <wp14:sizeRelH relativeFrom="margin">
                  <wp14:pctWidth>0</wp14:pctWidth>
                </wp14:sizeRelH>
                <wp14:sizeRelV relativeFrom="margin">
                  <wp14:pctHeight>0</wp14:pctHeight>
                </wp14:sizeRelV>
              </wp:anchor>
            </w:drawing>
          </w:r>
          <w:r w:rsidRPr="007E3FC8">
            <w:rPr>
              <w:rFonts w:ascii="Nunito Sans" w:hAnsi="Nunito Sans" w:cs="Calibri"/>
              <w:noProof/>
              <w:sz w:val="22"/>
              <w:szCs w:val="22"/>
            </w:rPr>
            <w:drawing>
              <wp:anchor distT="0" distB="0" distL="114300" distR="114300" simplePos="0" relativeHeight="251658245" behindDoc="0" locked="0" layoutInCell="1" allowOverlap="1" wp14:anchorId="7B9FB76F" wp14:editId="423C07B2">
                <wp:simplePos x="0" y="0"/>
                <wp:positionH relativeFrom="margin">
                  <wp:posOffset>4346575</wp:posOffset>
                </wp:positionH>
                <wp:positionV relativeFrom="margin">
                  <wp:posOffset>6792595</wp:posOffset>
                </wp:positionV>
                <wp:extent cx="709930" cy="284480"/>
                <wp:effectExtent l="0" t="0" r="1270" b="0"/>
                <wp:wrapSquare wrapText="bothSides"/>
                <wp:docPr id="804381528" name="Imagen 28" descr="Imagen que contiene 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81528" name="Imagen 28" descr="Imagen que contiene Logotipo&#10;&#10;El contenido generado por IA puede ser incorrec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09930" cy="2844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3FC8">
            <w:rPr>
              <w:rFonts w:ascii="Nunito Sans" w:hAnsi="Nunito Sans" w:cs="Calibri"/>
              <w:noProof/>
              <w:sz w:val="22"/>
              <w:szCs w:val="22"/>
            </w:rPr>
            <w:drawing>
              <wp:anchor distT="0" distB="0" distL="114300" distR="114300" simplePos="0" relativeHeight="251658241" behindDoc="0" locked="0" layoutInCell="1" allowOverlap="1" wp14:anchorId="5CEBA760" wp14:editId="12E3A4F5">
                <wp:simplePos x="0" y="0"/>
                <wp:positionH relativeFrom="margin">
                  <wp:posOffset>912495</wp:posOffset>
                </wp:positionH>
                <wp:positionV relativeFrom="margin">
                  <wp:posOffset>6802755</wp:posOffset>
                </wp:positionV>
                <wp:extent cx="759460" cy="335915"/>
                <wp:effectExtent l="0" t="0" r="2540" b="0"/>
                <wp:wrapSquare wrapText="bothSides"/>
                <wp:docPr id="181414138" name="Imagen 26" descr="logo-anh-white – Crudo Transpar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4138" name="Imagen 26" descr="logo-anh-white – Crudo Transparent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59460" cy="3359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E3FC8">
            <w:rPr>
              <w:rFonts w:ascii="Nunito Sans" w:hAnsi="Nunito Sans" w:cs="Calibri"/>
              <w:noProof/>
              <w:sz w:val="22"/>
              <w:szCs w:val="22"/>
            </w:rPr>
            <w:drawing>
              <wp:anchor distT="0" distB="0" distL="114300" distR="114300" simplePos="0" relativeHeight="251658244" behindDoc="0" locked="0" layoutInCell="1" allowOverlap="1" wp14:anchorId="3A475DD6" wp14:editId="6767C453">
                <wp:simplePos x="0" y="0"/>
                <wp:positionH relativeFrom="margin">
                  <wp:posOffset>198755</wp:posOffset>
                </wp:positionH>
                <wp:positionV relativeFrom="margin">
                  <wp:posOffset>7041515</wp:posOffset>
                </wp:positionV>
                <wp:extent cx="904240" cy="904240"/>
                <wp:effectExtent l="0" t="0" r="0" b="0"/>
                <wp:wrapSquare wrapText="bothSides"/>
                <wp:docPr id="590280135" name="Imagen 27"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280135" name="Imagen 27" descr="Logotipo&#10;&#10;El contenido generado por IA puede ser incorrecto."/>
                        <pic:cNvPicPr/>
                      </pic:nvPicPr>
                      <pic:blipFill>
                        <a:blip r:embed="rId17"/>
                        <a:stretch>
                          <a:fillRect/>
                        </a:stretch>
                      </pic:blipFill>
                      <pic:spPr>
                        <a:xfrm>
                          <a:off x="0" y="0"/>
                          <a:ext cx="904240" cy="904240"/>
                        </a:xfrm>
                        <a:prstGeom prst="rect">
                          <a:avLst/>
                        </a:prstGeom>
                      </pic:spPr>
                    </pic:pic>
                  </a:graphicData>
                </a:graphic>
                <wp14:sizeRelH relativeFrom="margin">
                  <wp14:pctWidth>0</wp14:pctWidth>
                </wp14:sizeRelH>
                <wp14:sizeRelV relativeFrom="margin">
                  <wp14:pctHeight>0</wp14:pctHeight>
                </wp14:sizeRelV>
              </wp:anchor>
            </w:drawing>
          </w:r>
          <w:r w:rsidRPr="007E3FC8">
            <w:rPr>
              <w:rFonts w:ascii="Nunito Sans" w:hAnsi="Nunito Sans" w:cs="Calibri"/>
              <w:noProof/>
              <w:sz w:val="22"/>
              <w:szCs w:val="22"/>
            </w:rPr>
            <w:drawing>
              <wp:anchor distT="0" distB="0" distL="114300" distR="114300" simplePos="0" relativeHeight="251658246" behindDoc="0" locked="0" layoutInCell="1" allowOverlap="1" wp14:anchorId="1162AA73" wp14:editId="40786FDA">
                <wp:simplePos x="0" y="0"/>
                <wp:positionH relativeFrom="margin">
                  <wp:posOffset>1793875</wp:posOffset>
                </wp:positionH>
                <wp:positionV relativeFrom="margin">
                  <wp:posOffset>7041515</wp:posOffset>
                </wp:positionV>
                <wp:extent cx="902335" cy="902335"/>
                <wp:effectExtent l="0" t="0" r="0" b="0"/>
                <wp:wrapSquare wrapText="bothSides"/>
                <wp:docPr id="670754723" name="Imagen 24"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754723" name="Imagen 24" descr="Logotipo&#10;&#10;El contenido generado por IA puede ser incorrecto."/>
                        <pic:cNvPicPr/>
                      </pic:nvPicPr>
                      <pic:blipFill>
                        <a:blip r:embed="rId18"/>
                        <a:stretch>
                          <a:fillRect/>
                        </a:stretch>
                      </pic:blipFill>
                      <pic:spPr>
                        <a:xfrm>
                          <a:off x="0" y="0"/>
                          <a:ext cx="902335" cy="902335"/>
                        </a:xfrm>
                        <a:prstGeom prst="rect">
                          <a:avLst/>
                        </a:prstGeom>
                      </pic:spPr>
                    </pic:pic>
                  </a:graphicData>
                </a:graphic>
                <wp14:sizeRelH relativeFrom="margin">
                  <wp14:pctWidth>0</wp14:pctWidth>
                </wp14:sizeRelH>
                <wp14:sizeRelV relativeFrom="margin">
                  <wp14:pctHeight>0</wp14:pctHeight>
                </wp14:sizeRelV>
              </wp:anchor>
            </w:drawing>
          </w:r>
          <w:r w:rsidRPr="007E3FC8">
            <w:rPr>
              <w:rFonts w:ascii="Nunito Sans" w:hAnsi="Nunito Sans" w:cs="Calibri"/>
              <w:noProof/>
              <w:sz w:val="22"/>
              <w:szCs w:val="22"/>
            </w:rPr>
            <w:drawing>
              <wp:anchor distT="0" distB="0" distL="114300" distR="114300" simplePos="0" relativeHeight="251658242" behindDoc="0" locked="0" layoutInCell="1" allowOverlap="1" wp14:anchorId="17177C22" wp14:editId="12C70D37">
                <wp:simplePos x="0" y="0"/>
                <wp:positionH relativeFrom="margin">
                  <wp:posOffset>3370093</wp:posOffset>
                </wp:positionH>
                <wp:positionV relativeFrom="margin">
                  <wp:posOffset>7070725</wp:posOffset>
                </wp:positionV>
                <wp:extent cx="869315" cy="869315"/>
                <wp:effectExtent l="0" t="0" r="0" b="0"/>
                <wp:wrapSquare wrapText="bothSides"/>
                <wp:docPr id="891482826" name="Imagen 22"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82826" name="Imagen 22" descr="Logotipo&#10;&#10;El contenido generado por IA puede ser incorrecto."/>
                        <pic:cNvPicPr/>
                      </pic:nvPicPr>
                      <pic:blipFill>
                        <a:blip r:embed="rId19"/>
                        <a:stretch>
                          <a:fillRect/>
                        </a:stretch>
                      </pic:blipFill>
                      <pic:spPr>
                        <a:xfrm>
                          <a:off x="0" y="0"/>
                          <a:ext cx="869315" cy="869315"/>
                        </a:xfrm>
                        <a:prstGeom prst="rect">
                          <a:avLst/>
                        </a:prstGeom>
                      </pic:spPr>
                    </pic:pic>
                  </a:graphicData>
                </a:graphic>
                <wp14:sizeRelH relativeFrom="margin">
                  <wp14:pctWidth>0</wp14:pctWidth>
                </wp14:sizeRelH>
                <wp14:sizeRelV relativeFrom="margin">
                  <wp14:pctHeight>0</wp14:pctHeight>
                </wp14:sizeRelV>
              </wp:anchor>
            </w:drawing>
          </w:r>
        </w:p>
        <w:p w:rsidRPr="007E3FC8" w:rsidR="005E3BD6" w:rsidP="005E3BD6" w:rsidRDefault="005E3BD6" w14:paraId="5D5A4F69" w14:textId="257C11F8">
          <w:pPr>
            <w:jc w:val="both"/>
            <w:rPr>
              <w:rFonts w:ascii="Nunito Sans" w:hAnsi="Nunito Sans" w:cs="Calibri"/>
              <w:sz w:val="22"/>
              <w:szCs w:val="22"/>
            </w:rPr>
          </w:pP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p>
        <w:p w:rsidRPr="007E3FC8" w:rsidR="005E3BD6" w:rsidP="005E3BD6" w:rsidRDefault="005E3BD6" w14:paraId="6CA55066" w14:textId="64025E06">
          <w:pPr>
            <w:rPr>
              <w:rFonts w:ascii="Nunito Sans" w:hAnsi="Nunito Sans" w:cs="Calibri"/>
            </w:rPr>
          </w:pPr>
        </w:p>
        <w:p w:rsidRPr="007E3FC8" w:rsidR="005E3BD6" w:rsidP="005E3BD6" w:rsidRDefault="005E3BD6" w14:paraId="1D0A506B" w14:textId="5577CE4A">
          <w:pPr>
            <w:jc w:val="both"/>
            <w:rPr>
              <w:rFonts w:ascii="Nunito Sans" w:hAnsi="Nunito Sans" w:cs="Calibri"/>
              <w:sz w:val="22"/>
              <w:szCs w:val="22"/>
            </w:rPr>
          </w:pP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"https://upload.wikimedia.org/wikipedia/commons/thumb/4/47/Logo_Ministerio_de_Minas_y_Energ%C3%ADa_%282022-2026%29.png/1200px-Logo_Ministerio_de_Minas_y_Energ%C3%ADa_%282022-2026%29.png"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"https://upload.wikimedia.org/wikipedia/commons/thumb/0/07/Agencia_Nacional_de_Hidrocarburos.png/640px-Agencia_Nacional_de_Hidrocarburos.png"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"https://crudotransparente.com/wp-content/uploads/2019/12/logo-anh-white.png"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"https://formulariowebpcp.anm.gov.co/assets/img/LogoANM.png"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"https://upload.wikimedia.org/wikipedia/commons/thumb/5/5a/Servicio_Geol%C3%B3gico_Colombiano_logo.svg/2560px-Servicio_Geol%C3%B3gico_Colombiano_logo.svg.png" \* MERGEFORMATINET </w:instrText>
          </w:r>
          <w:r w:rsidRPr="007E3FC8">
            <w:rPr>
              <w:rFonts w:ascii="Nunito Sans" w:hAnsi="Nunito Sans" w:cs="Calibri"/>
              <w:sz w:val="22"/>
              <w:szCs w:val="22"/>
            </w:rPr>
            <w:fldChar w:fldCharType="end"/>
          </w:r>
          <w:r w:rsidRPr="007E3FC8">
            <w:rPr>
              <w:rFonts w:ascii="Nunito Sans" w:hAnsi="Nunito Sans" w:cs="Calibri"/>
              <w:sz w:val="22"/>
              <w:szCs w:val="22"/>
            </w:rPr>
            <w:fldChar w:fldCharType="begin"/>
          </w:r>
          <w:r w:rsidRPr="007E3FC8">
            <w:rPr>
              <w:rFonts w:ascii="Nunito Sans" w:hAnsi="Nunito Sans" w:cs="Calibri"/>
              <w:sz w:val="22"/>
              <w:szCs w:val="22"/>
            </w:rPr>
            <w:instrText xml:space="preserve"> INCLUDEPICTURE "https://upload.wikimedia.org/wikipedia/commons/4/47/Logo_Ministerio_de_Minas_y_Energ%C3%ADa_%282022-2026%29.png" \* MERGEFORMATINET </w:instrText>
          </w:r>
          <w:r w:rsidRPr="007E3FC8">
            <w:rPr>
              <w:rFonts w:ascii="Nunito Sans" w:hAnsi="Nunito Sans" w:cs="Calibri"/>
              <w:sz w:val="22"/>
              <w:szCs w:val="22"/>
            </w:rPr>
            <w:fldChar w:fldCharType="end"/>
          </w:r>
        </w:p>
        <w:p w:rsidRPr="007E3FC8" w:rsidR="005E3BD6" w:rsidP="005E3BD6" w:rsidRDefault="005E3BD6" w14:paraId="2FBBD9FC" w14:textId="77777777">
          <w:pPr>
            <w:rPr>
              <w:rFonts w:ascii="Nunito Sans" w:hAnsi="Nunito Sans" w:cs="Calibri"/>
            </w:rPr>
          </w:pPr>
        </w:p>
        <w:bookmarkStart w:name="_Toc234234431" w:displacedByCustomXml="next" w:id="3"/>
        <w:sdt>
          <w:sdtPr>
            <w:id w:val="668186068"/>
            <w:docPartObj>
              <w:docPartGallery w:val="Table of Contents"/>
              <w:docPartUnique/>
            </w:docPartObj>
            <w:rPr>
              <w:rFonts w:ascii="Montserrat" w:hAnsi="Montserrat" w:eastAsia="Times New Roman" w:cs="Times New Roman" w:asciiTheme="minorAscii" w:hAnsiTheme="minorAscii"/>
              <w:i w:val="1"/>
              <w:iCs w:val="1"/>
              <w:caps w:val="1"/>
              <w:color w:val="auto"/>
              <w:sz w:val="20"/>
              <w:szCs w:val="20"/>
              <w:lang w:val="es-CO"/>
            </w:rPr>
          </w:sdtPr>
          <w:sdtEndPr>
            <w:rPr>
              <w:rFonts w:ascii="Montserrat" w:hAnsi="Montserrat" w:eastAsia="Times New Roman" w:cs="Times New Roman" w:asciiTheme="minorAscii" w:hAnsiTheme="minorAscii"/>
              <w:i w:val="0"/>
              <w:iCs w:val="0"/>
              <w:caps w:val="1"/>
              <w:color w:val="auto"/>
              <w:sz w:val="22"/>
              <w:szCs w:val="22"/>
              <w:lang w:val="es-CO"/>
            </w:rPr>
          </w:sdtEndPr>
          <w:sdtContent>
            <w:p w:rsidRPr="00DE22CA" w:rsidR="005E3BD6" w:rsidP="005E3BD6" w:rsidRDefault="009B36CE" w14:paraId="54A66C77" w14:textId="61A8547D">
              <w:pPr>
                <w:pStyle w:val="TtuloTDC"/>
                <w:jc w:val="both"/>
                <w:rPr>
                  <w:rFonts w:cs="Calibri"/>
                  <w:lang w:val="es-ES"/>
                </w:rPr>
              </w:pPr>
              <w:r w:rsidRPr="00DE22CA">
                <w:rPr>
                  <w:rFonts w:cs="Calibri"/>
                  <w:lang w:val="es-ES"/>
                </w:rPr>
                <w:t>ÍNDICE DE CONTENIDO</w:t>
              </w:r>
              <w:bookmarkEnd w:id="3"/>
            </w:p>
            <w:p w:rsidR="00201AA8" w:rsidRDefault="005E3BD6" w14:paraId="463149FE" w14:textId="367C53A0">
              <w:pPr>
                <w:pStyle w:val="TDC1"/>
                <w:tabs>
                  <w:tab w:val="right" w:leader="dot" w:pos="9514"/>
                </w:tabs>
                <w:rPr>
                  <w:rFonts w:eastAsiaTheme="minorEastAsia" w:cstheme="minorBidi"/>
                  <w:b w:val="0"/>
                  <w:bCs w:val="0"/>
                  <w:caps w:val="0"/>
                  <w:noProof/>
                  <w:kern w:val="2"/>
                  <w:sz w:val="24"/>
                  <w:szCs w:val="24"/>
                  <w:lang w:eastAsia="es-ES_tradnl"/>
                  <w14:ligatures w14:val="standardContextual"/>
                </w:rPr>
              </w:pPr>
              <w:r w:rsidRPr="001D17D5">
                <w:rPr>
                  <w:rFonts w:ascii="Nunito Sans" w:hAnsi="Nunito Sans"/>
                </w:rPr>
                <w:fldChar w:fldCharType="begin"/>
              </w:r>
              <w:r w:rsidRPr="001D17D5">
                <w:rPr>
                  <w:rFonts w:ascii="Nunito Sans" w:hAnsi="Nunito Sans"/>
                </w:rPr>
                <w:instrText>TOC \o "1-3" \z \u \h</w:instrText>
              </w:r>
              <w:r w:rsidRPr="001D17D5">
                <w:rPr>
                  <w:rFonts w:ascii="Nunito Sans" w:hAnsi="Nunito Sans"/>
                </w:rPr>
                <w:fldChar w:fldCharType="separate"/>
              </w:r>
              <w:hyperlink w:history="1" w:anchor="_Toc234234431">
                <w:r w:rsidRPr="00520042" w:rsidR="00201AA8">
                  <w:rPr>
                    <w:rStyle w:val="Hipervnculo"/>
                    <w:rFonts w:cs="Calibri"/>
                    <w:noProof/>
                    <w:lang w:val="es-ES"/>
                  </w:rPr>
                  <w:t>ÍNDICE DE CONTENIDO</w:t>
                </w:r>
                <w:r w:rsidR="00201AA8">
                  <w:rPr>
                    <w:noProof/>
                    <w:webHidden/>
                  </w:rPr>
                  <w:tab/>
                </w:r>
                <w:r w:rsidR="00201AA8">
                  <w:rPr>
                    <w:noProof/>
                    <w:webHidden/>
                  </w:rPr>
                  <w:fldChar w:fldCharType="begin"/>
                </w:r>
                <w:r w:rsidR="00201AA8">
                  <w:rPr>
                    <w:noProof/>
                    <w:webHidden/>
                  </w:rPr>
                  <w:instrText xml:space="preserve"> PAGEREF _Toc234234431 \h </w:instrText>
                </w:r>
                <w:r w:rsidR="00201AA8">
                  <w:rPr>
                    <w:noProof/>
                    <w:webHidden/>
                  </w:rPr>
                </w:r>
                <w:r w:rsidR="00201AA8">
                  <w:rPr>
                    <w:noProof/>
                    <w:webHidden/>
                  </w:rPr>
                  <w:fldChar w:fldCharType="separate"/>
                </w:r>
                <w:r w:rsidR="00201AA8">
                  <w:rPr>
                    <w:noProof/>
                    <w:webHidden/>
                  </w:rPr>
                  <w:t>3</w:t>
                </w:r>
                <w:r w:rsidR="00201AA8">
                  <w:rPr>
                    <w:noProof/>
                    <w:webHidden/>
                  </w:rPr>
                  <w:fldChar w:fldCharType="end"/>
                </w:r>
              </w:hyperlink>
            </w:p>
            <w:p w:rsidR="00201AA8" w:rsidRDefault="00201AA8" w14:paraId="6BF069A4" w14:textId="6D07E48E">
              <w:pPr>
                <w:pStyle w:val="TDC1"/>
                <w:tabs>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2">
                <w:r w:rsidRPr="00520042">
                  <w:rPr>
                    <w:rStyle w:val="Hipervnculo"/>
                    <w:rFonts w:cs="Calibri"/>
                    <w:noProof/>
                    <w:lang w:val="es-ES"/>
                  </w:rPr>
                  <w:t>ÍNDICE DE ILUSTRACIONES</w:t>
                </w:r>
                <w:r>
                  <w:rPr>
                    <w:noProof/>
                    <w:webHidden/>
                  </w:rPr>
                  <w:tab/>
                </w:r>
                <w:r>
                  <w:rPr>
                    <w:noProof/>
                    <w:webHidden/>
                  </w:rPr>
                  <w:fldChar w:fldCharType="begin"/>
                </w:r>
                <w:r>
                  <w:rPr>
                    <w:noProof/>
                    <w:webHidden/>
                  </w:rPr>
                  <w:instrText xml:space="preserve"> PAGEREF _Toc234234432 \h </w:instrText>
                </w:r>
                <w:r>
                  <w:rPr>
                    <w:noProof/>
                    <w:webHidden/>
                  </w:rPr>
                </w:r>
                <w:r>
                  <w:rPr>
                    <w:noProof/>
                    <w:webHidden/>
                  </w:rPr>
                  <w:fldChar w:fldCharType="separate"/>
                </w:r>
                <w:r>
                  <w:rPr>
                    <w:noProof/>
                    <w:webHidden/>
                  </w:rPr>
                  <w:t>5</w:t>
                </w:r>
                <w:r>
                  <w:rPr>
                    <w:noProof/>
                    <w:webHidden/>
                  </w:rPr>
                  <w:fldChar w:fldCharType="end"/>
                </w:r>
              </w:hyperlink>
            </w:p>
            <w:p w:rsidR="00201AA8" w:rsidRDefault="00201AA8" w14:paraId="0111A6A7" w14:textId="1586FEF7">
              <w:pPr>
                <w:pStyle w:val="TDC1"/>
                <w:tabs>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3">
                <w:r w:rsidRPr="00520042">
                  <w:rPr>
                    <w:rStyle w:val="Hipervnculo"/>
                    <w:rFonts w:cs="Calibri"/>
                    <w:noProof/>
                    <w:lang w:val="es-ES"/>
                  </w:rPr>
                  <w:t>ÍNDICE DE TABLAS</w:t>
                </w:r>
                <w:r>
                  <w:rPr>
                    <w:noProof/>
                    <w:webHidden/>
                  </w:rPr>
                  <w:tab/>
                </w:r>
                <w:r>
                  <w:rPr>
                    <w:noProof/>
                    <w:webHidden/>
                  </w:rPr>
                  <w:fldChar w:fldCharType="begin"/>
                </w:r>
                <w:r>
                  <w:rPr>
                    <w:noProof/>
                    <w:webHidden/>
                  </w:rPr>
                  <w:instrText xml:space="preserve"> PAGEREF _Toc234234433 \h </w:instrText>
                </w:r>
                <w:r>
                  <w:rPr>
                    <w:noProof/>
                    <w:webHidden/>
                  </w:rPr>
                </w:r>
                <w:r>
                  <w:rPr>
                    <w:noProof/>
                    <w:webHidden/>
                  </w:rPr>
                  <w:fldChar w:fldCharType="separate"/>
                </w:r>
                <w:r>
                  <w:rPr>
                    <w:noProof/>
                    <w:webHidden/>
                  </w:rPr>
                  <w:t>5</w:t>
                </w:r>
                <w:r>
                  <w:rPr>
                    <w:noProof/>
                    <w:webHidden/>
                  </w:rPr>
                  <w:fldChar w:fldCharType="end"/>
                </w:r>
              </w:hyperlink>
            </w:p>
            <w:p w:rsidR="00201AA8" w:rsidRDefault="00201AA8" w14:paraId="1D3301B4" w14:textId="6EA3D981">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4">
                <w:r w:rsidRPr="00520042">
                  <w:rPr>
                    <w:rStyle w:val="Hipervnculo"/>
                    <w:noProof/>
                  </w:rPr>
                  <w:t>1.</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rPr>
                  <w:t>INTRODUCCIÓN</w:t>
                </w:r>
                <w:r>
                  <w:rPr>
                    <w:noProof/>
                    <w:webHidden/>
                  </w:rPr>
                  <w:tab/>
                </w:r>
                <w:r>
                  <w:rPr>
                    <w:noProof/>
                    <w:webHidden/>
                  </w:rPr>
                  <w:fldChar w:fldCharType="begin"/>
                </w:r>
                <w:r>
                  <w:rPr>
                    <w:noProof/>
                    <w:webHidden/>
                  </w:rPr>
                  <w:instrText xml:space="preserve"> PAGEREF _Toc234234434 \h </w:instrText>
                </w:r>
                <w:r>
                  <w:rPr>
                    <w:noProof/>
                    <w:webHidden/>
                  </w:rPr>
                </w:r>
                <w:r>
                  <w:rPr>
                    <w:noProof/>
                    <w:webHidden/>
                  </w:rPr>
                  <w:fldChar w:fldCharType="separate"/>
                </w:r>
                <w:r>
                  <w:rPr>
                    <w:noProof/>
                    <w:webHidden/>
                  </w:rPr>
                  <w:t>8</w:t>
                </w:r>
                <w:r>
                  <w:rPr>
                    <w:noProof/>
                    <w:webHidden/>
                  </w:rPr>
                  <w:fldChar w:fldCharType="end"/>
                </w:r>
              </w:hyperlink>
            </w:p>
            <w:p w:rsidR="00201AA8" w:rsidRDefault="00201AA8" w14:paraId="48D5103C" w14:textId="7B13904A">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5">
                <w:r w:rsidRPr="00520042">
                  <w:rPr>
                    <w:rStyle w:val="Hipervnculo"/>
                    <w:noProof/>
                    <w:lang w:val="es-ES"/>
                  </w:rPr>
                  <w:t>2.</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ALCANCE</w:t>
                </w:r>
                <w:r>
                  <w:rPr>
                    <w:noProof/>
                    <w:webHidden/>
                  </w:rPr>
                  <w:tab/>
                </w:r>
                <w:r>
                  <w:rPr>
                    <w:noProof/>
                    <w:webHidden/>
                  </w:rPr>
                  <w:fldChar w:fldCharType="begin"/>
                </w:r>
                <w:r>
                  <w:rPr>
                    <w:noProof/>
                    <w:webHidden/>
                  </w:rPr>
                  <w:instrText xml:space="preserve"> PAGEREF _Toc234234435 \h </w:instrText>
                </w:r>
                <w:r>
                  <w:rPr>
                    <w:noProof/>
                    <w:webHidden/>
                  </w:rPr>
                </w:r>
                <w:r>
                  <w:rPr>
                    <w:noProof/>
                    <w:webHidden/>
                  </w:rPr>
                  <w:fldChar w:fldCharType="separate"/>
                </w:r>
                <w:r>
                  <w:rPr>
                    <w:noProof/>
                    <w:webHidden/>
                  </w:rPr>
                  <w:t>9</w:t>
                </w:r>
                <w:r>
                  <w:rPr>
                    <w:noProof/>
                    <w:webHidden/>
                  </w:rPr>
                  <w:fldChar w:fldCharType="end"/>
                </w:r>
              </w:hyperlink>
            </w:p>
            <w:p w:rsidR="00201AA8" w:rsidRDefault="00201AA8" w14:paraId="30DCBBD5" w14:textId="062393FE">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6">
                <w:r w:rsidRPr="00520042">
                  <w:rPr>
                    <w:rStyle w:val="Hipervnculo"/>
                    <w:noProof/>
                    <w:lang w:val="es-ES"/>
                  </w:rPr>
                  <w:t>3.</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METODOLOGÍA</w:t>
                </w:r>
                <w:r>
                  <w:rPr>
                    <w:noProof/>
                    <w:webHidden/>
                  </w:rPr>
                  <w:tab/>
                </w:r>
                <w:r>
                  <w:rPr>
                    <w:noProof/>
                    <w:webHidden/>
                  </w:rPr>
                  <w:fldChar w:fldCharType="begin"/>
                </w:r>
                <w:r>
                  <w:rPr>
                    <w:noProof/>
                    <w:webHidden/>
                  </w:rPr>
                  <w:instrText xml:space="preserve"> PAGEREF _Toc234234436 \h </w:instrText>
                </w:r>
                <w:r>
                  <w:rPr>
                    <w:noProof/>
                    <w:webHidden/>
                  </w:rPr>
                </w:r>
                <w:r>
                  <w:rPr>
                    <w:noProof/>
                    <w:webHidden/>
                  </w:rPr>
                  <w:fldChar w:fldCharType="separate"/>
                </w:r>
                <w:r>
                  <w:rPr>
                    <w:noProof/>
                    <w:webHidden/>
                  </w:rPr>
                  <w:t>9</w:t>
                </w:r>
                <w:r>
                  <w:rPr>
                    <w:noProof/>
                    <w:webHidden/>
                  </w:rPr>
                  <w:fldChar w:fldCharType="end"/>
                </w:r>
              </w:hyperlink>
            </w:p>
            <w:p w:rsidR="00201AA8" w:rsidRDefault="00201AA8" w14:paraId="1F1E9713" w14:textId="47DC7B1A">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7">
                <w:r w:rsidRPr="00520042">
                  <w:rPr>
                    <w:rStyle w:val="Hipervnculo"/>
                    <w:noProof/>
                    <w:lang w:val="es-ES"/>
                  </w:rPr>
                  <w:t>4.</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NORMATIVIDAD</w:t>
                </w:r>
                <w:r>
                  <w:rPr>
                    <w:noProof/>
                    <w:webHidden/>
                  </w:rPr>
                  <w:tab/>
                </w:r>
                <w:r>
                  <w:rPr>
                    <w:noProof/>
                    <w:webHidden/>
                  </w:rPr>
                  <w:fldChar w:fldCharType="begin"/>
                </w:r>
                <w:r>
                  <w:rPr>
                    <w:noProof/>
                    <w:webHidden/>
                  </w:rPr>
                  <w:instrText xml:space="preserve"> PAGEREF _Toc234234437 \h </w:instrText>
                </w:r>
                <w:r>
                  <w:rPr>
                    <w:noProof/>
                    <w:webHidden/>
                  </w:rPr>
                </w:r>
                <w:r>
                  <w:rPr>
                    <w:noProof/>
                    <w:webHidden/>
                  </w:rPr>
                  <w:fldChar w:fldCharType="separate"/>
                </w:r>
                <w:r>
                  <w:rPr>
                    <w:noProof/>
                    <w:webHidden/>
                  </w:rPr>
                  <w:t>10</w:t>
                </w:r>
                <w:r>
                  <w:rPr>
                    <w:noProof/>
                    <w:webHidden/>
                  </w:rPr>
                  <w:fldChar w:fldCharType="end"/>
                </w:r>
              </w:hyperlink>
            </w:p>
            <w:p w:rsidR="00201AA8" w:rsidRDefault="00201AA8" w14:paraId="73966C52" w14:textId="66A8FEB6">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38">
                <w:r w:rsidRPr="00520042">
                  <w:rPr>
                    <w:rStyle w:val="Hipervnculo"/>
                    <w:noProof/>
                    <w:lang w:val="es-ES"/>
                  </w:rPr>
                  <w:t>5.</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CONTEXTO ESTRATÉGICO</w:t>
                </w:r>
                <w:r>
                  <w:rPr>
                    <w:noProof/>
                    <w:webHidden/>
                  </w:rPr>
                  <w:tab/>
                </w:r>
                <w:r>
                  <w:rPr>
                    <w:noProof/>
                    <w:webHidden/>
                  </w:rPr>
                  <w:fldChar w:fldCharType="begin"/>
                </w:r>
                <w:r>
                  <w:rPr>
                    <w:noProof/>
                    <w:webHidden/>
                  </w:rPr>
                  <w:instrText xml:space="preserve"> PAGEREF _Toc234234438 \h </w:instrText>
                </w:r>
                <w:r>
                  <w:rPr>
                    <w:noProof/>
                    <w:webHidden/>
                  </w:rPr>
                </w:r>
                <w:r>
                  <w:rPr>
                    <w:noProof/>
                    <w:webHidden/>
                  </w:rPr>
                  <w:fldChar w:fldCharType="separate"/>
                </w:r>
                <w:r>
                  <w:rPr>
                    <w:noProof/>
                    <w:webHidden/>
                  </w:rPr>
                  <w:t>10</w:t>
                </w:r>
                <w:r>
                  <w:rPr>
                    <w:noProof/>
                    <w:webHidden/>
                  </w:rPr>
                  <w:fldChar w:fldCharType="end"/>
                </w:r>
              </w:hyperlink>
            </w:p>
            <w:p w:rsidR="00201AA8" w:rsidRDefault="00201AA8" w14:paraId="6CC67D5F" w14:textId="525702D7">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39">
                <w:r w:rsidRPr="00520042">
                  <w:rPr>
                    <w:rStyle w:val="Hipervnculo"/>
                    <w:noProof/>
                  </w:rPr>
                  <w:t>5.1</w:t>
                </w:r>
                <w:r>
                  <w:rPr>
                    <w:rFonts w:eastAsiaTheme="minorEastAsia" w:cstheme="minorBidi"/>
                    <w:smallCaps w:val="0"/>
                    <w:noProof/>
                    <w:kern w:val="2"/>
                    <w:sz w:val="24"/>
                    <w:szCs w:val="24"/>
                    <w:lang w:eastAsia="es-ES_tradnl"/>
                    <w14:ligatures w14:val="standardContextual"/>
                  </w:rPr>
                  <w:tab/>
                </w:r>
                <w:r w:rsidRPr="00520042">
                  <w:rPr>
                    <w:rStyle w:val="Hipervnculo"/>
                    <w:noProof/>
                  </w:rPr>
                  <w:t>Gobierno Nacional</w:t>
                </w:r>
                <w:r>
                  <w:rPr>
                    <w:noProof/>
                    <w:webHidden/>
                  </w:rPr>
                  <w:tab/>
                </w:r>
                <w:r>
                  <w:rPr>
                    <w:noProof/>
                    <w:webHidden/>
                  </w:rPr>
                  <w:fldChar w:fldCharType="begin"/>
                </w:r>
                <w:r>
                  <w:rPr>
                    <w:noProof/>
                    <w:webHidden/>
                  </w:rPr>
                  <w:instrText xml:space="preserve"> PAGEREF _Toc234234439 \h </w:instrText>
                </w:r>
                <w:r>
                  <w:rPr>
                    <w:noProof/>
                    <w:webHidden/>
                  </w:rPr>
                </w:r>
                <w:r>
                  <w:rPr>
                    <w:noProof/>
                    <w:webHidden/>
                  </w:rPr>
                  <w:fldChar w:fldCharType="separate"/>
                </w:r>
                <w:r>
                  <w:rPr>
                    <w:noProof/>
                    <w:webHidden/>
                  </w:rPr>
                  <w:t>11</w:t>
                </w:r>
                <w:r>
                  <w:rPr>
                    <w:noProof/>
                    <w:webHidden/>
                  </w:rPr>
                  <w:fldChar w:fldCharType="end"/>
                </w:r>
              </w:hyperlink>
            </w:p>
            <w:p w:rsidR="00201AA8" w:rsidRDefault="00201AA8" w14:paraId="15C4A1D2" w14:textId="0E6A775D">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40">
                <w:r w:rsidRPr="00520042">
                  <w:rPr>
                    <w:rStyle w:val="Hipervnculo"/>
                    <w:noProof/>
                  </w:rPr>
                  <w:t>5.2</w:t>
                </w:r>
                <w:r>
                  <w:rPr>
                    <w:rFonts w:eastAsiaTheme="minorEastAsia" w:cstheme="minorBidi"/>
                    <w:smallCaps w:val="0"/>
                    <w:noProof/>
                    <w:kern w:val="2"/>
                    <w:sz w:val="24"/>
                    <w:szCs w:val="24"/>
                    <w:lang w:eastAsia="es-ES_tradnl"/>
                    <w14:ligatures w14:val="standardContextual"/>
                  </w:rPr>
                  <w:tab/>
                </w:r>
                <w:r w:rsidRPr="00520042">
                  <w:rPr>
                    <w:rStyle w:val="Hipervnculo"/>
                    <w:noProof/>
                  </w:rPr>
                  <w:t>Estrategia Central - Ministerio de Minas y Energía</w:t>
                </w:r>
                <w:r>
                  <w:rPr>
                    <w:noProof/>
                    <w:webHidden/>
                  </w:rPr>
                  <w:tab/>
                </w:r>
                <w:r>
                  <w:rPr>
                    <w:noProof/>
                    <w:webHidden/>
                  </w:rPr>
                  <w:fldChar w:fldCharType="begin"/>
                </w:r>
                <w:r>
                  <w:rPr>
                    <w:noProof/>
                    <w:webHidden/>
                  </w:rPr>
                  <w:instrText xml:space="preserve"> PAGEREF _Toc234234440 \h </w:instrText>
                </w:r>
                <w:r>
                  <w:rPr>
                    <w:noProof/>
                    <w:webHidden/>
                  </w:rPr>
                </w:r>
                <w:r>
                  <w:rPr>
                    <w:noProof/>
                    <w:webHidden/>
                  </w:rPr>
                  <w:fldChar w:fldCharType="separate"/>
                </w:r>
                <w:r>
                  <w:rPr>
                    <w:noProof/>
                    <w:webHidden/>
                  </w:rPr>
                  <w:t>12</w:t>
                </w:r>
                <w:r>
                  <w:rPr>
                    <w:noProof/>
                    <w:webHidden/>
                  </w:rPr>
                  <w:fldChar w:fldCharType="end"/>
                </w:r>
              </w:hyperlink>
            </w:p>
            <w:p w:rsidR="00201AA8" w:rsidRDefault="00201AA8" w14:paraId="3380B5F4" w14:textId="1ABF1528">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41">
                <w:r w:rsidRPr="00520042">
                  <w:rPr>
                    <w:rStyle w:val="Hipervnculo"/>
                    <w:noProof/>
                  </w:rPr>
                  <w:t>5.3</w:t>
                </w:r>
                <w:r>
                  <w:rPr>
                    <w:rFonts w:eastAsiaTheme="minorEastAsia" w:cstheme="minorBidi"/>
                    <w:smallCaps w:val="0"/>
                    <w:noProof/>
                    <w:kern w:val="2"/>
                    <w:sz w:val="24"/>
                    <w:szCs w:val="24"/>
                    <w:lang w:eastAsia="es-ES_tradnl"/>
                    <w14:ligatures w14:val="standardContextual"/>
                  </w:rPr>
                  <w:tab/>
                </w:r>
                <w:r w:rsidRPr="00520042">
                  <w:rPr>
                    <w:rStyle w:val="Hipervnculo"/>
                    <w:noProof/>
                  </w:rPr>
                  <w:t>Estrategia Sectorial</w:t>
                </w:r>
                <w:r>
                  <w:rPr>
                    <w:noProof/>
                    <w:webHidden/>
                  </w:rPr>
                  <w:tab/>
                </w:r>
                <w:r>
                  <w:rPr>
                    <w:noProof/>
                    <w:webHidden/>
                  </w:rPr>
                  <w:fldChar w:fldCharType="begin"/>
                </w:r>
                <w:r>
                  <w:rPr>
                    <w:noProof/>
                    <w:webHidden/>
                  </w:rPr>
                  <w:instrText xml:space="preserve"> PAGEREF _Toc234234441 \h </w:instrText>
                </w:r>
                <w:r>
                  <w:rPr>
                    <w:noProof/>
                    <w:webHidden/>
                  </w:rPr>
                </w:r>
                <w:r>
                  <w:rPr>
                    <w:noProof/>
                    <w:webHidden/>
                  </w:rPr>
                  <w:fldChar w:fldCharType="separate"/>
                </w:r>
                <w:r>
                  <w:rPr>
                    <w:noProof/>
                    <w:webHidden/>
                  </w:rPr>
                  <w:t>13</w:t>
                </w:r>
                <w:r>
                  <w:rPr>
                    <w:noProof/>
                    <w:webHidden/>
                  </w:rPr>
                  <w:fldChar w:fldCharType="end"/>
                </w:r>
              </w:hyperlink>
            </w:p>
            <w:p w:rsidR="00201AA8" w:rsidRDefault="00201AA8" w14:paraId="6BD1221C" w14:textId="74258CE5">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2">
                <w:r w:rsidRPr="00520042">
                  <w:rPr>
                    <w:rStyle w:val="Hipervnculo"/>
                    <w:noProof/>
                    <w:lang w:eastAsia="en-US"/>
                  </w:rPr>
                  <w:t>5.3.1</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Fondo de Energías no Convencionales y Gestión Eficiente de la Energía (FENOGE)</w:t>
                </w:r>
                <w:r>
                  <w:rPr>
                    <w:noProof/>
                    <w:webHidden/>
                  </w:rPr>
                  <w:tab/>
                </w:r>
                <w:r>
                  <w:rPr>
                    <w:noProof/>
                    <w:webHidden/>
                  </w:rPr>
                  <w:fldChar w:fldCharType="begin"/>
                </w:r>
                <w:r>
                  <w:rPr>
                    <w:noProof/>
                    <w:webHidden/>
                  </w:rPr>
                  <w:instrText xml:space="preserve"> PAGEREF _Toc234234442 \h </w:instrText>
                </w:r>
                <w:r>
                  <w:rPr>
                    <w:noProof/>
                    <w:webHidden/>
                  </w:rPr>
                </w:r>
                <w:r>
                  <w:rPr>
                    <w:noProof/>
                    <w:webHidden/>
                  </w:rPr>
                  <w:fldChar w:fldCharType="separate"/>
                </w:r>
                <w:r>
                  <w:rPr>
                    <w:noProof/>
                    <w:webHidden/>
                  </w:rPr>
                  <w:t>13</w:t>
                </w:r>
                <w:r>
                  <w:rPr>
                    <w:noProof/>
                    <w:webHidden/>
                  </w:rPr>
                  <w:fldChar w:fldCharType="end"/>
                </w:r>
              </w:hyperlink>
            </w:p>
            <w:p w:rsidR="00201AA8" w:rsidRDefault="00201AA8" w14:paraId="51168F85" w14:textId="606B3EF4">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3">
                <w:r w:rsidRPr="00520042">
                  <w:rPr>
                    <w:rStyle w:val="Hipervnculo"/>
                    <w:noProof/>
                    <w:lang w:eastAsia="en-US"/>
                  </w:rPr>
                  <w:t>5.3.2</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Agencia Nacional de Hidrocarburos (ANH)</w:t>
                </w:r>
                <w:r>
                  <w:rPr>
                    <w:noProof/>
                    <w:webHidden/>
                  </w:rPr>
                  <w:tab/>
                </w:r>
                <w:r>
                  <w:rPr>
                    <w:noProof/>
                    <w:webHidden/>
                  </w:rPr>
                  <w:fldChar w:fldCharType="begin"/>
                </w:r>
                <w:r>
                  <w:rPr>
                    <w:noProof/>
                    <w:webHidden/>
                  </w:rPr>
                  <w:instrText xml:space="preserve"> PAGEREF _Toc234234443 \h </w:instrText>
                </w:r>
                <w:r>
                  <w:rPr>
                    <w:noProof/>
                    <w:webHidden/>
                  </w:rPr>
                </w:r>
                <w:r>
                  <w:rPr>
                    <w:noProof/>
                    <w:webHidden/>
                  </w:rPr>
                  <w:fldChar w:fldCharType="separate"/>
                </w:r>
                <w:r>
                  <w:rPr>
                    <w:noProof/>
                    <w:webHidden/>
                  </w:rPr>
                  <w:t>13</w:t>
                </w:r>
                <w:r>
                  <w:rPr>
                    <w:noProof/>
                    <w:webHidden/>
                  </w:rPr>
                  <w:fldChar w:fldCharType="end"/>
                </w:r>
              </w:hyperlink>
            </w:p>
            <w:p w:rsidR="00201AA8" w:rsidRDefault="00201AA8" w14:paraId="698CCB30" w14:textId="7594872C">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4">
                <w:r w:rsidRPr="00520042">
                  <w:rPr>
                    <w:rStyle w:val="Hipervnculo"/>
                    <w:rFonts w:cs="Calibri"/>
                    <w:noProof/>
                  </w:rPr>
                  <w:t>5.3.3</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Agencia Nacional de Minería (ANM)</w:t>
                </w:r>
                <w:r>
                  <w:rPr>
                    <w:noProof/>
                    <w:webHidden/>
                  </w:rPr>
                  <w:tab/>
                </w:r>
                <w:r>
                  <w:rPr>
                    <w:noProof/>
                    <w:webHidden/>
                  </w:rPr>
                  <w:fldChar w:fldCharType="begin"/>
                </w:r>
                <w:r>
                  <w:rPr>
                    <w:noProof/>
                    <w:webHidden/>
                  </w:rPr>
                  <w:instrText xml:space="preserve"> PAGEREF _Toc234234444 \h </w:instrText>
                </w:r>
                <w:r>
                  <w:rPr>
                    <w:noProof/>
                    <w:webHidden/>
                  </w:rPr>
                </w:r>
                <w:r>
                  <w:rPr>
                    <w:noProof/>
                    <w:webHidden/>
                  </w:rPr>
                  <w:fldChar w:fldCharType="separate"/>
                </w:r>
                <w:r>
                  <w:rPr>
                    <w:noProof/>
                    <w:webHidden/>
                  </w:rPr>
                  <w:t>14</w:t>
                </w:r>
                <w:r>
                  <w:rPr>
                    <w:noProof/>
                    <w:webHidden/>
                  </w:rPr>
                  <w:fldChar w:fldCharType="end"/>
                </w:r>
              </w:hyperlink>
            </w:p>
            <w:p w:rsidR="00201AA8" w:rsidRDefault="00201AA8" w14:paraId="595BE387" w14:textId="085F4467">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5">
                <w:r w:rsidRPr="00520042">
                  <w:rPr>
                    <w:rStyle w:val="Hipervnculo"/>
                    <w:noProof/>
                    <w:lang w:eastAsia="en-US"/>
                  </w:rPr>
                  <w:t>5.3.4</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Comisión de Regulación de Energía y Gas (CREG)</w:t>
                </w:r>
                <w:r>
                  <w:rPr>
                    <w:noProof/>
                    <w:webHidden/>
                  </w:rPr>
                  <w:tab/>
                </w:r>
                <w:r>
                  <w:rPr>
                    <w:noProof/>
                    <w:webHidden/>
                  </w:rPr>
                  <w:fldChar w:fldCharType="begin"/>
                </w:r>
                <w:r>
                  <w:rPr>
                    <w:noProof/>
                    <w:webHidden/>
                  </w:rPr>
                  <w:instrText xml:space="preserve"> PAGEREF _Toc234234445 \h </w:instrText>
                </w:r>
                <w:r>
                  <w:rPr>
                    <w:noProof/>
                    <w:webHidden/>
                  </w:rPr>
                </w:r>
                <w:r>
                  <w:rPr>
                    <w:noProof/>
                    <w:webHidden/>
                  </w:rPr>
                  <w:fldChar w:fldCharType="separate"/>
                </w:r>
                <w:r>
                  <w:rPr>
                    <w:noProof/>
                    <w:webHidden/>
                  </w:rPr>
                  <w:t>15</w:t>
                </w:r>
                <w:r>
                  <w:rPr>
                    <w:noProof/>
                    <w:webHidden/>
                  </w:rPr>
                  <w:fldChar w:fldCharType="end"/>
                </w:r>
              </w:hyperlink>
            </w:p>
            <w:p w:rsidR="00201AA8" w:rsidRDefault="00201AA8" w14:paraId="35348BE2" w14:textId="461D793C">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6">
                <w:r w:rsidRPr="00520042">
                  <w:rPr>
                    <w:rStyle w:val="Hipervnculo"/>
                    <w:noProof/>
                    <w:lang w:eastAsia="en-US"/>
                  </w:rPr>
                  <w:t>5.3.5</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Instituto de Planificación y Promoción de Soluciones Energéticas para las Zonas no Interconectadas (IPSE).</w:t>
                </w:r>
                <w:r>
                  <w:rPr>
                    <w:noProof/>
                    <w:webHidden/>
                  </w:rPr>
                  <w:tab/>
                </w:r>
                <w:r>
                  <w:rPr>
                    <w:noProof/>
                    <w:webHidden/>
                  </w:rPr>
                  <w:fldChar w:fldCharType="begin"/>
                </w:r>
                <w:r>
                  <w:rPr>
                    <w:noProof/>
                    <w:webHidden/>
                  </w:rPr>
                  <w:instrText xml:space="preserve"> PAGEREF _Toc234234446 \h </w:instrText>
                </w:r>
                <w:r>
                  <w:rPr>
                    <w:noProof/>
                    <w:webHidden/>
                  </w:rPr>
                </w:r>
                <w:r>
                  <w:rPr>
                    <w:noProof/>
                    <w:webHidden/>
                  </w:rPr>
                  <w:fldChar w:fldCharType="separate"/>
                </w:r>
                <w:r>
                  <w:rPr>
                    <w:noProof/>
                    <w:webHidden/>
                  </w:rPr>
                  <w:t>16</w:t>
                </w:r>
                <w:r>
                  <w:rPr>
                    <w:noProof/>
                    <w:webHidden/>
                  </w:rPr>
                  <w:fldChar w:fldCharType="end"/>
                </w:r>
              </w:hyperlink>
            </w:p>
            <w:p w:rsidR="00201AA8" w:rsidRDefault="00201AA8" w14:paraId="3BE72EC6" w14:textId="4474D209">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7">
                <w:r w:rsidRPr="00520042">
                  <w:rPr>
                    <w:rStyle w:val="Hipervnculo"/>
                    <w:noProof/>
                    <w:lang w:eastAsia="en-US"/>
                  </w:rPr>
                  <w:t>5.3.6</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Servicio Geológico Colombiano. (SGC)</w:t>
                </w:r>
                <w:r>
                  <w:rPr>
                    <w:noProof/>
                    <w:webHidden/>
                  </w:rPr>
                  <w:tab/>
                </w:r>
                <w:r>
                  <w:rPr>
                    <w:noProof/>
                    <w:webHidden/>
                  </w:rPr>
                  <w:fldChar w:fldCharType="begin"/>
                </w:r>
                <w:r>
                  <w:rPr>
                    <w:noProof/>
                    <w:webHidden/>
                  </w:rPr>
                  <w:instrText xml:space="preserve"> PAGEREF _Toc234234447 \h </w:instrText>
                </w:r>
                <w:r>
                  <w:rPr>
                    <w:noProof/>
                    <w:webHidden/>
                  </w:rPr>
                </w:r>
                <w:r>
                  <w:rPr>
                    <w:noProof/>
                    <w:webHidden/>
                  </w:rPr>
                  <w:fldChar w:fldCharType="separate"/>
                </w:r>
                <w:r>
                  <w:rPr>
                    <w:noProof/>
                    <w:webHidden/>
                  </w:rPr>
                  <w:t>17</w:t>
                </w:r>
                <w:r>
                  <w:rPr>
                    <w:noProof/>
                    <w:webHidden/>
                  </w:rPr>
                  <w:fldChar w:fldCharType="end"/>
                </w:r>
              </w:hyperlink>
            </w:p>
            <w:p w:rsidR="00201AA8" w:rsidRDefault="00201AA8" w14:paraId="2EFA3B52" w14:textId="38D05E5C">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48">
                <w:r w:rsidRPr="00520042">
                  <w:rPr>
                    <w:rStyle w:val="Hipervnculo"/>
                    <w:noProof/>
                    <w:lang w:eastAsia="en-US"/>
                  </w:rPr>
                  <w:t>5.3.7</w:t>
                </w:r>
                <w:r>
                  <w:rPr>
                    <w:rFonts w:eastAsiaTheme="minorEastAsia" w:cstheme="minorBidi"/>
                    <w:i w:val="0"/>
                    <w:iCs w:val="0"/>
                    <w:noProof/>
                    <w:kern w:val="2"/>
                    <w:sz w:val="24"/>
                    <w:szCs w:val="24"/>
                    <w:lang w:eastAsia="es-ES_tradnl"/>
                    <w14:ligatures w14:val="standardContextual"/>
                  </w:rPr>
                  <w:tab/>
                </w:r>
                <w:r w:rsidRPr="00520042">
                  <w:rPr>
                    <w:rStyle w:val="Hipervnculo"/>
                    <w:noProof/>
                    <w:lang w:eastAsia="en-US"/>
                  </w:rPr>
                  <w:t>Unidad de Planeación Minero-Energética (UPME).</w:t>
                </w:r>
                <w:r>
                  <w:rPr>
                    <w:noProof/>
                    <w:webHidden/>
                  </w:rPr>
                  <w:tab/>
                </w:r>
                <w:r>
                  <w:rPr>
                    <w:noProof/>
                    <w:webHidden/>
                  </w:rPr>
                  <w:fldChar w:fldCharType="begin"/>
                </w:r>
                <w:r>
                  <w:rPr>
                    <w:noProof/>
                    <w:webHidden/>
                  </w:rPr>
                  <w:instrText xml:space="preserve"> PAGEREF _Toc234234448 \h </w:instrText>
                </w:r>
                <w:r>
                  <w:rPr>
                    <w:noProof/>
                    <w:webHidden/>
                  </w:rPr>
                </w:r>
                <w:r>
                  <w:rPr>
                    <w:noProof/>
                    <w:webHidden/>
                  </w:rPr>
                  <w:fldChar w:fldCharType="separate"/>
                </w:r>
                <w:r>
                  <w:rPr>
                    <w:noProof/>
                    <w:webHidden/>
                  </w:rPr>
                  <w:t>18</w:t>
                </w:r>
                <w:r>
                  <w:rPr>
                    <w:noProof/>
                    <w:webHidden/>
                  </w:rPr>
                  <w:fldChar w:fldCharType="end"/>
                </w:r>
              </w:hyperlink>
            </w:p>
            <w:p w:rsidR="00201AA8" w:rsidRDefault="00201AA8" w14:paraId="50C28703" w14:textId="7AB6A3DB">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449">
                <w:r w:rsidRPr="00520042">
                  <w:rPr>
                    <w:rStyle w:val="Hipervnculo"/>
                    <w:noProof/>
                    <w:lang w:val="es-ES"/>
                  </w:rPr>
                  <w:t>6</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SITUACIÓN ACTUAL (AS-IS) – DIAGNÓSTICO</w:t>
                </w:r>
                <w:r>
                  <w:rPr>
                    <w:noProof/>
                    <w:webHidden/>
                  </w:rPr>
                  <w:tab/>
                </w:r>
                <w:r>
                  <w:rPr>
                    <w:noProof/>
                    <w:webHidden/>
                  </w:rPr>
                  <w:fldChar w:fldCharType="begin"/>
                </w:r>
                <w:r>
                  <w:rPr>
                    <w:noProof/>
                    <w:webHidden/>
                  </w:rPr>
                  <w:instrText xml:space="preserve"> PAGEREF _Toc234234449 \h </w:instrText>
                </w:r>
                <w:r>
                  <w:rPr>
                    <w:noProof/>
                    <w:webHidden/>
                  </w:rPr>
                </w:r>
                <w:r>
                  <w:rPr>
                    <w:noProof/>
                    <w:webHidden/>
                  </w:rPr>
                  <w:fldChar w:fldCharType="separate"/>
                </w:r>
                <w:r>
                  <w:rPr>
                    <w:noProof/>
                    <w:webHidden/>
                  </w:rPr>
                  <w:t>19</w:t>
                </w:r>
                <w:r>
                  <w:rPr>
                    <w:noProof/>
                    <w:webHidden/>
                  </w:rPr>
                  <w:fldChar w:fldCharType="end"/>
                </w:r>
              </w:hyperlink>
            </w:p>
            <w:p w:rsidR="00201AA8" w:rsidRDefault="00201AA8" w14:paraId="51C27034" w14:textId="10D79D87">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50">
                <w:r w:rsidRPr="00520042">
                  <w:rPr>
                    <w:rStyle w:val="Hipervnculo"/>
                    <w:noProof/>
                  </w:rPr>
                  <w:t>6.1</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Arquitectura Sectorial</w:t>
                </w:r>
                <w:r>
                  <w:rPr>
                    <w:noProof/>
                    <w:webHidden/>
                  </w:rPr>
                  <w:tab/>
                </w:r>
                <w:r>
                  <w:rPr>
                    <w:noProof/>
                    <w:webHidden/>
                  </w:rPr>
                  <w:fldChar w:fldCharType="begin"/>
                </w:r>
                <w:r>
                  <w:rPr>
                    <w:noProof/>
                    <w:webHidden/>
                  </w:rPr>
                  <w:instrText xml:space="preserve"> PAGEREF _Toc234234450 \h </w:instrText>
                </w:r>
                <w:r>
                  <w:rPr>
                    <w:noProof/>
                    <w:webHidden/>
                  </w:rPr>
                </w:r>
                <w:r>
                  <w:rPr>
                    <w:noProof/>
                    <w:webHidden/>
                  </w:rPr>
                  <w:fldChar w:fldCharType="separate"/>
                </w:r>
                <w:r>
                  <w:rPr>
                    <w:noProof/>
                    <w:webHidden/>
                  </w:rPr>
                  <w:t>21</w:t>
                </w:r>
                <w:r>
                  <w:rPr>
                    <w:noProof/>
                    <w:webHidden/>
                  </w:rPr>
                  <w:fldChar w:fldCharType="end"/>
                </w:r>
              </w:hyperlink>
            </w:p>
            <w:p w:rsidR="00201AA8" w:rsidRDefault="00201AA8" w14:paraId="2B576D3C" w14:textId="63AA25FB">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51">
                <w:r w:rsidRPr="00520042">
                  <w:rPr>
                    <w:rStyle w:val="Hipervnculo"/>
                    <w:noProof/>
                  </w:rPr>
                  <w:t>6.1.1</w:t>
                </w:r>
                <w:r>
                  <w:rPr>
                    <w:rFonts w:eastAsiaTheme="minorEastAsia" w:cstheme="minorBidi"/>
                    <w:i w:val="0"/>
                    <w:iCs w:val="0"/>
                    <w:noProof/>
                    <w:kern w:val="2"/>
                    <w:sz w:val="24"/>
                    <w:szCs w:val="24"/>
                    <w:lang w:eastAsia="es-ES_tradnl"/>
                    <w14:ligatures w14:val="standardContextual"/>
                  </w:rPr>
                  <w:tab/>
                </w:r>
                <w:r w:rsidRPr="00520042">
                  <w:rPr>
                    <w:rStyle w:val="Hipervnculo"/>
                    <w:noProof/>
                  </w:rPr>
                  <w:t>Cadenas de valor sectoriales</w:t>
                </w:r>
                <w:r>
                  <w:rPr>
                    <w:noProof/>
                    <w:webHidden/>
                  </w:rPr>
                  <w:tab/>
                </w:r>
                <w:r>
                  <w:rPr>
                    <w:noProof/>
                    <w:webHidden/>
                  </w:rPr>
                  <w:fldChar w:fldCharType="begin"/>
                </w:r>
                <w:r>
                  <w:rPr>
                    <w:noProof/>
                    <w:webHidden/>
                  </w:rPr>
                  <w:instrText xml:space="preserve"> PAGEREF _Toc234234451 \h </w:instrText>
                </w:r>
                <w:r>
                  <w:rPr>
                    <w:noProof/>
                    <w:webHidden/>
                  </w:rPr>
                </w:r>
                <w:r>
                  <w:rPr>
                    <w:noProof/>
                    <w:webHidden/>
                  </w:rPr>
                  <w:fldChar w:fldCharType="separate"/>
                </w:r>
                <w:r>
                  <w:rPr>
                    <w:noProof/>
                    <w:webHidden/>
                  </w:rPr>
                  <w:t>21</w:t>
                </w:r>
                <w:r>
                  <w:rPr>
                    <w:noProof/>
                    <w:webHidden/>
                  </w:rPr>
                  <w:fldChar w:fldCharType="end"/>
                </w:r>
              </w:hyperlink>
            </w:p>
            <w:p w:rsidR="00201AA8" w:rsidRDefault="00201AA8" w14:paraId="54065151" w14:textId="73A457F6">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52">
                <w:r w:rsidRPr="00520042">
                  <w:rPr>
                    <w:rStyle w:val="Hipervnculo"/>
                    <w:rFonts w:eastAsiaTheme="majorEastAsia" w:cstheme="majorBidi"/>
                    <w:noProof/>
                    <w:lang w:eastAsia="en-US"/>
                  </w:rPr>
                  <w:t>6.1.2</w:t>
                </w:r>
                <w:r>
                  <w:rPr>
                    <w:rFonts w:eastAsiaTheme="minorEastAsia" w:cstheme="minorBidi"/>
                    <w:i w:val="0"/>
                    <w:iCs w:val="0"/>
                    <w:noProof/>
                    <w:kern w:val="2"/>
                    <w:sz w:val="24"/>
                    <w:szCs w:val="24"/>
                    <w:lang w:eastAsia="es-ES_tradnl"/>
                    <w14:ligatures w14:val="standardContextual"/>
                  </w:rPr>
                  <w:tab/>
                </w:r>
                <w:r w:rsidRPr="00520042">
                  <w:rPr>
                    <w:rStyle w:val="Hipervnculo"/>
                    <w:rFonts w:eastAsiaTheme="majorEastAsia" w:cstheme="majorBidi"/>
                    <w:noProof/>
                    <w:lang w:eastAsia="en-US"/>
                  </w:rPr>
                  <w:t>Trámites y servicios Sectoriales</w:t>
                </w:r>
                <w:r>
                  <w:rPr>
                    <w:noProof/>
                    <w:webHidden/>
                  </w:rPr>
                  <w:tab/>
                </w:r>
                <w:r>
                  <w:rPr>
                    <w:noProof/>
                    <w:webHidden/>
                  </w:rPr>
                  <w:fldChar w:fldCharType="begin"/>
                </w:r>
                <w:r>
                  <w:rPr>
                    <w:noProof/>
                    <w:webHidden/>
                  </w:rPr>
                  <w:instrText xml:space="preserve"> PAGEREF _Toc234234452 \h </w:instrText>
                </w:r>
                <w:r>
                  <w:rPr>
                    <w:noProof/>
                    <w:webHidden/>
                  </w:rPr>
                </w:r>
                <w:r>
                  <w:rPr>
                    <w:noProof/>
                    <w:webHidden/>
                  </w:rPr>
                  <w:fldChar w:fldCharType="separate"/>
                </w:r>
                <w:r>
                  <w:rPr>
                    <w:noProof/>
                    <w:webHidden/>
                  </w:rPr>
                  <w:t>25</w:t>
                </w:r>
                <w:r>
                  <w:rPr>
                    <w:noProof/>
                    <w:webHidden/>
                  </w:rPr>
                  <w:fldChar w:fldCharType="end"/>
                </w:r>
              </w:hyperlink>
            </w:p>
            <w:p w:rsidR="00201AA8" w:rsidRDefault="00201AA8" w14:paraId="116A64F3" w14:textId="69129015">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53">
                <w:r w:rsidRPr="00520042">
                  <w:rPr>
                    <w:rStyle w:val="Hipervnculo"/>
                    <w:rFonts w:eastAsiaTheme="majorEastAsia" w:cstheme="majorBidi"/>
                    <w:noProof/>
                    <w:lang w:eastAsia="en-US"/>
                  </w:rPr>
                  <w:t>6.1.3</w:t>
                </w:r>
                <w:r>
                  <w:rPr>
                    <w:rFonts w:eastAsiaTheme="minorEastAsia" w:cstheme="minorBidi"/>
                    <w:i w:val="0"/>
                    <w:iCs w:val="0"/>
                    <w:noProof/>
                    <w:kern w:val="2"/>
                    <w:sz w:val="24"/>
                    <w:szCs w:val="24"/>
                    <w:lang w:eastAsia="es-ES_tradnl"/>
                    <w14:ligatures w14:val="standardContextual"/>
                  </w:rPr>
                  <w:tab/>
                </w:r>
                <w:r w:rsidRPr="00520042">
                  <w:rPr>
                    <w:rStyle w:val="Hipervnculo"/>
                    <w:rFonts w:eastAsiaTheme="majorEastAsia" w:cstheme="majorBidi"/>
                    <w:noProof/>
                    <w:lang w:eastAsia="en-US"/>
                  </w:rPr>
                  <w:t>Debilidades y fortalezas del sector</w:t>
                </w:r>
                <w:r>
                  <w:rPr>
                    <w:noProof/>
                    <w:webHidden/>
                  </w:rPr>
                  <w:tab/>
                </w:r>
                <w:r>
                  <w:rPr>
                    <w:noProof/>
                    <w:webHidden/>
                  </w:rPr>
                  <w:fldChar w:fldCharType="begin"/>
                </w:r>
                <w:r>
                  <w:rPr>
                    <w:noProof/>
                    <w:webHidden/>
                  </w:rPr>
                  <w:instrText xml:space="preserve"> PAGEREF _Toc234234453 \h </w:instrText>
                </w:r>
                <w:r>
                  <w:rPr>
                    <w:noProof/>
                    <w:webHidden/>
                  </w:rPr>
                </w:r>
                <w:r>
                  <w:rPr>
                    <w:noProof/>
                    <w:webHidden/>
                  </w:rPr>
                  <w:fldChar w:fldCharType="separate"/>
                </w:r>
                <w:r>
                  <w:rPr>
                    <w:noProof/>
                    <w:webHidden/>
                  </w:rPr>
                  <w:t>29</w:t>
                </w:r>
                <w:r>
                  <w:rPr>
                    <w:noProof/>
                    <w:webHidden/>
                  </w:rPr>
                  <w:fldChar w:fldCharType="end"/>
                </w:r>
              </w:hyperlink>
            </w:p>
            <w:p w:rsidR="00201AA8" w:rsidRDefault="00201AA8" w14:paraId="39AF6D8F" w14:textId="799C32DA">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54">
                <w:r w:rsidRPr="00520042">
                  <w:rPr>
                    <w:rStyle w:val="Hipervnculo"/>
                    <w:rFonts w:eastAsiaTheme="majorEastAsia" w:cstheme="majorBidi"/>
                    <w:noProof/>
                    <w:lang w:eastAsia="en-US"/>
                  </w:rPr>
                  <w:t>6.1.4</w:t>
                </w:r>
                <w:r>
                  <w:rPr>
                    <w:rFonts w:eastAsiaTheme="minorEastAsia" w:cstheme="minorBidi"/>
                    <w:i w:val="0"/>
                    <w:iCs w:val="0"/>
                    <w:noProof/>
                    <w:kern w:val="2"/>
                    <w:sz w:val="24"/>
                    <w:szCs w:val="24"/>
                    <w:lang w:eastAsia="es-ES_tradnl"/>
                    <w14:ligatures w14:val="standardContextual"/>
                  </w:rPr>
                  <w:tab/>
                </w:r>
                <w:r w:rsidRPr="00520042">
                  <w:rPr>
                    <w:rStyle w:val="Hipervnculo"/>
                    <w:rFonts w:eastAsiaTheme="majorEastAsia" w:cstheme="majorBidi"/>
                    <w:noProof/>
                    <w:lang w:eastAsia="en-US"/>
                  </w:rPr>
                  <w:t>Rupturas Estratégicas</w:t>
                </w:r>
                <w:r>
                  <w:rPr>
                    <w:noProof/>
                    <w:webHidden/>
                  </w:rPr>
                  <w:tab/>
                </w:r>
                <w:r>
                  <w:rPr>
                    <w:noProof/>
                    <w:webHidden/>
                  </w:rPr>
                  <w:fldChar w:fldCharType="begin"/>
                </w:r>
                <w:r>
                  <w:rPr>
                    <w:noProof/>
                    <w:webHidden/>
                  </w:rPr>
                  <w:instrText xml:space="preserve"> PAGEREF _Toc234234454 \h </w:instrText>
                </w:r>
                <w:r>
                  <w:rPr>
                    <w:noProof/>
                    <w:webHidden/>
                  </w:rPr>
                </w:r>
                <w:r>
                  <w:rPr>
                    <w:noProof/>
                    <w:webHidden/>
                  </w:rPr>
                  <w:fldChar w:fldCharType="separate"/>
                </w:r>
                <w:r>
                  <w:rPr>
                    <w:noProof/>
                    <w:webHidden/>
                  </w:rPr>
                  <w:t>30</w:t>
                </w:r>
                <w:r>
                  <w:rPr>
                    <w:noProof/>
                    <w:webHidden/>
                  </w:rPr>
                  <w:fldChar w:fldCharType="end"/>
                </w:r>
              </w:hyperlink>
            </w:p>
            <w:p w:rsidR="00201AA8" w:rsidRDefault="00201AA8" w14:paraId="1A0AD208" w14:textId="5C3540B7">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55">
                <w:r w:rsidRPr="00520042">
                  <w:rPr>
                    <w:rStyle w:val="Hipervnculo"/>
                    <w:noProof/>
                  </w:rPr>
                  <w:t>6.2</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Arquitectura de Datos e Información Sectorial</w:t>
                </w:r>
                <w:r>
                  <w:rPr>
                    <w:noProof/>
                    <w:webHidden/>
                  </w:rPr>
                  <w:tab/>
                </w:r>
                <w:r>
                  <w:rPr>
                    <w:noProof/>
                    <w:webHidden/>
                  </w:rPr>
                  <w:fldChar w:fldCharType="begin"/>
                </w:r>
                <w:r>
                  <w:rPr>
                    <w:noProof/>
                    <w:webHidden/>
                  </w:rPr>
                  <w:instrText xml:space="preserve"> PAGEREF _Toc234234455 \h </w:instrText>
                </w:r>
                <w:r>
                  <w:rPr>
                    <w:noProof/>
                    <w:webHidden/>
                  </w:rPr>
                </w:r>
                <w:r>
                  <w:rPr>
                    <w:noProof/>
                    <w:webHidden/>
                  </w:rPr>
                  <w:fldChar w:fldCharType="separate"/>
                </w:r>
                <w:r>
                  <w:rPr>
                    <w:noProof/>
                    <w:webHidden/>
                  </w:rPr>
                  <w:t>31</w:t>
                </w:r>
                <w:r>
                  <w:rPr>
                    <w:noProof/>
                    <w:webHidden/>
                  </w:rPr>
                  <w:fldChar w:fldCharType="end"/>
                </w:r>
              </w:hyperlink>
            </w:p>
            <w:p w:rsidR="00201AA8" w:rsidRDefault="00201AA8" w14:paraId="2C283089" w14:textId="6AA378A5">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58">
                <w:r w:rsidRPr="00520042">
                  <w:rPr>
                    <w:rStyle w:val="Hipervnculo"/>
                    <w:noProof/>
                  </w:rPr>
                  <w:t>6.2.1</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Componentes de Información institucionales</w:t>
                </w:r>
                <w:r>
                  <w:rPr>
                    <w:noProof/>
                    <w:webHidden/>
                  </w:rPr>
                  <w:tab/>
                </w:r>
                <w:r>
                  <w:rPr>
                    <w:noProof/>
                    <w:webHidden/>
                  </w:rPr>
                  <w:fldChar w:fldCharType="begin"/>
                </w:r>
                <w:r>
                  <w:rPr>
                    <w:noProof/>
                    <w:webHidden/>
                  </w:rPr>
                  <w:instrText xml:space="preserve"> PAGEREF _Toc234234458 \h </w:instrText>
                </w:r>
                <w:r>
                  <w:rPr>
                    <w:noProof/>
                    <w:webHidden/>
                  </w:rPr>
                </w:r>
                <w:r>
                  <w:rPr>
                    <w:noProof/>
                    <w:webHidden/>
                  </w:rPr>
                  <w:fldChar w:fldCharType="separate"/>
                </w:r>
                <w:r>
                  <w:rPr>
                    <w:noProof/>
                    <w:webHidden/>
                  </w:rPr>
                  <w:t>32</w:t>
                </w:r>
                <w:r>
                  <w:rPr>
                    <w:noProof/>
                    <w:webHidden/>
                  </w:rPr>
                  <w:fldChar w:fldCharType="end"/>
                </w:r>
              </w:hyperlink>
            </w:p>
            <w:p w:rsidR="00201AA8" w:rsidRDefault="00201AA8" w14:paraId="1CDAB104" w14:textId="0376BC91">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59">
                <w:r w:rsidRPr="00520042">
                  <w:rPr>
                    <w:rStyle w:val="Hipervnculo"/>
                    <w:noProof/>
                  </w:rPr>
                  <w:t>6.2.2</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Datos Estadísticos</w:t>
                </w:r>
                <w:r>
                  <w:rPr>
                    <w:noProof/>
                    <w:webHidden/>
                  </w:rPr>
                  <w:tab/>
                </w:r>
                <w:r>
                  <w:rPr>
                    <w:noProof/>
                    <w:webHidden/>
                  </w:rPr>
                  <w:fldChar w:fldCharType="begin"/>
                </w:r>
                <w:r>
                  <w:rPr>
                    <w:noProof/>
                    <w:webHidden/>
                  </w:rPr>
                  <w:instrText xml:space="preserve"> PAGEREF _Toc234234459 \h </w:instrText>
                </w:r>
                <w:r>
                  <w:rPr>
                    <w:noProof/>
                    <w:webHidden/>
                  </w:rPr>
                </w:r>
                <w:r>
                  <w:rPr>
                    <w:noProof/>
                    <w:webHidden/>
                  </w:rPr>
                  <w:fldChar w:fldCharType="separate"/>
                </w:r>
                <w:r>
                  <w:rPr>
                    <w:noProof/>
                    <w:webHidden/>
                  </w:rPr>
                  <w:t>34</w:t>
                </w:r>
                <w:r>
                  <w:rPr>
                    <w:noProof/>
                    <w:webHidden/>
                  </w:rPr>
                  <w:fldChar w:fldCharType="end"/>
                </w:r>
              </w:hyperlink>
            </w:p>
            <w:p w:rsidR="00201AA8" w:rsidRDefault="00201AA8" w14:paraId="0CC5B79B" w14:textId="3A977D31">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0">
                <w:r w:rsidRPr="00520042">
                  <w:rPr>
                    <w:rStyle w:val="Hipervnculo"/>
                    <w:noProof/>
                  </w:rPr>
                  <w:t>6.2.3</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Datos Geoespaciales</w:t>
                </w:r>
                <w:r>
                  <w:rPr>
                    <w:noProof/>
                    <w:webHidden/>
                  </w:rPr>
                  <w:tab/>
                </w:r>
                <w:r>
                  <w:rPr>
                    <w:noProof/>
                    <w:webHidden/>
                  </w:rPr>
                  <w:fldChar w:fldCharType="begin"/>
                </w:r>
                <w:r>
                  <w:rPr>
                    <w:noProof/>
                    <w:webHidden/>
                  </w:rPr>
                  <w:instrText xml:space="preserve"> PAGEREF _Toc234234460 \h </w:instrText>
                </w:r>
                <w:r>
                  <w:rPr>
                    <w:noProof/>
                    <w:webHidden/>
                  </w:rPr>
                </w:r>
                <w:r>
                  <w:rPr>
                    <w:noProof/>
                    <w:webHidden/>
                  </w:rPr>
                  <w:fldChar w:fldCharType="separate"/>
                </w:r>
                <w:r>
                  <w:rPr>
                    <w:noProof/>
                    <w:webHidden/>
                  </w:rPr>
                  <w:t>35</w:t>
                </w:r>
                <w:r>
                  <w:rPr>
                    <w:noProof/>
                    <w:webHidden/>
                  </w:rPr>
                  <w:fldChar w:fldCharType="end"/>
                </w:r>
              </w:hyperlink>
            </w:p>
            <w:p w:rsidR="00201AA8" w:rsidRDefault="00201AA8" w14:paraId="18215DEC" w14:textId="0949764B">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1">
                <w:r w:rsidRPr="00520042">
                  <w:rPr>
                    <w:rStyle w:val="Hipervnculo"/>
                    <w:noProof/>
                  </w:rPr>
                  <w:t>6.2.4</w:t>
                </w:r>
                <w:r>
                  <w:rPr>
                    <w:rFonts w:eastAsiaTheme="minorEastAsia" w:cstheme="minorBidi"/>
                    <w:i w:val="0"/>
                    <w:iCs w:val="0"/>
                    <w:noProof/>
                    <w:kern w:val="2"/>
                    <w:sz w:val="24"/>
                    <w:szCs w:val="24"/>
                    <w:lang w:eastAsia="es-ES_tradnl"/>
                    <w14:ligatures w14:val="standardContextual"/>
                  </w:rPr>
                  <w:tab/>
                </w:r>
                <w:r w:rsidRPr="00520042">
                  <w:rPr>
                    <w:rStyle w:val="Hipervnculo"/>
                    <w:noProof/>
                  </w:rPr>
                  <w:t>Debilidades y fortalezas</w:t>
                </w:r>
                <w:r>
                  <w:rPr>
                    <w:noProof/>
                    <w:webHidden/>
                  </w:rPr>
                  <w:tab/>
                </w:r>
                <w:r>
                  <w:rPr>
                    <w:noProof/>
                    <w:webHidden/>
                  </w:rPr>
                  <w:fldChar w:fldCharType="begin"/>
                </w:r>
                <w:r>
                  <w:rPr>
                    <w:noProof/>
                    <w:webHidden/>
                  </w:rPr>
                  <w:instrText xml:space="preserve"> PAGEREF _Toc234234461 \h </w:instrText>
                </w:r>
                <w:r>
                  <w:rPr>
                    <w:noProof/>
                    <w:webHidden/>
                  </w:rPr>
                </w:r>
                <w:r>
                  <w:rPr>
                    <w:noProof/>
                    <w:webHidden/>
                  </w:rPr>
                  <w:fldChar w:fldCharType="separate"/>
                </w:r>
                <w:r>
                  <w:rPr>
                    <w:noProof/>
                    <w:webHidden/>
                  </w:rPr>
                  <w:t>36</w:t>
                </w:r>
                <w:r>
                  <w:rPr>
                    <w:noProof/>
                    <w:webHidden/>
                  </w:rPr>
                  <w:fldChar w:fldCharType="end"/>
                </w:r>
              </w:hyperlink>
            </w:p>
            <w:p w:rsidR="00201AA8" w:rsidRDefault="00201AA8" w14:paraId="531CEB71" w14:textId="0FF33025">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2">
                <w:r w:rsidRPr="00520042">
                  <w:rPr>
                    <w:rStyle w:val="Hipervnculo"/>
                    <w:noProof/>
                  </w:rPr>
                  <w:t>6.2.5</w:t>
                </w:r>
                <w:r>
                  <w:rPr>
                    <w:rFonts w:eastAsiaTheme="minorEastAsia" w:cstheme="minorBidi"/>
                    <w:i w:val="0"/>
                    <w:iCs w:val="0"/>
                    <w:noProof/>
                    <w:kern w:val="2"/>
                    <w:sz w:val="24"/>
                    <w:szCs w:val="24"/>
                    <w:lang w:eastAsia="es-ES_tradnl"/>
                    <w14:ligatures w14:val="standardContextual"/>
                  </w:rPr>
                  <w:tab/>
                </w:r>
                <w:r w:rsidRPr="00520042">
                  <w:rPr>
                    <w:rStyle w:val="Hipervnculo"/>
                    <w:noProof/>
                  </w:rPr>
                  <w:t>Rupturas Estratégicas</w:t>
                </w:r>
                <w:r>
                  <w:rPr>
                    <w:noProof/>
                    <w:webHidden/>
                  </w:rPr>
                  <w:tab/>
                </w:r>
                <w:r>
                  <w:rPr>
                    <w:noProof/>
                    <w:webHidden/>
                  </w:rPr>
                  <w:fldChar w:fldCharType="begin"/>
                </w:r>
                <w:r>
                  <w:rPr>
                    <w:noProof/>
                    <w:webHidden/>
                  </w:rPr>
                  <w:instrText xml:space="preserve"> PAGEREF _Toc234234462 \h </w:instrText>
                </w:r>
                <w:r>
                  <w:rPr>
                    <w:noProof/>
                    <w:webHidden/>
                  </w:rPr>
                </w:r>
                <w:r>
                  <w:rPr>
                    <w:noProof/>
                    <w:webHidden/>
                  </w:rPr>
                  <w:fldChar w:fldCharType="separate"/>
                </w:r>
                <w:r>
                  <w:rPr>
                    <w:noProof/>
                    <w:webHidden/>
                  </w:rPr>
                  <w:t>37</w:t>
                </w:r>
                <w:r>
                  <w:rPr>
                    <w:noProof/>
                    <w:webHidden/>
                  </w:rPr>
                  <w:fldChar w:fldCharType="end"/>
                </w:r>
              </w:hyperlink>
            </w:p>
            <w:p w:rsidR="00201AA8" w:rsidRDefault="00201AA8" w14:paraId="17813D8C" w14:textId="0476D54A">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63">
                <w:r w:rsidRPr="00520042">
                  <w:rPr>
                    <w:rStyle w:val="Hipervnculo"/>
                    <w:noProof/>
                  </w:rPr>
                  <w:t>6.3</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Interoperabilidad Sectorial</w:t>
                </w:r>
                <w:r>
                  <w:rPr>
                    <w:noProof/>
                    <w:webHidden/>
                  </w:rPr>
                  <w:tab/>
                </w:r>
                <w:r>
                  <w:rPr>
                    <w:noProof/>
                    <w:webHidden/>
                  </w:rPr>
                  <w:fldChar w:fldCharType="begin"/>
                </w:r>
                <w:r>
                  <w:rPr>
                    <w:noProof/>
                    <w:webHidden/>
                  </w:rPr>
                  <w:instrText xml:space="preserve"> PAGEREF _Toc234234463 \h </w:instrText>
                </w:r>
                <w:r>
                  <w:rPr>
                    <w:noProof/>
                    <w:webHidden/>
                  </w:rPr>
                </w:r>
                <w:r>
                  <w:rPr>
                    <w:noProof/>
                    <w:webHidden/>
                  </w:rPr>
                  <w:fldChar w:fldCharType="separate"/>
                </w:r>
                <w:r>
                  <w:rPr>
                    <w:noProof/>
                    <w:webHidden/>
                  </w:rPr>
                  <w:t>39</w:t>
                </w:r>
                <w:r>
                  <w:rPr>
                    <w:noProof/>
                    <w:webHidden/>
                  </w:rPr>
                  <w:fldChar w:fldCharType="end"/>
                </w:r>
              </w:hyperlink>
            </w:p>
            <w:p w:rsidR="00201AA8" w:rsidRDefault="00201AA8" w14:paraId="5422E220" w14:textId="24F55B51">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5">
                <w:r w:rsidRPr="00520042">
                  <w:rPr>
                    <w:rStyle w:val="Hipervnculo"/>
                    <w:noProof/>
                  </w:rPr>
                  <w:t>6.3.1</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sectorial de interoperabilidad</w:t>
                </w:r>
                <w:r>
                  <w:rPr>
                    <w:noProof/>
                    <w:webHidden/>
                  </w:rPr>
                  <w:tab/>
                </w:r>
                <w:r>
                  <w:rPr>
                    <w:noProof/>
                    <w:webHidden/>
                  </w:rPr>
                  <w:fldChar w:fldCharType="begin"/>
                </w:r>
                <w:r>
                  <w:rPr>
                    <w:noProof/>
                    <w:webHidden/>
                  </w:rPr>
                  <w:instrText xml:space="preserve"> PAGEREF _Toc234234465 \h </w:instrText>
                </w:r>
                <w:r>
                  <w:rPr>
                    <w:noProof/>
                    <w:webHidden/>
                  </w:rPr>
                </w:r>
                <w:r>
                  <w:rPr>
                    <w:noProof/>
                    <w:webHidden/>
                  </w:rPr>
                  <w:fldChar w:fldCharType="separate"/>
                </w:r>
                <w:r>
                  <w:rPr>
                    <w:noProof/>
                    <w:webHidden/>
                  </w:rPr>
                  <w:t>40</w:t>
                </w:r>
                <w:r>
                  <w:rPr>
                    <w:noProof/>
                    <w:webHidden/>
                  </w:rPr>
                  <w:fldChar w:fldCharType="end"/>
                </w:r>
              </w:hyperlink>
            </w:p>
            <w:p w:rsidR="00201AA8" w:rsidRDefault="00201AA8" w14:paraId="5949BD4A" w14:textId="333984A8">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6">
                <w:r w:rsidRPr="00520042">
                  <w:rPr>
                    <w:rStyle w:val="Hipervnculo"/>
                    <w:noProof/>
                  </w:rPr>
                  <w:t>6.3.2</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de Flujos de Datos y Modelo de Interoperabilidad Sectorial.</w:t>
                </w:r>
                <w:r>
                  <w:rPr>
                    <w:noProof/>
                    <w:webHidden/>
                  </w:rPr>
                  <w:tab/>
                </w:r>
                <w:r>
                  <w:rPr>
                    <w:noProof/>
                    <w:webHidden/>
                  </w:rPr>
                  <w:fldChar w:fldCharType="begin"/>
                </w:r>
                <w:r>
                  <w:rPr>
                    <w:noProof/>
                    <w:webHidden/>
                  </w:rPr>
                  <w:instrText xml:space="preserve"> PAGEREF _Toc234234466 \h </w:instrText>
                </w:r>
                <w:r>
                  <w:rPr>
                    <w:noProof/>
                    <w:webHidden/>
                  </w:rPr>
                </w:r>
                <w:r>
                  <w:rPr>
                    <w:noProof/>
                    <w:webHidden/>
                  </w:rPr>
                  <w:fldChar w:fldCharType="separate"/>
                </w:r>
                <w:r>
                  <w:rPr>
                    <w:noProof/>
                    <w:webHidden/>
                  </w:rPr>
                  <w:t>42</w:t>
                </w:r>
                <w:r>
                  <w:rPr>
                    <w:noProof/>
                    <w:webHidden/>
                  </w:rPr>
                  <w:fldChar w:fldCharType="end"/>
                </w:r>
              </w:hyperlink>
            </w:p>
            <w:p w:rsidR="00201AA8" w:rsidRDefault="00201AA8" w14:paraId="7CEFADA6" w14:textId="4642DCE9">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7">
                <w:r w:rsidRPr="00520042">
                  <w:rPr>
                    <w:rStyle w:val="Hipervnculo"/>
                    <w:noProof/>
                  </w:rPr>
                  <w:t>6.3.3</w:t>
                </w:r>
                <w:r>
                  <w:rPr>
                    <w:rFonts w:eastAsiaTheme="minorEastAsia" w:cstheme="minorBidi"/>
                    <w:i w:val="0"/>
                    <w:iCs w:val="0"/>
                    <w:noProof/>
                    <w:kern w:val="2"/>
                    <w:sz w:val="24"/>
                    <w:szCs w:val="24"/>
                    <w:lang w:eastAsia="es-ES_tradnl"/>
                    <w14:ligatures w14:val="standardContextual"/>
                  </w:rPr>
                  <w:tab/>
                </w:r>
                <w:r w:rsidRPr="00520042">
                  <w:rPr>
                    <w:rStyle w:val="Hipervnculo"/>
                    <w:noProof/>
                  </w:rPr>
                  <w:t>Debilidades y fortalezas</w:t>
                </w:r>
                <w:r>
                  <w:rPr>
                    <w:noProof/>
                    <w:webHidden/>
                  </w:rPr>
                  <w:tab/>
                </w:r>
                <w:r>
                  <w:rPr>
                    <w:noProof/>
                    <w:webHidden/>
                  </w:rPr>
                  <w:fldChar w:fldCharType="begin"/>
                </w:r>
                <w:r>
                  <w:rPr>
                    <w:noProof/>
                    <w:webHidden/>
                  </w:rPr>
                  <w:instrText xml:space="preserve"> PAGEREF _Toc234234467 \h </w:instrText>
                </w:r>
                <w:r>
                  <w:rPr>
                    <w:noProof/>
                    <w:webHidden/>
                  </w:rPr>
                </w:r>
                <w:r>
                  <w:rPr>
                    <w:noProof/>
                    <w:webHidden/>
                  </w:rPr>
                  <w:fldChar w:fldCharType="separate"/>
                </w:r>
                <w:r>
                  <w:rPr>
                    <w:noProof/>
                    <w:webHidden/>
                  </w:rPr>
                  <w:t>43</w:t>
                </w:r>
                <w:r>
                  <w:rPr>
                    <w:noProof/>
                    <w:webHidden/>
                  </w:rPr>
                  <w:fldChar w:fldCharType="end"/>
                </w:r>
              </w:hyperlink>
            </w:p>
            <w:p w:rsidR="00201AA8" w:rsidRDefault="00201AA8" w14:paraId="11E5BD7B" w14:textId="3C5CE3A7">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68">
                <w:r w:rsidRPr="00520042">
                  <w:rPr>
                    <w:rStyle w:val="Hipervnculo"/>
                    <w:noProof/>
                  </w:rPr>
                  <w:t>6.3.4</w:t>
                </w:r>
                <w:r>
                  <w:rPr>
                    <w:rFonts w:eastAsiaTheme="minorEastAsia" w:cstheme="minorBidi"/>
                    <w:i w:val="0"/>
                    <w:iCs w:val="0"/>
                    <w:noProof/>
                    <w:kern w:val="2"/>
                    <w:sz w:val="24"/>
                    <w:szCs w:val="24"/>
                    <w:lang w:eastAsia="es-ES_tradnl"/>
                    <w14:ligatures w14:val="standardContextual"/>
                  </w:rPr>
                  <w:tab/>
                </w:r>
                <w:r w:rsidRPr="00520042">
                  <w:rPr>
                    <w:rStyle w:val="Hipervnculo"/>
                    <w:noProof/>
                  </w:rPr>
                  <w:t>Rupturas Estratégicas</w:t>
                </w:r>
                <w:r>
                  <w:rPr>
                    <w:noProof/>
                    <w:webHidden/>
                  </w:rPr>
                  <w:tab/>
                </w:r>
                <w:r>
                  <w:rPr>
                    <w:noProof/>
                    <w:webHidden/>
                  </w:rPr>
                  <w:fldChar w:fldCharType="begin"/>
                </w:r>
                <w:r>
                  <w:rPr>
                    <w:noProof/>
                    <w:webHidden/>
                  </w:rPr>
                  <w:instrText xml:space="preserve"> PAGEREF _Toc234234468 \h </w:instrText>
                </w:r>
                <w:r>
                  <w:rPr>
                    <w:noProof/>
                    <w:webHidden/>
                  </w:rPr>
                </w:r>
                <w:r>
                  <w:rPr>
                    <w:noProof/>
                    <w:webHidden/>
                  </w:rPr>
                  <w:fldChar w:fldCharType="separate"/>
                </w:r>
                <w:r>
                  <w:rPr>
                    <w:noProof/>
                    <w:webHidden/>
                  </w:rPr>
                  <w:t>43</w:t>
                </w:r>
                <w:r>
                  <w:rPr>
                    <w:noProof/>
                    <w:webHidden/>
                  </w:rPr>
                  <w:fldChar w:fldCharType="end"/>
                </w:r>
              </w:hyperlink>
            </w:p>
            <w:p w:rsidR="00201AA8" w:rsidRDefault="00201AA8" w14:paraId="35A2DB0C" w14:textId="6B1B39BE">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69">
                <w:r w:rsidRPr="00520042">
                  <w:rPr>
                    <w:rStyle w:val="Hipervnculo"/>
                    <w:noProof/>
                  </w:rPr>
                  <w:t>6.4</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Arquitectura de Sistemas de Información Sectorial</w:t>
                </w:r>
                <w:r>
                  <w:rPr>
                    <w:noProof/>
                    <w:webHidden/>
                  </w:rPr>
                  <w:tab/>
                </w:r>
                <w:r>
                  <w:rPr>
                    <w:noProof/>
                    <w:webHidden/>
                  </w:rPr>
                  <w:fldChar w:fldCharType="begin"/>
                </w:r>
                <w:r>
                  <w:rPr>
                    <w:noProof/>
                    <w:webHidden/>
                  </w:rPr>
                  <w:instrText xml:space="preserve"> PAGEREF _Toc234234469 \h </w:instrText>
                </w:r>
                <w:r>
                  <w:rPr>
                    <w:noProof/>
                    <w:webHidden/>
                  </w:rPr>
                </w:r>
                <w:r>
                  <w:rPr>
                    <w:noProof/>
                    <w:webHidden/>
                  </w:rPr>
                  <w:fldChar w:fldCharType="separate"/>
                </w:r>
                <w:r>
                  <w:rPr>
                    <w:noProof/>
                    <w:webHidden/>
                  </w:rPr>
                  <w:t>44</w:t>
                </w:r>
                <w:r>
                  <w:rPr>
                    <w:noProof/>
                    <w:webHidden/>
                  </w:rPr>
                  <w:fldChar w:fldCharType="end"/>
                </w:r>
              </w:hyperlink>
            </w:p>
            <w:p w:rsidR="00201AA8" w:rsidRDefault="00201AA8" w14:paraId="43BA1A26" w14:textId="587D453B">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71">
                <w:r w:rsidRPr="00520042">
                  <w:rPr>
                    <w:rStyle w:val="Hipervnculo"/>
                    <w:noProof/>
                  </w:rPr>
                  <w:t>6.4.1</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Sistemas de información por entidad adscrita</w:t>
                </w:r>
                <w:r>
                  <w:rPr>
                    <w:noProof/>
                    <w:webHidden/>
                  </w:rPr>
                  <w:tab/>
                </w:r>
                <w:r>
                  <w:rPr>
                    <w:noProof/>
                    <w:webHidden/>
                  </w:rPr>
                  <w:fldChar w:fldCharType="begin"/>
                </w:r>
                <w:r>
                  <w:rPr>
                    <w:noProof/>
                    <w:webHidden/>
                  </w:rPr>
                  <w:instrText xml:space="preserve"> PAGEREF _Toc234234471 \h </w:instrText>
                </w:r>
                <w:r>
                  <w:rPr>
                    <w:noProof/>
                    <w:webHidden/>
                  </w:rPr>
                </w:r>
                <w:r>
                  <w:rPr>
                    <w:noProof/>
                    <w:webHidden/>
                  </w:rPr>
                  <w:fldChar w:fldCharType="separate"/>
                </w:r>
                <w:r>
                  <w:rPr>
                    <w:noProof/>
                    <w:webHidden/>
                  </w:rPr>
                  <w:t>46</w:t>
                </w:r>
                <w:r>
                  <w:rPr>
                    <w:noProof/>
                    <w:webHidden/>
                  </w:rPr>
                  <w:fldChar w:fldCharType="end"/>
                </w:r>
              </w:hyperlink>
            </w:p>
            <w:p w:rsidR="00201AA8" w:rsidRDefault="00201AA8" w14:paraId="558A05E3" w14:textId="1E50C929">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72">
                <w:r w:rsidRPr="00520042">
                  <w:rPr>
                    <w:rStyle w:val="Hipervnculo"/>
                    <w:noProof/>
                  </w:rPr>
                  <w:t>6.4.2</w:t>
                </w:r>
                <w:r>
                  <w:rPr>
                    <w:rFonts w:eastAsiaTheme="minorEastAsia" w:cstheme="minorBidi"/>
                    <w:i w:val="0"/>
                    <w:iCs w:val="0"/>
                    <w:noProof/>
                    <w:kern w:val="2"/>
                    <w:sz w:val="24"/>
                    <w:szCs w:val="24"/>
                    <w:lang w:eastAsia="es-ES_tradnl"/>
                    <w14:ligatures w14:val="standardContextual"/>
                  </w:rPr>
                  <w:tab/>
                </w:r>
                <w:r w:rsidRPr="00520042">
                  <w:rPr>
                    <w:rStyle w:val="Hipervnculo"/>
                    <w:noProof/>
                  </w:rPr>
                  <w:t>Debilidades y fortalezas</w:t>
                </w:r>
                <w:r>
                  <w:rPr>
                    <w:noProof/>
                    <w:webHidden/>
                  </w:rPr>
                  <w:tab/>
                </w:r>
                <w:r>
                  <w:rPr>
                    <w:noProof/>
                    <w:webHidden/>
                  </w:rPr>
                  <w:fldChar w:fldCharType="begin"/>
                </w:r>
                <w:r>
                  <w:rPr>
                    <w:noProof/>
                    <w:webHidden/>
                  </w:rPr>
                  <w:instrText xml:space="preserve"> PAGEREF _Toc234234472 \h </w:instrText>
                </w:r>
                <w:r>
                  <w:rPr>
                    <w:noProof/>
                    <w:webHidden/>
                  </w:rPr>
                </w:r>
                <w:r>
                  <w:rPr>
                    <w:noProof/>
                    <w:webHidden/>
                  </w:rPr>
                  <w:fldChar w:fldCharType="separate"/>
                </w:r>
                <w:r>
                  <w:rPr>
                    <w:noProof/>
                    <w:webHidden/>
                  </w:rPr>
                  <w:t>49</w:t>
                </w:r>
                <w:r>
                  <w:rPr>
                    <w:noProof/>
                    <w:webHidden/>
                  </w:rPr>
                  <w:fldChar w:fldCharType="end"/>
                </w:r>
              </w:hyperlink>
            </w:p>
            <w:p w:rsidR="00201AA8" w:rsidRDefault="00201AA8" w14:paraId="2B10A664" w14:textId="2874190D">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73">
                <w:r w:rsidRPr="00520042">
                  <w:rPr>
                    <w:rStyle w:val="Hipervnculo"/>
                    <w:noProof/>
                  </w:rPr>
                  <w:t>6.4.3</w:t>
                </w:r>
                <w:r>
                  <w:rPr>
                    <w:rFonts w:eastAsiaTheme="minorEastAsia" w:cstheme="minorBidi"/>
                    <w:i w:val="0"/>
                    <w:iCs w:val="0"/>
                    <w:noProof/>
                    <w:kern w:val="2"/>
                    <w:sz w:val="24"/>
                    <w:szCs w:val="24"/>
                    <w:lang w:eastAsia="es-ES_tradnl"/>
                    <w14:ligatures w14:val="standardContextual"/>
                  </w:rPr>
                  <w:tab/>
                </w:r>
                <w:r w:rsidRPr="00520042">
                  <w:rPr>
                    <w:rStyle w:val="Hipervnculo"/>
                    <w:noProof/>
                  </w:rPr>
                  <w:t>Rupturas Estratégicas</w:t>
                </w:r>
                <w:r>
                  <w:rPr>
                    <w:noProof/>
                    <w:webHidden/>
                  </w:rPr>
                  <w:tab/>
                </w:r>
                <w:r>
                  <w:rPr>
                    <w:noProof/>
                    <w:webHidden/>
                  </w:rPr>
                  <w:fldChar w:fldCharType="begin"/>
                </w:r>
                <w:r>
                  <w:rPr>
                    <w:noProof/>
                    <w:webHidden/>
                  </w:rPr>
                  <w:instrText xml:space="preserve"> PAGEREF _Toc234234473 \h </w:instrText>
                </w:r>
                <w:r>
                  <w:rPr>
                    <w:noProof/>
                    <w:webHidden/>
                  </w:rPr>
                </w:r>
                <w:r>
                  <w:rPr>
                    <w:noProof/>
                    <w:webHidden/>
                  </w:rPr>
                  <w:fldChar w:fldCharType="separate"/>
                </w:r>
                <w:r>
                  <w:rPr>
                    <w:noProof/>
                    <w:webHidden/>
                  </w:rPr>
                  <w:t>50</w:t>
                </w:r>
                <w:r>
                  <w:rPr>
                    <w:noProof/>
                    <w:webHidden/>
                  </w:rPr>
                  <w:fldChar w:fldCharType="end"/>
                </w:r>
              </w:hyperlink>
            </w:p>
            <w:p w:rsidR="00201AA8" w:rsidRDefault="00201AA8" w14:paraId="38CC0466" w14:textId="422AC5B3">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74">
                <w:r w:rsidRPr="00520042">
                  <w:rPr>
                    <w:rStyle w:val="Hipervnculo"/>
                    <w:noProof/>
                  </w:rPr>
                  <w:t>6.5</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Infraestructura y Servicios Tecnológicos Sectorial</w:t>
                </w:r>
                <w:r>
                  <w:rPr>
                    <w:noProof/>
                    <w:webHidden/>
                  </w:rPr>
                  <w:tab/>
                </w:r>
                <w:r>
                  <w:rPr>
                    <w:noProof/>
                    <w:webHidden/>
                  </w:rPr>
                  <w:fldChar w:fldCharType="begin"/>
                </w:r>
                <w:r>
                  <w:rPr>
                    <w:noProof/>
                    <w:webHidden/>
                  </w:rPr>
                  <w:instrText xml:space="preserve"> PAGEREF _Toc234234474 \h </w:instrText>
                </w:r>
                <w:r>
                  <w:rPr>
                    <w:noProof/>
                    <w:webHidden/>
                  </w:rPr>
                </w:r>
                <w:r>
                  <w:rPr>
                    <w:noProof/>
                    <w:webHidden/>
                  </w:rPr>
                  <w:fldChar w:fldCharType="separate"/>
                </w:r>
                <w:r>
                  <w:rPr>
                    <w:noProof/>
                    <w:webHidden/>
                  </w:rPr>
                  <w:t>52</w:t>
                </w:r>
                <w:r>
                  <w:rPr>
                    <w:noProof/>
                    <w:webHidden/>
                  </w:rPr>
                  <w:fldChar w:fldCharType="end"/>
                </w:r>
              </w:hyperlink>
            </w:p>
            <w:p w:rsidR="00201AA8" w:rsidRDefault="00201AA8" w14:paraId="05D18E22" w14:textId="5F8C8F27">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76">
                <w:r w:rsidRPr="00520042">
                  <w:rPr>
                    <w:rStyle w:val="Hipervnculo"/>
                    <w:noProof/>
                  </w:rPr>
                  <w:t>6.5.1</w:t>
                </w:r>
                <w:r>
                  <w:rPr>
                    <w:rFonts w:eastAsiaTheme="minorEastAsia" w:cstheme="minorBidi"/>
                    <w:i w:val="0"/>
                    <w:iCs w:val="0"/>
                    <w:noProof/>
                    <w:kern w:val="2"/>
                    <w:sz w:val="24"/>
                    <w:szCs w:val="24"/>
                    <w:lang w:eastAsia="es-ES_tradnl"/>
                    <w14:ligatures w14:val="standardContextual"/>
                  </w:rPr>
                  <w:tab/>
                </w:r>
                <w:r w:rsidRPr="00520042">
                  <w:rPr>
                    <w:rStyle w:val="Hipervnculo"/>
                    <w:noProof/>
                  </w:rPr>
                  <w:t>Infraestructura y Servicios TI</w:t>
                </w:r>
                <w:r>
                  <w:rPr>
                    <w:noProof/>
                    <w:webHidden/>
                  </w:rPr>
                  <w:tab/>
                </w:r>
                <w:r>
                  <w:rPr>
                    <w:noProof/>
                    <w:webHidden/>
                  </w:rPr>
                  <w:fldChar w:fldCharType="begin"/>
                </w:r>
                <w:r>
                  <w:rPr>
                    <w:noProof/>
                    <w:webHidden/>
                  </w:rPr>
                  <w:instrText xml:space="preserve"> PAGEREF _Toc234234476 \h </w:instrText>
                </w:r>
                <w:r>
                  <w:rPr>
                    <w:noProof/>
                    <w:webHidden/>
                  </w:rPr>
                </w:r>
                <w:r>
                  <w:rPr>
                    <w:noProof/>
                    <w:webHidden/>
                  </w:rPr>
                  <w:fldChar w:fldCharType="separate"/>
                </w:r>
                <w:r>
                  <w:rPr>
                    <w:noProof/>
                    <w:webHidden/>
                  </w:rPr>
                  <w:t>53</w:t>
                </w:r>
                <w:r>
                  <w:rPr>
                    <w:noProof/>
                    <w:webHidden/>
                  </w:rPr>
                  <w:fldChar w:fldCharType="end"/>
                </w:r>
              </w:hyperlink>
            </w:p>
            <w:p w:rsidR="00201AA8" w:rsidRDefault="00201AA8" w14:paraId="53464FFE" w14:textId="366EEA27">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77">
                <w:r w:rsidRPr="00520042">
                  <w:rPr>
                    <w:rStyle w:val="Hipervnculo"/>
                    <w:noProof/>
                  </w:rPr>
                  <w:t>6.5.2</w:t>
                </w:r>
                <w:r>
                  <w:rPr>
                    <w:rFonts w:eastAsiaTheme="minorEastAsia" w:cstheme="minorBidi"/>
                    <w:i w:val="0"/>
                    <w:iCs w:val="0"/>
                    <w:noProof/>
                    <w:kern w:val="2"/>
                    <w:sz w:val="24"/>
                    <w:szCs w:val="24"/>
                    <w:lang w:eastAsia="es-ES_tradnl"/>
                    <w14:ligatures w14:val="standardContextual"/>
                  </w:rPr>
                  <w:tab/>
                </w:r>
                <w:r w:rsidRPr="00520042">
                  <w:rPr>
                    <w:rStyle w:val="Hipervnculo"/>
                    <w:noProof/>
                  </w:rPr>
                  <w:t>Debilidades y fortalezas</w:t>
                </w:r>
                <w:r>
                  <w:rPr>
                    <w:noProof/>
                    <w:webHidden/>
                  </w:rPr>
                  <w:tab/>
                </w:r>
                <w:r>
                  <w:rPr>
                    <w:noProof/>
                    <w:webHidden/>
                  </w:rPr>
                  <w:fldChar w:fldCharType="begin"/>
                </w:r>
                <w:r>
                  <w:rPr>
                    <w:noProof/>
                    <w:webHidden/>
                  </w:rPr>
                  <w:instrText xml:space="preserve"> PAGEREF _Toc234234477 \h </w:instrText>
                </w:r>
                <w:r>
                  <w:rPr>
                    <w:noProof/>
                    <w:webHidden/>
                  </w:rPr>
                </w:r>
                <w:r>
                  <w:rPr>
                    <w:noProof/>
                    <w:webHidden/>
                  </w:rPr>
                  <w:fldChar w:fldCharType="separate"/>
                </w:r>
                <w:r>
                  <w:rPr>
                    <w:noProof/>
                    <w:webHidden/>
                  </w:rPr>
                  <w:t>56</w:t>
                </w:r>
                <w:r>
                  <w:rPr>
                    <w:noProof/>
                    <w:webHidden/>
                  </w:rPr>
                  <w:fldChar w:fldCharType="end"/>
                </w:r>
              </w:hyperlink>
            </w:p>
            <w:p w:rsidR="00201AA8" w:rsidRDefault="00201AA8" w14:paraId="4B77B277" w14:textId="6D663F09">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78">
                <w:r w:rsidRPr="00520042">
                  <w:rPr>
                    <w:rStyle w:val="Hipervnculo"/>
                    <w:noProof/>
                  </w:rPr>
                  <w:t>6.5.3</w:t>
                </w:r>
                <w:r>
                  <w:rPr>
                    <w:rFonts w:eastAsiaTheme="minorEastAsia" w:cstheme="minorBidi"/>
                    <w:i w:val="0"/>
                    <w:iCs w:val="0"/>
                    <w:noProof/>
                    <w:kern w:val="2"/>
                    <w:sz w:val="24"/>
                    <w:szCs w:val="24"/>
                    <w:lang w:eastAsia="es-ES_tradnl"/>
                    <w14:ligatures w14:val="standardContextual"/>
                  </w:rPr>
                  <w:tab/>
                </w:r>
                <w:r w:rsidRPr="00520042">
                  <w:rPr>
                    <w:rStyle w:val="Hipervnculo"/>
                    <w:noProof/>
                  </w:rPr>
                  <w:t>Rupturas Estratégicas</w:t>
                </w:r>
                <w:r>
                  <w:rPr>
                    <w:noProof/>
                    <w:webHidden/>
                  </w:rPr>
                  <w:tab/>
                </w:r>
                <w:r>
                  <w:rPr>
                    <w:noProof/>
                    <w:webHidden/>
                  </w:rPr>
                  <w:fldChar w:fldCharType="begin"/>
                </w:r>
                <w:r>
                  <w:rPr>
                    <w:noProof/>
                    <w:webHidden/>
                  </w:rPr>
                  <w:instrText xml:space="preserve"> PAGEREF _Toc234234478 \h </w:instrText>
                </w:r>
                <w:r>
                  <w:rPr>
                    <w:noProof/>
                    <w:webHidden/>
                  </w:rPr>
                </w:r>
                <w:r>
                  <w:rPr>
                    <w:noProof/>
                    <w:webHidden/>
                  </w:rPr>
                  <w:fldChar w:fldCharType="separate"/>
                </w:r>
                <w:r>
                  <w:rPr>
                    <w:noProof/>
                    <w:webHidden/>
                  </w:rPr>
                  <w:t>57</w:t>
                </w:r>
                <w:r>
                  <w:rPr>
                    <w:noProof/>
                    <w:webHidden/>
                  </w:rPr>
                  <w:fldChar w:fldCharType="end"/>
                </w:r>
              </w:hyperlink>
            </w:p>
            <w:p w:rsidR="00201AA8" w:rsidRDefault="00201AA8" w14:paraId="4A066E59" w14:textId="6EB574FC">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79">
                <w:r w:rsidRPr="00520042">
                  <w:rPr>
                    <w:rStyle w:val="Hipervnculo"/>
                    <w:noProof/>
                  </w:rPr>
                  <w:t>6.6</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Seguridad y Privacidad de la Información Sectorial</w:t>
                </w:r>
                <w:r>
                  <w:rPr>
                    <w:noProof/>
                    <w:webHidden/>
                  </w:rPr>
                  <w:tab/>
                </w:r>
                <w:r>
                  <w:rPr>
                    <w:noProof/>
                    <w:webHidden/>
                  </w:rPr>
                  <w:fldChar w:fldCharType="begin"/>
                </w:r>
                <w:r>
                  <w:rPr>
                    <w:noProof/>
                    <w:webHidden/>
                  </w:rPr>
                  <w:instrText xml:space="preserve"> PAGEREF _Toc234234479 \h </w:instrText>
                </w:r>
                <w:r>
                  <w:rPr>
                    <w:noProof/>
                    <w:webHidden/>
                  </w:rPr>
                </w:r>
                <w:r>
                  <w:rPr>
                    <w:noProof/>
                    <w:webHidden/>
                  </w:rPr>
                  <w:fldChar w:fldCharType="separate"/>
                </w:r>
                <w:r>
                  <w:rPr>
                    <w:noProof/>
                    <w:webHidden/>
                  </w:rPr>
                  <w:t>58</w:t>
                </w:r>
                <w:r>
                  <w:rPr>
                    <w:noProof/>
                    <w:webHidden/>
                  </w:rPr>
                  <w:fldChar w:fldCharType="end"/>
                </w:r>
              </w:hyperlink>
            </w:p>
            <w:p w:rsidR="00201AA8" w:rsidRDefault="00201AA8" w14:paraId="73C4347B" w14:textId="715E4850">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1">
                <w:r w:rsidRPr="00520042">
                  <w:rPr>
                    <w:rStyle w:val="Hipervnculo"/>
                    <w:noProof/>
                  </w:rPr>
                  <w:t>6.6.1</w:t>
                </w:r>
                <w:r>
                  <w:rPr>
                    <w:rFonts w:eastAsiaTheme="minorEastAsia" w:cstheme="minorBidi"/>
                    <w:i w:val="0"/>
                    <w:iCs w:val="0"/>
                    <w:noProof/>
                    <w:kern w:val="2"/>
                    <w:sz w:val="24"/>
                    <w:szCs w:val="24"/>
                    <w:lang w:eastAsia="es-ES_tradnl"/>
                    <w14:ligatures w14:val="standardContextual"/>
                  </w:rPr>
                  <w:tab/>
                </w:r>
                <w:r w:rsidRPr="00520042">
                  <w:rPr>
                    <w:rStyle w:val="Hipervnculo"/>
                    <w:noProof/>
                  </w:rPr>
                  <w:t>Inventario de Activos Críticos Sectoriales</w:t>
                </w:r>
                <w:r>
                  <w:rPr>
                    <w:noProof/>
                    <w:webHidden/>
                  </w:rPr>
                  <w:tab/>
                </w:r>
                <w:r>
                  <w:rPr>
                    <w:noProof/>
                    <w:webHidden/>
                  </w:rPr>
                  <w:fldChar w:fldCharType="begin"/>
                </w:r>
                <w:r>
                  <w:rPr>
                    <w:noProof/>
                    <w:webHidden/>
                  </w:rPr>
                  <w:instrText xml:space="preserve"> PAGEREF _Toc234234481 \h </w:instrText>
                </w:r>
                <w:r>
                  <w:rPr>
                    <w:noProof/>
                    <w:webHidden/>
                  </w:rPr>
                </w:r>
                <w:r>
                  <w:rPr>
                    <w:noProof/>
                    <w:webHidden/>
                  </w:rPr>
                  <w:fldChar w:fldCharType="separate"/>
                </w:r>
                <w:r>
                  <w:rPr>
                    <w:noProof/>
                    <w:webHidden/>
                  </w:rPr>
                  <w:t>59</w:t>
                </w:r>
                <w:r>
                  <w:rPr>
                    <w:noProof/>
                    <w:webHidden/>
                  </w:rPr>
                  <w:fldChar w:fldCharType="end"/>
                </w:r>
              </w:hyperlink>
            </w:p>
            <w:p w:rsidR="00201AA8" w:rsidRDefault="00201AA8" w14:paraId="491E3EF4" w14:textId="7BD0F6F0">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2">
                <w:r w:rsidRPr="00520042">
                  <w:rPr>
                    <w:rStyle w:val="Hipervnculo"/>
                    <w:rFonts w:cs="Calibri"/>
                    <w:noProof/>
                  </w:rPr>
                  <w:t>6.6.2</w:t>
                </w:r>
                <w:r>
                  <w:rPr>
                    <w:rFonts w:eastAsiaTheme="minorEastAsia" w:cstheme="minorBidi"/>
                    <w:i w:val="0"/>
                    <w:iCs w:val="0"/>
                    <w:noProof/>
                    <w:kern w:val="2"/>
                    <w:sz w:val="24"/>
                    <w:szCs w:val="24"/>
                    <w:lang w:eastAsia="es-ES_tradnl"/>
                    <w14:ligatures w14:val="standardContextual"/>
                  </w:rPr>
                  <w:tab/>
                </w:r>
                <w:r w:rsidRPr="00520042">
                  <w:rPr>
                    <w:rStyle w:val="Hipervnculo"/>
                    <w:rFonts w:cs="Calibri"/>
                    <w:noProof/>
                  </w:rPr>
                  <w:t>Centros de Control de Operaciones y Monitoreo (SOC)</w:t>
                </w:r>
                <w:r>
                  <w:rPr>
                    <w:noProof/>
                    <w:webHidden/>
                  </w:rPr>
                  <w:tab/>
                </w:r>
                <w:r>
                  <w:rPr>
                    <w:noProof/>
                    <w:webHidden/>
                  </w:rPr>
                  <w:fldChar w:fldCharType="begin"/>
                </w:r>
                <w:r>
                  <w:rPr>
                    <w:noProof/>
                    <w:webHidden/>
                  </w:rPr>
                  <w:instrText xml:space="preserve"> PAGEREF _Toc234234482 \h </w:instrText>
                </w:r>
                <w:r>
                  <w:rPr>
                    <w:noProof/>
                    <w:webHidden/>
                  </w:rPr>
                </w:r>
                <w:r>
                  <w:rPr>
                    <w:noProof/>
                    <w:webHidden/>
                  </w:rPr>
                  <w:fldChar w:fldCharType="separate"/>
                </w:r>
                <w:r>
                  <w:rPr>
                    <w:noProof/>
                    <w:webHidden/>
                  </w:rPr>
                  <w:t>60</w:t>
                </w:r>
                <w:r>
                  <w:rPr>
                    <w:noProof/>
                    <w:webHidden/>
                  </w:rPr>
                  <w:fldChar w:fldCharType="end"/>
                </w:r>
              </w:hyperlink>
            </w:p>
            <w:p w:rsidR="00201AA8" w:rsidRDefault="00201AA8" w14:paraId="2862029D" w14:textId="4489EE2B">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3">
                <w:r w:rsidRPr="00520042">
                  <w:rPr>
                    <w:rStyle w:val="Hipervnculo"/>
                    <w:rFonts w:eastAsia="Arial" w:cs="Calibri"/>
                    <w:noProof/>
                  </w:rPr>
                  <w:t>6.6.3</w:t>
                </w:r>
                <w:r>
                  <w:rPr>
                    <w:rFonts w:eastAsiaTheme="minorEastAsia" w:cstheme="minorBidi"/>
                    <w:i w:val="0"/>
                    <w:iCs w:val="0"/>
                    <w:noProof/>
                    <w:kern w:val="2"/>
                    <w:sz w:val="24"/>
                    <w:szCs w:val="24"/>
                    <w:lang w:eastAsia="es-ES_tradnl"/>
                    <w14:ligatures w14:val="standardContextual"/>
                  </w:rPr>
                  <w:tab/>
                </w:r>
                <w:r w:rsidRPr="00520042">
                  <w:rPr>
                    <w:rStyle w:val="Hipervnculo"/>
                    <w:rFonts w:eastAsia="Arial" w:cs="Calibri"/>
                    <w:noProof/>
                  </w:rPr>
                  <w:t>Planes de Seguridad, Riesgos, BIA, BCP y DRP</w:t>
                </w:r>
                <w:r>
                  <w:rPr>
                    <w:noProof/>
                    <w:webHidden/>
                  </w:rPr>
                  <w:tab/>
                </w:r>
                <w:r>
                  <w:rPr>
                    <w:noProof/>
                    <w:webHidden/>
                  </w:rPr>
                  <w:fldChar w:fldCharType="begin"/>
                </w:r>
                <w:r>
                  <w:rPr>
                    <w:noProof/>
                    <w:webHidden/>
                  </w:rPr>
                  <w:instrText xml:space="preserve"> PAGEREF _Toc234234483 \h </w:instrText>
                </w:r>
                <w:r>
                  <w:rPr>
                    <w:noProof/>
                    <w:webHidden/>
                  </w:rPr>
                </w:r>
                <w:r>
                  <w:rPr>
                    <w:noProof/>
                    <w:webHidden/>
                  </w:rPr>
                  <w:fldChar w:fldCharType="separate"/>
                </w:r>
                <w:r>
                  <w:rPr>
                    <w:noProof/>
                    <w:webHidden/>
                  </w:rPr>
                  <w:t>60</w:t>
                </w:r>
                <w:r>
                  <w:rPr>
                    <w:noProof/>
                    <w:webHidden/>
                  </w:rPr>
                  <w:fldChar w:fldCharType="end"/>
                </w:r>
              </w:hyperlink>
            </w:p>
            <w:p w:rsidR="00201AA8" w:rsidRDefault="00201AA8" w14:paraId="530B110F" w14:textId="048F85B1">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4">
                <w:r w:rsidRPr="00520042">
                  <w:rPr>
                    <w:rStyle w:val="Hipervnculo"/>
                    <w:noProof/>
                  </w:rPr>
                  <w:t>6.6.4</w:t>
                </w:r>
                <w:r>
                  <w:rPr>
                    <w:rFonts w:eastAsiaTheme="minorEastAsia" w:cstheme="minorBidi"/>
                    <w:i w:val="0"/>
                    <w:iCs w:val="0"/>
                    <w:noProof/>
                    <w:kern w:val="2"/>
                    <w:sz w:val="24"/>
                    <w:szCs w:val="24"/>
                    <w:lang w:eastAsia="es-ES_tradnl"/>
                    <w14:ligatures w14:val="standardContextual"/>
                  </w:rPr>
                  <w:tab/>
                </w:r>
                <w:r w:rsidRPr="00520042">
                  <w:rPr>
                    <w:rStyle w:val="Hipervnculo"/>
                    <w:noProof/>
                  </w:rPr>
                  <w:t>Controles Implementados (MSPI A.5–A.18)</w:t>
                </w:r>
                <w:r>
                  <w:rPr>
                    <w:noProof/>
                    <w:webHidden/>
                  </w:rPr>
                  <w:tab/>
                </w:r>
                <w:r>
                  <w:rPr>
                    <w:noProof/>
                    <w:webHidden/>
                  </w:rPr>
                  <w:fldChar w:fldCharType="begin"/>
                </w:r>
                <w:r>
                  <w:rPr>
                    <w:noProof/>
                    <w:webHidden/>
                  </w:rPr>
                  <w:instrText xml:space="preserve"> PAGEREF _Toc234234484 \h </w:instrText>
                </w:r>
                <w:r>
                  <w:rPr>
                    <w:noProof/>
                    <w:webHidden/>
                  </w:rPr>
                </w:r>
                <w:r>
                  <w:rPr>
                    <w:noProof/>
                    <w:webHidden/>
                  </w:rPr>
                  <w:fldChar w:fldCharType="separate"/>
                </w:r>
                <w:r>
                  <w:rPr>
                    <w:noProof/>
                    <w:webHidden/>
                  </w:rPr>
                  <w:t>61</w:t>
                </w:r>
                <w:r>
                  <w:rPr>
                    <w:noProof/>
                    <w:webHidden/>
                  </w:rPr>
                  <w:fldChar w:fldCharType="end"/>
                </w:r>
              </w:hyperlink>
            </w:p>
            <w:p w:rsidR="00201AA8" w:rsidRDefault="00201AA8" w14:paraId="6A9A45FC" w14:textId="0E5C5601">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5">
                <w:r w:rsidRPr="00520042">
                  <w:rPr>
                    <w:rStyle w:val="Hipervnculo"/>
                    <w:rFonts w:cs="Calibri"/>
                    <w:noProof/>
                  </w:rPr>
                  <w:t>6.6.5</w:t>
                </w:r>
                <w:r>
                  <w:rPr>
                    <w:rFonts w:eastAsiaTheme="minorEastAsia" w:cstheme="minorBidi"/>
                    <w:i w:val="0"/>
                    <w:iCs w:val="0"/>
                    <w:noProof/>
                    <w:kern w:val="2"/>
                    <w:sz w:val="24"/>
                    <w:szCs w:val="24"/>
                    <w:lang w:eastAsia="es-ES_tradnl"/>
                    <w14:ligatures w14:val="standardContextual"/>
                  </w:rPr>
                  <w:tab/>
                </w:r>
                <w:r w:rsidRPr="00520042">
                  <w:rPr>
                    <w:rStyle w:val="Hipervnculo"/>
                    <w:rFonts w:cs="Calibri"/>
                    <w:noProof/>
                  </w:rPr>
                  <w:t>Mecanismos de Respuesta a Incidentes (CSIRT) y Capacidad Forense</w:t>
                </w:r>
                <w:r>
                  <w:rPr>
                    <w:noProof/>
                    <w:webHidden/>
                  </w:rPr>
                  <w:tab/>
                </w:r>
                <w:r>
                  <w:rPr>
                    <w:noProof/>
                    <w:webHidden/>
                  </w:rPr>
                  <w:fldChar w:fldCharType="begin"/>
                </w:r>
                <w:r>
                  <w:rPr>
                    <w:noProof/>
                    <w:webHidden/>
                  </w:rPr>
                  <w:instrText xml:space="preserve"> PAGEREF _Toc234234485 \h </w:instrText>
                </w:r>
                <w:r>
                  <w:rPr>
                    <w:noProof/>
                    <w:webHidden/>
                  </w:rPr>
                </w:r>
                <w:r>
                  <w:rPr>
                    <w:noProof/>
                    <w:webHidden/>
                  </w:rPr>
                  <w:fldChar w:fldCharType="separate"/>
                </w:r>
                <w:r>
                  <w:rPr>
                    <w:noProof/>
                    <w:webHidden/>
                  </w:rPr>
                  <w:t>62</w:t>
                </w:r>
                <w:r>
                  <w:rPr>
                    <w:noProof/>
                    <w:webHidden/>
                  </w:rPr>
                  <w:fldChar w:fldCharType="end"/>
                </w:r>
              </w:hyperlink>
            </w:p>
            <w:p w:rsidR="00201AA8" w:rsidRDefault="00201AA8" w14:paraId="3B7BD713" w14:textId="74D19057">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6">
                <w:r w:rsidRPr="00520042">
                  <w:rPr>
                    <w:rStyle w:val="Hipervnculo"/>
                    <w:rFonts w:cs="Calibri"/>
                    <w:noProof/>
                  </w:rPr>
                  <w:t>6.6.6</w:t>
                </w:r>
                <w:r>
                  <w:rPr>
                    <w:rFonts w:eastAsiaTheme="minorEastAsia" w:cstheme="minorBidi"/>
                    <w:i w:val="0"/>
                    <w:iCs w:val="0"/>
                    <w:noProof/>
                    <w:kern w:val="2"/>
                    <w:sz w:val="24"/>
                    <w:szCs w:val="24"/>
                    <w:lang w:eastAsia="es-ES_tradnl"/>
                    <w14:ligatures w14:val="standardContextual"/>
                  </w:rPr>
                  <w:tab/>
                </w:r>
                <w:r w:rsidRPr="00520042">
                  <w:rPr>
                    <w:rStyle w:val="Hipervnculo"/>
                    <w:rFonts w:cs="Calibri"/>
                    <w:noProof/>
                  </w:rPr>
                  <w:t>Protección de Datos Personales (Ley 1581 de 2012) en el Sector</w:t>
                </w:r>
                <w:r>
                  <w:rPr>
                    <w:noProof/>
                    <w:webHidden/>
                  </w:rPr>
                  <w:tab/>
                </w:r>
                <w:r>
                  <w:rPr>
                    <w:noProof/>
                    <w:webHidden/>
                  </w:rPr>
                  <w:fldChar w:fldCharType="begin"/>
                </w:r>
                <w:r>
                  <w:rPr>
                    <w:noProof/>
                    <w:webHidden/>
                  </w:rPr>
                  <w:instrText xml:space="preserve"> PAGEREF _Toc234234486 \h </w:instrText>
                </w:r>
                <w:r>
                  <w:rPr>
                    <w:noProof/>
                    <w:webHidden/>
                  </w:rPr>
                </w:r>
                <w:r>
                  <w:rPr>
                    <w:noProof/>
                    <w:webHidden/>
                  </w:rPr>
                  <w:fldChar w:fldCharType="separate"/>
                </w:r>
                <w:r>
                  <w:rPr>
                    <w:noProof/>
                    <w:webHidden/>
                  </w:rPr>
                  <w:t>62</w:t>
                </w:r>
                <w:r>
                  <w:rPr>
                    <w:noProof/>
                    <w:webHidden/>
                  </w:rPr>
                  <w:fldChar w:fldCharType="end"/>
                </w:r>
              </w:hyperlink>
            </w:p>
            <w:p w:rsidR="00201AA8" w:rsidRDefault="00201AA8" w14:paraId="18F6B76A" w14:textId="30E82AEA">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7">
                <w:r w:rsidRPr="00520042">
                  <w:rPr>
                    <w:rStyle w:val="Hipervnculo"/>
                    <w:noProof/>
                  </w:rPr>
                  <w:t>6.6.7</w:t>
                </w:r>
                <w:r>
                  <w:rPr>
                    <w:rFonts w:eastAsiaTheme="minorEastAsia" w:cstheme="minorBidi"/>
                    <w:i w:val="0"/>
                    <w:iCs w:val="0"/>
                    <w:noProof/>
                    <w:kern w:val="2"/>
                    <w:sz w:val="24"/>
                    <w:szCs w:val="24"/>
                    <w:lang w:eastAsia="es-ES_tradnl"/>
                    <w14:ligatures w14:val="standardContextual"/>
                  </w:rPr>
                  <w:tab/>
                </w:r>
                <w:r w:rsidRPr="00520042">
                  <w:rPr>
                    <w:rStyle w:val="Hipervnculo"/>
                    <w:noProof/>
                  </w:rPr>
                  <w:t>Debilidades y Fortalezas</w:t>
                </w:r>
                <w:r>
                  <w:rPr>
                    <w:noProof/>
                    <w:webHidden/>
                  </w:rPr>
                  <w:tab/>
                </w:r>
                <w:r>
                  <w:rPr>
                    <w:noProof/>
                    <w:webHidden/>
                  </w:rPr>
                  <w:fldChar w:fldCharType="begin"/>
                </w:r>
                <w:r>
                  <w:rPr>
                    <w:noProof/>
                    <w:webHidden/>
                  </w:rPr>
                  <w:instrText xml:space="preserve"> PAGEREF _Toc234234487 \h </w:instrText>
                </w:r>
                <w:r>
                  <w:rPr>
                    <w:noProof/>
                    <w:webHidden/>
                  </w:rPr>
                </w:r>
                <w:r>
                  <w:rPr>
                    <w:noProof/>
                    <w:webHidden/>
                  </w:rPr>
                  <w:fldChar w:fldCharType="separate"/>
                </w:r>
                <w:r>
                  <w:rPr>
                    <w:noProof/>
                    <w:webHidden/>
                  </w:rPr>
                  <w:t>63</w:t>
                </w:r>
                <w:r>
                  <w:rPr>
                    <w:noProof/>
                    <w:webHidden/>
                  </w:rPr>
                  <w:fldChar w:fldCharType="end"/>
                </w:r>
              </w:hyperlink>
            </w:p>
            <w:p w:rsidR="00201AA8" w:rsidRDefault="00201AA8" w14:paraId="4BE72A3C" w14:textId="37A5A028">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88">
                <w:r w:rsidRPr="00520042">
                  <w:rPr>
                    <w:rStyle w:val="Hipervnculo"/>
                    <w:noProof/>
                  </w:rPr>
                  <w:t>6.6.8</w:t>
                </w:r>
                <w:r>
                  <w:rPr>
                    <w:rFonts w:eastAsiaTheme="minorEastAsia" w:cstheme="minorBidi"/>
                    <w:i w:val="0"/>
                    <w:iCs w:val="0"/>
                    <w:noProof/>
                    <w:kern w:val="2"/>
                    <w:sz w:val="24"/>
                    <w:szCs w:val="24"/>
                    <w:lang w:eastAsia="es-ES_tradnl"/>
                    <w14:ligatures w14:val="standardContextual"/>
                  </w:rPr>
                  <w:tab/>
                </w:r>
                <w:r w:rsidRPr="00520042">
                  <w:rPr>
                    <w:rStyle w:val="Hipervnculo"/>
                    <w:noProof/>
                  </w:rPr>
                  <w:t>Rupturas Estratégicas</w:t>
                </w:r>
                <w:r>
                  <w:rPr>
                    <w:noProof/>
                    <w:webHidden/>
                  </w:rPr>
                  <w:tab/>
                </w:r>
                <w:r>
                  <w:rPr>
                    <w:noProof/>
                    <w:webHidden/>
                  </w:rPr>
                  <w:fldChar w:fldCharType="begin"/>
                </w:r>
                <w:r>
                  <w:rPr>
                    <w:noProof/>
                    <w:webHidden/>
                  </w:rPr>
                  <w:instrText xml:space="preserve"> PAGEREF _Toc234234488 \h </w:instrText>
                </w:r>
                <w:r>
                  <w:rPr>
                    <w:noProof/>
                    <w:webHidden/>
                  </w:rPr>
                </w:r>
                <w:r>
                  <w:rPr>
                    <w:noProof/>
                    <w:webHidden/>
                  </w:rPr>
                  <w:fldChar w:fldCharType="separate"/>
                </w:r>
                <w:r>
                  <w:rPr>
                    <w:noProof/>
                    <w:webHidden/>
                  </w:rPr>
                  <w:t>63</w:t>
                </w:r>
                <w:r>
                  <w:rPr>
                    <w:noProof/>
                    <w:webHidden/>
                  </w:rPr>
                  <w:fldChar w:fldCharType="end"/>
                </w:r>
              </w:hyperlink>
            </w:p>
            <w:p w:rsidR="00201AA8" w:rsidRDefault="00201AA8" w14:paraId="7E4C19A2" w14:textId="14A70C44">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89">
                <w:r w:rsidRPr="00520042">
                  <w:rPr>
                    <w:rStyle w:val="Hipervnculo"/>
                    <w:noProof/>
                  </w:rPr>
                  <w:t>6.7</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Actual (AS-IS) Transformación Digital</w:t>
                </w:r>
                <w:r>
                  <w:rPr>
                    <w:noProof/>
                    <w:webHidden/>
                  </w:rPr>
                  <w:tab/>
                </w:r>
                <w:r>
                  <w:rPr>
                    <w:noProof/>
                    <w:webHidden/>
                  </w:rPr>
                  <w:fldChar w:fldCharType="begin"/>
                </w:r>
                <w:r>
                  <w:rPr>
                    <w:noProof/>
                    <w:webHidden/>
                  </w:rPr>
                  <w:instrText xml:space="preserve"> PAGEREF _Toc234234489 \h </w:instrText>
                </w:r>
                <w:r>
                  <w:rPr>
                    <w:noProof/>
                    <w:webHidden/>
                  </w:rPr>
                </w:r>
                <w:r>
                  <w:rPr>
                    <w:noProof/>
                    <w:webHidden/>
                  </w:rPr>
                  <w:fldChar w:fldCharType="separate"/>
                </w:r>
                <w:r>
                  <w:rPr>
                    <w:noProof/>
                    <w:webHidden/>
                  </w:rPr>
                  <w:t>64</w:t>
                </w:r>
                <w:r>
                  <w:rPr>
                    <w:noProof/>
                    <w:webHidden/>
                  </w:rPr>
                  <w:fldChar w:fldCharType="end"/>
                </w:r>
              </w:hyperlink>
            </w:p>
            <w:p w:rsidR="00201AA8" w:rsidRDefault="00201AA8" w14:paraId="488053E3" w14:textId="577793ED">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91">
                <w:r w:rsidRPr="00520042">
                  <w:rPr>
                    <w:rStyle w:val="Hipervnculo"/>
                    <w:noProof/>
                  </w:rPr>
                  <w:t>6.7.1</w:t>
                </w:r>
                <w:r>
                  <w:rPr>
                    <w:rFonts w:eastAsiaTheme="minorEastAsia" w:cstheme="minorBidi"/>
                    <w:i w:val="0"/>
                    <w:iCs w:val="0"/>
                    <w:noProof/>
                    <w:kern w:val="2"/>
                    <w:sz w:val="24"/>
                    <w:szCs w:val="24"/>
                    <w:lang w:eastAsia="es-ES_tradnl"/>
                    <w14:ligatures w14:val="standardContextual"/>
                  </w:rPr>
                  <w:tab/>
                </w:r>
                <w:r w:rsidRPr="00520042">
                  <w:rPr>
                    <w:rStyle w:val="Hipervnculo"/>
                    <w:noProof/>
                  </w:rPr>
                  <w:t>Debilidades y Fortalezas</w:t>
                </w:r>
                <w:r>
                  <w:rPr>
                    <w:noProof/>
                    <w:webHidden/>
                  </w:rPr>
                  <w:tab/>
                </w:r>
                <w:r>
                  <w:rPr>
                    <w:noProof/>
                    <w:webHidden/>
                  </w:rPr>
                  <w:fldChar w:fldCharType="begin"/>
                </w:r>
                <w:r>
                  <w:rPr>
                    <w:noProof/>
                    <w:webHidden/>
                  </w:rPr>
                  <w:instrText xml:space="preserve"> PAGEREF _Toc234234491 \h </w:instrText>
                </w:r>
                <w:r>
                  <w:rPr>
                    <w:noProof/>
                    <w:webHidden/>
                  </w:rPr>
                </w:r>
                <w:r>
                  <w:rPr>
                    <w:noProof/>
                    <w:webHidden/>
                  </w:rPr>
                  <w:fldChar w:fldCharType="separate"/>
                </w:r>
                <w:r>
                  <w:rPr>
                    <w:noProof/>
                    <w:webHidden/>
                  </w:rPr>
                  <w:t>65</w:t>
                </w:r>
                <w:r>
                  <w:rPr>
                    <w:noProof/>
                    <w:webHidden/>
                  </w:rPr>
                  <w:fldChar w:fldCharType="end"/>
                </w:r>
              </w:hyperlink>
            </w:p>
            <w:p w:rsidR="00201AA8" w:rsidRDefault="00201AA8" w14:paraId="7E1F04DA" w14:textId="4AAC605A">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92">
                <w:r w:rsidRPr="00520042">
                  <w:rPr>
                    <w:rStyle w:val="Hipervnculo"/>
                    <w:noProof/>
                  </w:rPr>
                  <w:t>6.7.2</w:t>
                </w:r>
                <w:r>
                  <w:rPr>
                    <w:rFonts w:eastAsiaTheme="minorEastAsia" w:cstheme="minorBidi"/>
                    <w:i w:val="0"/>
                    <w:iCs w:val="0"/>
                    <w:noProof/>
                    <w:kern w:val="2"/>
                    <w:sz w:val="24"/>
                    <w:szCs w:val="24"/>
                    <w:lang w:eastAsia="es-ES_tradnl"/>
                    <w14:ligatures w14:val="standardContextual"/>
                  </w:rPr>
                  <w:tab/>
                </w:r>
                <w:r w:rsidRPr="00520042">
                  <w:rPr>
                    <w:rStyle w:val="Hipervnculo"/>
                    <w:noProof/>
                  </w:rPr>
                  <w:t>Rupturas Estratégicas</w:t>
                </w:r>
                <w:r>
                  <w:rPr>
                    <w:noProof/>
                    <w:webHidden/>
                  </w:rPr>
                  <w:tab/>
                </w:r>
                <w:r>
                  <w:rPr>
                    <w:noProof/>
                    <w:webHidden/>
                  </w:rPr>
                  <w:fldChar w:fldCharType="begin"/>
                </w:r>
                <w:r>
                  <w:rPr>
                    <w:noProof/>
                    <w:webHidden/>
                  </w:rPr>
                  <w:instrText xml:space="preserve"> PAGEREF _Toc234234492 \h </w:instrText>
                </w:r>
                <w:r>
                  <w:rPr>
                    <w:noProof/>
                    <w:webHidden/>
                  </w:rPr>
                </w:r>
                <w:r>
                  <w:rPr>
                    <w:noProof/>
                    <w:webHidden/>
                  </w:rPr>
                  <w:fldChar w:fldCharType="separate"/>
                </w:r>
                <w:r>
                  <w:rPr>
                    <w:noProof/>
                    <w:webHidden/>
                  </w:rPr>
                  <w:t>66</w:t>
                </w:r>
                <w:r>
                  <w:rPr>
                    <w:noProof/>
                    <w:webHidden/>
                  </w:rPr>
                  <w:fldChar w:fldCharType="end"/>
                </w:r>
              </w:hyperlink>
            </w:p>
            <w:p w:rsidR="00201AA8" w:rsidRDefault="00201AA8" w14:paraId="070A13CA" w14:textId="600A1ED0">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93">
                <w:r w:rsidRPr="00520042">
                  <w:rPr>
                    <w:rStyle w:val="Hipervnculo"/>
                    <w:noProof/>
                  </w:rPr>
                  <w:t>6.8</w:t>
                </w:r>
                <w:r>
                  <w:rPr>
                    <w:rFonts w:eastAsiaTheme="minorEastAsia" w:cstheme="minorBidi"/>
                    <w:smallCaps w:val="0"/>
                    <w:noProof/>
                    <w:kern w:val="2"/>
                    <w:sz w:val="24"/>
                    <w:szCs w:val="24"/>
                    <w:lang w:eastAsia="es-ES_tradnl"/>
                    <w14:ligatures w14:val="standardContextual"/>
                  </w:rPr>
                  <w:tab/>
                </w:r>
                <w:r w:rsidRPr="00520042">
                  <w:rPr>
                    <w:rStyle w:val="Hipervnculo"/>
                    <w:noProof/>
                  </w:rPr>
                  <w:t>Proyectos y Actividades Sectoriales con Componente Tecnológico en Curso</w:t>
                </w:r>
                <w:r>
                  <w:rPr>
                    <w:noProof/>
                    <w:webHidden/>
                  </w:rPr>
                  <w:tab/>
                </w:r>
                <w:r>
                  <w:rPr>
                    <w:noProof/>
                    <w:webHidden/>
                  </w:rPr>
                  <w:fldChar w:fldCharType="begin"/>
                </w:r>
                <w:r>
                  <w:rPr>
                    <w:noProof/>
                    <w:webHidden/>
                  </w:rPr>
                  <w:instrText xml:space="preserve"> PAGEREF _Toc234234493 \h </w:instrText>
                </w:r>
                <w:r>
                  <w:rPr>
                    <w:noProof/>
                    <w:webHidden/>
                  </w:rPr>
                </w:r>
                <w:r>
                  <w:rPr>
                    <w:noProof/>
                    <w:webHidden/>
                  </w:rPr>
                  <w:fldChar w:fldCharType="separate"/>
                </w:r>
                <w:r>
                  <w:rPr>
                    <w:noProof/>
                    <w:webHidden/>
                  </w:rPr>
                  <w:t>67</w:t>
                </w:r>
                <w:r>
                  <w:rPr>
                    <w:noProof/>
                    <w:webHidden/>
                  </w:rPr>
                  <w:fldChar w:fldCharType="end"/>
                </w:r>
              </w:hyperlink>
            </w:p>
            <w:p w:rsidR="00201AA8" w:rsidRDefault="00201AA8" w14:paraId="28A5D1C6" w14:textId="459378B8">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494">
                <w:r w:rsidRPr="00520042">
                  <w:rPr>
                    <w:rStyle w:val="Hipervnculo"/>
                    <w:noProof/>
                  </w:rPr>
                  <w:t>6.9</w:t>
                </w:r>
                <w:r>
                  <w:rPr>
                    <w:rFonts w:eastAsiaTheme="minorEastAsia" w:cstheme="minorBidi"/>
                    <w:smallCaps w:val="0"/>
                    <w:noProof/>
                    <w:kern w:val="2"/>
                    <w:sz w:val="24"/>
                    <w:szCs w:val="24"/>
                    <w:lang w:eastAsia="es-ES_tradnl"/>
                    <w14:ligatures w14:val="standardContextual"/>
                  </w:rPr>
                  <w:tab/>
                </w:r>
                <w:r w:rsidRPr="00520042">
                  <w:rPr>
                    <w:rStyle w:val="Hipervnculo"/>
                    <w:noProof/>
                  </w:rPr>
                  <w:t>Análisis Proyectos Estratégicos de TI en Curso de las Entidades Adscritas</w:t>
                </w:r>
                <w:r>
                  <w:rPr>
                    <w:noProof/>
                    <w:webHidden/>
                  </w:rPr>
                  <w:tab/>
                </w:r>
                <w:r>
                  <w:rPr>
                    <w:noProof/>
                    <w:webHidden/>
                  </w:rPr>
                  <w:fldChar w:fldCharType="begin"/>
                </w:r>
                <w:r>
                  <w:rPr>
                    <w:noProof/>
                    <w:webHidden/>
                  </w:rPr>
                  <w:instrText xml:space="preserve"> PAGEREF _Toc234234494 \h </w:instrText>
                </w:r>
                <w:r>
                  <w:rPr>
                    <w:noProof/>
                    <w:webHidden/>
                  </w:rPr>
                </w:r>
                <w:r>
                  <w:rPr>
                    <w:noProof/>
                    <w:webHidden/>
                  </w:rPr>
                  <w:fldChar w:fldCharType="separate"/>
                </w:r>
                <w:r>
                  <w:rPr>
                    <w:noProof/>
                    <w:webHidden/>
                  </w:rPr>
                  <w:t>72</w:t>
                </w:r>
                <w:r>
                  <w:rPr>
                    <w:noProof/>
                    <w:webHidden/>
                  </w:rPr>
                  <w:fldChar w:fldCharType="end"/>
                </w:r>
              </w:hyperlink>
            </w:p>
            <w:p w:rsidR="00201AA8" w:rsidRDefault="00201AA8" w14:paraId="7C6D64E7" w14:textId="007C080B">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97">
                <w:r w:rsidRPr="00520042">
                  <w:rPr>
                    <w:rStyle w:val="Hipervnculo"/>
                    <w:noProof/>
                  </w:rPr>
                  <w:t>6.9.1</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UPME</w:t>
                </w:r>
                <w:r>
                  <w:rPr>
                    <w:noProof/>
                    <w:webHidden/>
                  </w:rPr>
                  <w:tab/>
                </w:r>
                <w:r>
                  <w:rPr>
                    <w:noProof/>
                    <w:webHidden/>
                  </w:rPr>
                  <w:fldChar w:fldCharType="begin"/>
                </w:r>
                <w:r>
                  <w:rPr>
                    <w:noProof/>
                    <w:webHidden/>
                  </w:rPr>
                  <w:instrText xml:space="preserve"> PAGEREF _Toc234234497 \h </w:instrText>
                </w:r>
                <w:r>
                  <w:rPr>
                    <w:noProof/>
                    <w:webHidden/>
                  </w:rPr>
                </w:r>
                <w:r>
                  <w:rPr>
                    <w:noProof/>
                    <w:webHidden/>
                  </w:rPr>
                  <w:fldChar w:fldCharType="separate"/>
                </w:r>
                <w:r>
                  <w:rPr>
                    <w:noProof/>
                    <w:webHidden/>
                  </w:rPr>
                  <w:t>72</w:t>
                </w:r>
                <w:r>
                  <w:rPr>
                    <w:noProof/>
                    <w:webHidden/>
                  </w:rPr>
                  <w:fldChar w:fldCharType="end"/>
                </w:r>
              </w:hyperlink>
            </w:p>
            <w:p w:rsidR="00201AA8" w:rsidRDefault="00201AA8" w14:paraId="0BC4F92B" w14:textId="7D84BD3A">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98">
                <w:r w:rsidRPr="00520042">
                  <w:rPr>
                    <w:rStyle w:val="Hipervnculo"/>
                    <w:noProof/>
                  </w:rPr>
                  <w:t>6.9.2</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ANM</w:t>
                </w:r>
                <w:r>
                  <w:rPr>
                    <w:noProof/>
                    <w:webHidden/>
                  </w:rPr>
                  <w:tab/>
                </w:r>
                <w:r>
                  <w:rPr>
                    <w:noProof/>
                    <w:webHidden/>
                  </w:rPr>
                  <w:fldChar w:fldCharType="begin"/>
                </w:r>
                <w:r>
                  <w:rPr>
                    <w:noProof/>
                    <w:webHidden/>
                  </w:rPr>
                  <w:instrText xml:space="preserve"> PAGEREF _Toc234234498 \h </w:instrText>
                </w:r>
                <w:r>
                  <w:rPr>
                    <w:noProof/>
                    <w:webHidden/>
                  </w:rPr>
                </w:r>
                <w:r>
                  <w:rPr>
                    <w:noProof/>
                    <w:webHidden/>
                  </w:rPr>
                  <w:fldChar w:fldCharType="separate"/>
                </w:r>
                <w:r>
                  <w:rPr>
                    <w:noProof/>
                    <w:webHidden/>
                  </w:rPr>
                  <w:t>74</w:t>
                </w:r>
                <w:r>
                  <w:rPr>
                    <w:noProof/>
                    <w:webHidden/>
                  </w:rPr>
                  <w:fldChar w:fldCharType="end"/>
                </w:r>
              </w:hyperlink>
            </w:p>
            <w:p w:rsidR="00201AA8" w:rsidRDefault="00201AA8" w14:paraId="1E9794DB" w14:textId="3B01457D">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499">
                <w:r w:rsidRPr="00520042">
                  <w:rPr>
                    <w:rStyle w:val="Hipervnculo"/>
                    <w:noProof/>
                  </w:rPr>
                  <w:t>6.9.3</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ANH</w:t>
                </w:r>
                <w:r>
                  <w:rPr>
                    <w:noProof/>
                    <w:webHidden/>
                  </w:rPr>
                  <w:tab/>
                </w:r>
                <w:r>
                  <w:rPr>
                    <w:noProof/>
                    <w:webHidden/>
                  </w:rPr>
                  <w:fldChar w:fldCharType="begin"/>
                </w:r>
                <w:r>
                  <w:rPr>
                    <w:noProof/>
                    <w:webHidden/>
                  </w:rPr>
                  <w:instrText xml:space="preserve"> PAGEREF _Toc234234499 \h </w:instrText>
                </w:r>
                <w:r>
                  <w:rPr>
                    <w:noProof/>
                    <w:webHidden/>
                  </w:rPr>
                </w:r>
                <w:r>
                  <w:rPr>
                    <w:noProof/>
                    <w:webHidden/>
                  </w:rPr>
                  <w:fldChar w:fldCharType="separate"/>
                </w:r>
                <w:r>
                  <w:rPr>
                    <w:noProof/>
                    <w:webHidden/>
                  </w:rPr>
                  <w:t>76</w:t>
                </w:r>
                <w:r>
                  <w:rPr>
                    <w:noProof/>
                    <w:webHidden/>
                  </w:rPr>
                  <w:fldChar w:fldCharType="end"/>
                </w:r>
              </w:hyperlink>
            </w:p>
            <w:p w:rsidR="00201AA8" w:rsidRDefault="00201AA8" w14:paraId="38364BCF" w14:textId="663E842B">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00">
                <w:r w:rsidRPr="00520042">
                  <w:rPr>
                    <w:rStyle w:val="Hipervnculo"/>
                    <w:noProof/>
                  </w:rPr>
                  <w:t>6.9.4</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CREG</w:t>
                </w:r>
                <w:r>
                  <w:rPr>
                    <w:noProof/>
                    <w:webHidden/>
                  </w:rPr>
                  <w:tab/>
                </w:r>
                <w:r>
                  <w:rPr>
                    <w:noProof/>
                    <w:webHidden/>
                  </w:rPr>
                  <w:fldChar w:fldCharType="begin"/>
                </w:r>
                <w:r>
                  <w:rPr>
                    <w:noProof/>
                    <w:webHidden/>
                  </w:rPr>
                  <w:instrText xml:space="preserve"> PAGEREF _Toc234234500 \h </w:instrText>
                </w:r>
                <w:r>
                  <w:rPr>
                    <w:noProof/>
                    <w:webHidden/>
                  </w:rPr>
                </w:r>
                <w:r>
                  <w:rPr>
                    <w:noProof/>
                    <w:webHidden/>
                  </w:rPr>
                  <w:fldChar w:fldCharType="separate"/>
                </w:r>
                <w:r>
                  <w:rPr>
                    <w:noProof/>
                    <w:webHidden/>
                  </w:rPr>
                  <w:t>79</w:t>
                </w:r>
                <w:r>
                  <w:rPr>
                    <w:noProof/>
                    <w:webHidden/>
                  </w:rPr>
                  <w:fldChar w:fldCharType="end"/>
                </w:r>
              </w:hyperlink>
            </w:p>
            <w:p w:rsidR="00201AA8" w:rsidRDefault="00201AA8" w14:paraId="16070B29" w14:textId="3B2AE840">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01">
                <w:r w:rsidRPr="00520042">
                  <w:rPr>
                    <w:rStyle w:val="Hipervnculo"/>
                    <w:noProof/>
                  </w:rPr>
                  <w:t>6.9.5</w:t>
                </w:r>
                <w:r>
                  <w:rPr>
                    <w:rFonts w:eastAsiaTheme="minorEastAsia" w:cstheme="minorBidi"/>
                    <w:i w:val="0"/>
                    <w:iCs w:val="0"/>
                    <w:noProof/>
                    <w:kern w:val="2"/>
                    <w:sz w:val="24"/>
                    <w:szCs w:val="24"/>
                    <w:lang w:eastAsia="es-ES_tradnl"/>
                    <w14:ligatures w14:val="standardContextual"/>
                  </w:rPr>
                  <w:tab/>
                </w:r>
                <w:r w:rsidRPr="00520042">
                  <w:rPr>
                    <w:rStyle w:val="Hipervnculo"/>
                    <w:noProof/>
                  </w:rPr>
                  <w:t>Análisis IPSE</w:t>
                </w:r>
                <w:r>
                  <w:rPr>
                    <w:noProof/>
                    <w:webHidden/>
                  </w:rPr>
                  <w:tab/>
                </w:r>
                <w:r>
                  <w:rPr>
                    <w:noProof/>
                    <w:webHidden/>
                  </w:rPr>
                  <w:fldChar w:fldCharType="begin"/>
                </w:r>
                <w:r>
                  <w:rPr>
                    <w:noProof/>
                    <w:webHidden/>
                  </w:rPr>
                  <w:instrText xml:space="preserve"> PAGEREF _Toc234234501 \h </w:instrText>
                </w:r>
                <w:r>
                  <w:rPr>
                    <w:noProof/>
                    <w:webHidden/>
                  </w:rPr>
                </w:r>
                <w:r>
                  <w:rPr>
                    <w:noProof/>
                    <w:webHidden/>
                  </w:rPr>
                  <w:fldChar w:fldCharType="separate"/>
                </w:r>
                <w:r>
                  <w:rPr>
                    <w:noProof/>
                    <w:webHidden/>
                  </w:rPr>
                  <w:t>81</w:t>
                </w:r>
                <w:r>
                  <w:rPr>
                    <w:noProof/>
                    <w:webHidden/>
                  </w:rPr>
                  <w:fldChar w:fldCharType="end"/>
                </w:r>
              </w:hyperlink>
            </w:p>
            <w:p w:rsidR="00201AA8" w:rsidRDefault="00201AA8" w14:paraId="2743D7E6" w14:textId="02CFC3B1">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02">
                <w:r w:rsidRPr="00520042">
                  <w:rPr>
                    <w:rStyle w:val="Hipervnculo"/>
                    <w:noProof/>
                  </w:rPr>
                  <w:t>6.10</w:t>
                </w:r>
                <w:r>
                  <w:rPr>
                    <w:rFonts w:eastAsiaTheme="minorEastAsia" w:cstheme="minorBidi"/>
                    <w:smallCaps w:val="0"/>
                    <w:noProof/>
                    <w:kern w:val="2"/>
                    <w:sz w:val="24"/>
                    <w:szCs w:val="24"/>
                    <w:lang w:eastAsia="es-ES_tradnl"/>
                    <w14:ligatures w14:val="standardContextual"/>
                  </w:rPr>
                  <w:tab/>
                </w:r>
                <w:r w:rsidRPr="00520042">
                  <w:rPr>
                    <w:rStyle w:val="Hipervnculo"/>
                    <w:noProof/>
                  </w:rPr>
                  <w:t>Articulación de las Iniciativas en Curso con la Evolución Del Modelo Sectorial</w:t>
                </w:r>
                <w:r>
                  <w:rPr>
                    <w:noProof/>
                    <w:webHidden/>
                  </w:rPr>
                  <w:tab/>
                </w:r>
                <w:r>
                  <w:rPr>
                    <w:noProof/>
                    <w:webHidden/>
                  </w:rPr>
                  <w:fldChar w:fldCharType="begin"/>
                </w:r>
                <w:r>
                  <w:rPr>
                    <w:noProof/>
                    <w:webHidden/>
                  </w:rPr>
                  <w:instrText xml:space="preserve"> PAGEREF _Toc234234502 \h </w:instrText>
                </w:r>
                <w:r>
                  <w:rPr>
                    <w:noProof/>
                    <w:webHidden/>
                  </w:rPr>
                </w:r>
                <w:r>
                  <w:rPr>
                    <w:noProof/>
                    <w:webHidden/>
                  </w:rPr>
                  <w:fldChar w:fldCharType="separate"/>
                </w:r>
                <w:r>
                  <w:rPr>
                    <w:noProof/>
                    <w:webHidden/>
                  </w:rPr>
                  <w:t>82</w:t>
                </w:r>
                <w:r>
                  <w:rPr>
                    <w:noProof/>
                    <w:webHidden/>
                  </w:rPr>
                  <w:fldChar w:fldCharType="end"/>
                </w:r>
              </w:hyperlink>
            </w:p>
            <w:p w:rsidR="00201AA8" w:rsidRDefault="00201AA8" w14:paraId="70BE4847" w14:textId="617E6261">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03">
                <w:r w:rsidRPr="00520042">
                  <w:rPr>
                    <w:rStyle w:val="Hipervnculo"/>
                    <w:noProof/>
                  </w:rPr>
                  <w:t>7</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rPr>
                  <w:t>SITUACIÓN OBJETIVO (TO-BE)</w:t>
                </w:r>
                <w:r>
                  <w:rPr>
                    <w:noProof/>
                    <w:webHidden/>
                  </w:rPr>
                  <w:tab/>
                </w:r>
                <w:r>
                  <w:rPr>
                    <w:noProof/>
                    <w:webHidden/>
                  </w:rPr>
                  <w:fldChar w:fldCharType="begin"/>
                </w:r>
                <w:r>
                  <w:rPr>
                    <w:noProof/>
                    <w:webHidden/>
                  </w:rPr>
                  <w:instrText xml:space="preserve"> PAGEREF _Toc234234503 \h </w:instrText>
                </w:r>
                <w:r>
                  <w:rPr>
                    <w:noProof/>
                    <w:webHidden/>
                  </w:rPr>
                </w:r>
                <w:r>
                  <w:rPr>
                    <w:noProof/>
                    <w:webHidden/>
                  </w:rPr>
                  <w:fldChar w:fldCharType="separate"/>
                </w:r>
                <w:r>
                  <w:rPr>
                    <w:noProof/>
                    <w:webHidden/>
                  </w:rPr>
                  <w:t>83</w:t>
                </w:r>
                <w:r>
                  <w:rPr>
                    <w:noProof/>
                    <w:webHidden/>
                  </w:rPr>
                  <w:fldChar w:fldCharType="end"/>
                </w:r>
              </w:hyperlink>
            </w:p>
            <w:p w:rsidR="00201AA8" w:rsidRDefault="00201AA8" w14:paraId="4EE7AEB3" w14:textId="7D273B7C">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04">
                <w:r w:rsidRPr="00520042">
                  <w:rPr>
                    <w:rStyle w:val="Hipervnculo"/>
                    <w:noProof/>
                  </w:rPr>
                  <w:t>7.1</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Arquitectura Sectorial</w:t>
                </w:r>
                <w:r>
                  <w:rPr>
                    <w:noProof/>
                    <w:webHidden/>
                  </w:rPr>
                  <w:tab/>
                </w:r>
                <w:r>
                  <w:rPr>
                    <w:noProof/>
                    <w:webHidden/>
                  </w:rPr>
                  <w:fldChar w:fldCharType="begin"/>
                </w:r>
                <w:r>
                  <w:rPr>
                    <w:noProof/>
                    <w:webHidden/>
                  </w:rPr>
                  <w:instrText xml:space="preserve"> PAGEREF _Toc234234504 \h </w:instrText>
                </w:r>
                <w:r>
                  <w:rPr>
                    <w:noProof/>
                    <w:webHidden/>
                  </w:rPr>
                </w:r>
                <w:r>
                  <w:rPr>
                    <w:noProof/>
                    <w:webHidden/>
                  </w:rPr>
                  <w:fldChar w:fldCharType="separate"/>
                </w:r>
                <w:r>
                  <w:rPr>
                    <w:noProof/>
                    <w:webHidden/>
                  </w:rPr>
                  <w:t>83</w:t>
                </w:r>
                <w:r>
                  <w:rPr>
                    <w:noProof/>
                    <w:webHidden/>
                  </w:rPr>
                  <w:fldChar w:fldCharType="end"/>
                </w:r>
              </w:hyperlink>
            </w:p>
            <w:p w:rsidR="00201AA8" w:rsidRDefault="00201AA8" w14:paraId="2925D9E0" w14:textId="66A20AA1">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05">
                <w:r w:rsidRPr="00520042">
                  <w:rPr>
                    <w:rStyle w:val="Hipervnculo"/>
                    <w:rFonts w:cs="Calibri"/>
                    <w:noProof/>
                  </w:rPr>
                  <w:t>7.1.1</w:t>
                </w:r>
                <w:r>
                  <w:rPr>
                    <w:rFonts w:eastAsiaTheme="minorEastAsia" w:cstheme="minorBidi"/>
                    <w:i w:val="0"/>
                    <w:iCs w:val="0"/>
                    <w:noProof/>
                    <w:kern w:val="2"/>
                    <w:sz w:val="24"/>
                    <w:szCs w:val="24"/>
                    <w:lang w:eastAsia="es-ES_tradnl"/>
                    <w14:ligatures w14:val="standardContextual"/>
                  </w:rPr>
                  <w:tab/>
                </w:r>
                <w:r w:rsidRPr="00520042">
                  <w:rPr>
                    <w:rStyle w:val="Hipervnculo"/>
                    <w:rFonts w:cs="Calibri"/>
                    <w:noProof/>
                  </w:rPr>
                  <w:t>Situación Objetivo dominio Arquitectura sectorial – institucional:</w:t>
                </w:r>
                <w:r>
                  <w:rPr>
                    <w:noProof/>
                    <w:webHidden/>
                  </w:rPr>
                  <w:tab/>
                </w:r>
                <w:r>
                  <w:rPr>
                    <w:noProof/>
                    <w:webHidden/>
                  </w:rPr>
                  <w:fldChar w:fldCharType="begin"/>
                </w:r>
                <w:r>
                  <w:rPr>
                    <w:noProof/>
                    <w:webHidden/>
                  </w:rPr>
                  <w:instrText xml:space="preserve"> PAGEREF _Toc234234505 \h </w:instrText>
                </w:r>
                <w:r>
                  <w:rPr>
                    <w:noProof/>
                    <w:webHidden/>
                  </w:rPr>
                </w:r>
                <w:r>
                  <w:rPr>
                    <w:noProof/>
                    <w:webHidden/>
                  </w:rPr>
                  <w:fldChar w:fldCharType="separate"/>
                </w:r>
                <w:r>
                  <w:rPr>
                    <w:noProof/>
                    <w:webHidden/>
                  </w:rPr>
                  <w:t>84</w:t>
                </w:r>
                <w:r>
                  <w:rPr>
                    <w:noProof/>
                    <w:webHidden/>
                  </w:rPr>
                  <w:fldChar w:fldCharType="end"/>
                </w:r>
              </w:hyperlink>
            </w:p>
            <w:p w:rsidR="00201AA8" w:rsidRDefault="00201AA8" w14:paraId="2C243FD7" w14:textId="26843789">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08">
                <w:r w:rsidRPr="00520042">
                  <w:rPr>
                    <w:rStyle w:val="Hipervnculo"/>
                    <w:noProof/>
                  </w:rPr>
                  <w:t>7.2</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Arquitectura Datos e información</w:t>
                </w:r>
                <w:r>
                  <w:rPr>
                    <w:noProof/>
                    <w:webHidden/>
                  </w:rPr>
                  <w:tab/>
                </w:r>
                <w:r>
                  <w:rPr>
                    <w:noProof/>
                    <w:webHidden/>
                  </w:rPr>
                  <w:fldChar w:fldCharType="begin"/>
                </w:r>
                <w:r>
                  <w:rPr>
                    <w:noProof/>
                    <w:webHidden/>
                  </w:rPr>
                  <w:instrText xml:space="preserve"> PAGEREF _Toc234234508 \h </w:instrText>
                </w:r>
                <w:r>
                  <w:rPr>
                    <w:noProof/>
                    <w:webHidden/>
                  </w:rPr>
                </w:r>
                <w:r>
                  <w:rPr>
                    <w:noProof/>
                    <w:webHidden/>
                  </w:rPr>
                  <w:fldChar w:fldCharType="separate"/>
                </w:r>
                <w:r>
                  <w:rPr>
                    <w:noProof/>
                    <w:webHidden/>
                  </w:rPr>
                  <w:t>92</w:t>
                </w:r>
                <w:r>
                  <w:rPr>
                    <w:noProof/>
                    <w:webHidden/>
                  </w:rPr>
                  <w:fldChar w:fldCharType="end"/>
                </w:r>
              </w:hyperlink>
            </w:p>
            <w:p w:rsidR="00201AA8" w:rsidRDefault="00201AA8" w14:paraId="05B1F04E" w14:textId="4BD5B835">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09">
                <w:r w:rsidRPr="00520042">
                  <w:rPr>
                    <w:rStyle w:val="Hipervnculo"/>
                    <w:noProof/>
                  </w:rPr>
                  <w:t>7.2.1</w:t>
                </w:r>
                <w:r>
                  <w:rPr>
                    <w:rFonts w:eastAsiaTheme="minorEastAsia" w:cstheme="minorBidi"/>
                    <w:i w:val="0"/>
                    <w:iCs w:val="0"/>
                    <w:noProof/>
                    <w:kern w:val="2"/>
                    <w:sz w:val="24"/>
                    <w:szCs w:val="24"/>
                    <w:lang w:eastAsia="es-ES_tradnl"/>
                    <w14:ligatures w14:val="standardContextual"/>
                  </w:rPr>
                  <w:tab/>
                </w:r>
                <w:r w:rsidRPr="00520042">
                  <w:rPr>
                    <w:rStyle w:val="Hipervnculo"/>
                    <w:noProof/>
                  </w:rPr>
                  <w:t>Arquitectura de Información: El Lago de Datos Sectorial</w:t>
                </w:r>
                <w:r>
                  <w:rPr>
                    <w:noProof/>
                    <w:webHidden/>
                  </w:rPr>
                  <w:tab/>
                </w:r>
                <w:r>
                  <w:rPr>
                    <w:noProof/>
                    <w:webHidden/>
                  </w:rPr>
                  <w:fldChar w:fldCharType="begin"/>
                </w:r>
                <w:r>
                  <w:rPr>
                    <w:noProof/>
                    <w:webHidden/>
                  </w:rPr>
                  <w:instrText xml:space="preserve"> PAGEREF _Toc234234509 \h </w:instrText>
                </w:r>
                <w:r>
                  <w:rPr>
                    <w:noProof/>
                    <w:webHidden/>
                  </w:rPr>
                </w:r>
                <w:r>
                  <w:rPr>
                    <w:noProof/>
                    <w:webHidden/>
                  </w:rPr>
                  <w:fldChar w:fldCharType="separate"/>
                </w:r>
                <w:r>
                  <w:rPr>
                    <w:noProof/>
                    <w:webHidden/>
                  </w:rPr>
                  <w:t>98</w:t>
                </w:r>
                <w:r>
                  <w:rPr>
                    <w:noProof/>
                    <w:webHidden/>
                  </w:rPr>
                  <w:fldChar w:fldCharType="end"/>
                </w:r>
              </w:hyperlink>
            </w:p>
            <w:p w:rsidR="00201AA8" w:rsidRDefault="00201AA8" w14:paraId="165C819B" w14:textId="261D4218">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10">
                <w:r w:rsidRPr="00520042">
                  <w:rPr>
                    <w:rStyle w:val="Hipervnculo"/>
                    <w:noProof/>
                  </w:rPr>
                  <w:t>7.2.2</w:t>
                </w:r>
                <w:r>
                  <w:rPr>
                    <w:rFonts w:eastAsiaTheme="minorEastAsia" w:cstheme="minorBidi"/>
                    <w:i w:val="0"/>
                    <w:iCs w:val="0"/>
                    <w:noProof/>
                    <w:kern w:val="2"/>
                    <w:sz w:val="24"/>
                    <w:szCs w:val="24"/>
                    <w:lang w:eastAsia="es-ES_tradnl"/>
                    <w14:ligatures w14:val="standardContextual"/>
                  </w:rPr>
                  <w:tab/>
                </w:r>
                <w:r w:rsidRPr="00520042">
                  <w:rPr>
                    <w:rStyle w:val="Hipervnculo"/>
                    <w:noProof/>
                  </w:rPr>
                  <w:t>Situación objetivo (TO – BE) Datos Estadísticos</w:t>
                </w:r>
                <w:r>
                  <w:rPr>
                    <w:noProof/>
                    <w:webHidden/>
                  </w:rPr>
                  <w:tab/>
                </w:r>
                <w:r>
                  <w:rPr>
                    <w:noProof/>
                    <w:webHidden/>
                  </w:rPr>
                  <w:fldChar w:fldCharType="begin"/>
                </w:r>
                <w:r>
                  <w:rPr>
                    <w:noProof/>
                    <w:webHidden/>
                  </w:rPr>
                  <w:instrText xml:space="preserve"> PAGEREF _Toc234234510 \h </w:instrText>
                </w:r>
                <w:r>
                  <w:rPr>
                    <w:noProof/>
                    <w:webHidden/>
                  </w:rPr>
                </w:r>
                <w:r>
                  <w:rPr>
                    <w:noProof/>
                    <w:webHidden/>
                  </w:rPr>
                  <w:fldChar w:fldCharType="separate"/>
                </w:r>
                <w:r>
                  <w:rPr>
                    <w:noProof/>
                    <w:webHidden/>
                  </w:rPr>
                  <w:t>99</w:t>
                </w:r>
                <w:r>
                  <w:rPr>
                    <w:noProof/>
                    <w:webHidden/>
                  </w:rPr>
                  <w:fldChar w:fldCharType="end"/>
                </w:r>
              </w:hyperlink>
            </w:p>
            <w:p w:rsidR="00201AA8" w:rsidRDefault="00201AA8" w14:paraId="75E4E3A8" w14:textId="25AEFC24">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11">
                <w:r w:rsidRPr="00520042">
                  <w:rPr>
                    <w:rStyle w:val="Hipervnculo"/>
                    <w:noProof/>
                  </w:rPr>
                  <w:t>7.2.3</w:t>
                </w:r>
                <w:r>
                  <w:rPr>
                    <w:rFonts w:eastAsiaTheme="minorEastAsia" w:cstheme="minorBidi"/>
                    <w:i w:val="0"/>
                    <w:iCs w:val="0"/>
                    <w:noProof/>
                    <w:kern w:val="2"/>
                    <w:sz w:val="24"/>
                    <w:szCs w:val="24"/>
                    <w:lang w:eastAsia="es-ES_tradnl"/>
                    <w14:ligatures w14:val="standardContextual"/>
                  </w:rPr>
                  <w:tab/>
                </w:r>
                <w:r w:rsidRPr="00520042">
                  <w:rPr>
                    <w:rStyle w:val="Hipervnculo"/>
                    <w:noProof/>
                  </w:rPr>
                  <w:t>Situación objetivo (TO – BE) Datos Geoespaciales</w:t>
                </w:r>
                <w:r>
                  <w:rPr>
                    <w:noProof/>
                    <w:webHidden/>
                  </w:rPr>
                  <w:tab/>
                </w:r>
                <w:r>
                  <w:rPr>
                    <w:noProof/>
                    <w:webHidden/>
                  </w:rPr>
                  <w:fldChar w:fldCharType="begin"/>
                </w:r>
                <w:r>
                  <w:rPr>
                    <w:noProof/>
                    <w:webHidden/>
                  </w:rPr>
                  <w:instrText xml:space="preserve"> PAGEREF _Toc234234511 \h </w:instrText>
                </w:r>
                <w:r>
                  <w:rPr>
                    <w:noProof/>
                    <w:webHidden/>
                  </w:rPr>
                </w:r>
                <w:r>
                  <w:rPr>
                    <w:noProof/>
                    <w:webHidden/>
                  </w:rPr>
                  <w:fldChar w:fldCharType="separate"/>
                </w:r>
                <w:r>
                  <w:rPr>
                    <w:noProof/>
                    <w:webHidden/>
                  </w:rPr>
                  <w:t>100</w:t>
                </w:r>
                <w:r>
                  <w:rPr>
                    <w:noProof/>
                    <w:webHidden/>
                  </w:rPr>
                  <w:fldChar w:fldCharType="end"/>
                </w:r>
              </w:hyperlink>
            </w:p>
            <w:p w:rsidR="00201AA8" w:rsidRDefault="00201AA8" w14:paraId="68FEA7C1" w14:textId="6D1BD194">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12">
                <w:r w:rsidRPr="00520042">
                  <w:rPr>
                    <w:rStyle w:val="Hipervnculo"/>
                    <w:noProof/>
                  </w:rPr>
                  <w:t>7.3</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Arquitectura de Sistemas de información</w:t>
                </w:r>
                <w:r>
                  <w:rPr>
                    <w:noProof/>
                    <w:webHidden/>
                  </w:rPr>
                  <w:tab/>
                </w:r>
                <w:r>
                  <w:rPr>
                    <w:noProof/>
                    <w:webHidden/>
                  </w:rPr>
                  <w:fldChar w:fldCharType="begin"/>
                </w:r>
                <w:r>
                  <w:rPr>
                    <w:noProof/>
                    <w:webHidden/>
                  </w:rPr>
                  <w:instrText xml:space="preserve"> PAGEREF _Toc234234512 \h </w:instrText>
                </w:r>
                <w:r>
                  <w:rPr>
                    <w:noProof/>
                    <w:webHidden/>
                  </w:rPr>
                </w:r>
                <w:r>
                  <w:rPr>
                    <w:noProof/>
                    <w:webHidden/>
                  </w:rPr>
                  <w:fldChar w:fldCharType="separate"/>
                </w:r>
                <w:r>
                  <w:rPr>
                    <w:noProof/>
                    <w:webHidden/>
                  </w:rPr>
                  <w:t>102</w:t>
                </w:r>
                <w:r>
                  <w:rPr>
                    <w:noProof/>
                    <w:webHidden/>
                  </w:rPr>
                  <w:fldChar w:fldCharType="end"/>
                </w:r>
              </w:hyperlink>
            </w:p>
            <w:p w:rsidR="00201AA8" w:rsidRDefault="00201AA8" w14:paraId="0C767D65" w14:textId="52CB6DD7">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13">
                <w:r w:rsidRPr="00520042">
                  <w:rPr>
                    <w:rStyle w:val="Hipervnculo"/>
                    <w:noProof/>
                  </w:rPr>
                  <w:t>7.4</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Interoperabilidad sectorial</w:t>
                </w:r>
                <w:r>
                  <w:rPr>
                    <w:noProof/>
                    <w:webHidden/>
                  </w:rPr>
                  <w:tab/>
                </w:r>
                <w:r>
                  <w:rPr>
                    <w:noProof/>
                    <w:webHidden/>
                  </w:rPr>
                  <w:fldChar w:fldCharType="begin"/>
                </w:r>
                <w:r>
                  <w:rPr>
                    <w:noProof/>
                    <w:webHidden/>
                  </w:rPr>
                  <w:instrText xml:space="preserve"> PAGEREF _Toc234234513 \h </w:instrText>
                </w:r>
                <w:r>
                  <w:rPr>
                    <w:noProof/>
                    <w:webHidden/>
                  </w:rPr>
                </w:r>
                <w:r>
                  <w:rPr>
                    <w:noProof/>
                    <w:webHidden/>
                  </w:rPr>
                  <w:fldChar w:fldCharType="separate"/>
                </w:r>
                <w:r>
                  <w:rPr>
                    <w:noProof/>
                    <w:webHidden/>
                  </w:rPr>
                  <w:t>103</w:t>
                </w:r>
                <w:r>
                  <w:rPr>
                    <w:noProof/>
                    <w:webHidden/>
                  </w:rPr>
                  <w:fldChar w:fldCharType="end"/>
                </w:r>
              </w:hyperlink>
            </w:p>
            <w:p w:rsidR="00201AA8" w:rsidRDefault="00201AA8" w14:paraId="38B53CD8" w14:textId="3041EC56">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14">
                <w:r w:rsidRPr="00520042">
                  <w:rPr>
                    <w:rStyle w:val="Hipervnculo"/>
                    <w:noProof/>
                  </w:rPr>
                  <w:t>7.5</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Servicios e infraestructura tecnológica</w:t>
                </w:r>
                <w:r>
                  <w:rPr>
                    <w:noProof/>
                    <w:webHidden/>
                  </w:rPr>
                  <w:tab/>
                </w:r>
                <w:r>
                  <w:rPr>
                    <w:noProof/>
                    <w:webHidden/>
                  </w:rPr>
                  <w:fldChar w:fldCharType="begin"/>
                </w:r>
                <w:r>
                  <w:rPr>
                    <w:noProof/>
                    <w:webHidden/>
                  </w:rPr>
                  <w:instrText xml:space="preserve"> PAGEREF _Toc234234514 \h </w:instrText>
                </w:r>
                <w:r>
                  <w:rPr>
                    <w:noProof/>
                    <w:webHidden/>
                  </w:rPr>
                </w:r>
                <w:r>
                  <w:rPr>
                    <w:noProof/>
                    <w:webHidden/>
                  </w:rPr>
                  <w:fldChar w:fldCharType="separate"/>
                </w:r>
                <w:r>
                  <w:rPr>
                    <w:noProof/>
                    <w:webHidden/>
                  </w:rPr>
                  <w:t>111</w:t>
                </w:r>
                <w:r>
                  <w:rPr>
                    <w:noProof/>
                    <w:webHidden/>
                  </w:rPr>
                  <w:fldChar w:fldCharType="end"/>
                </w:r>
              </w:hyperlink>
            </w:p>
            <w:p w:rsidR="00201AA8" w:rsidRDefault="00201AA8" w14:paraId="1BEC0A4E" w14:textId="6667E3F7">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15">
                <w:r w:rsidRPr="00520042">
                  <w:rPr>
                    <w:rStyle w:val="Hipervnculo"/>
                    <w:noProof/>
                  </w:rPr>
                  <w:t>7.6</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Seguridad y Privacidad de la Información.</w:t>
                </w:r>
                <w:r>
                  <w:rPr>
                    <w:noProof/>
                    <w:webHidden/>
                  </w:rPr>
                  <w:tab/>
                </w:r>
                <w:r>
                  <w:rPr>
                    <w:noProof/>
                    <w:webHidden/>
                  </w:rPr>
                  <w:fldChar w:fldCharType="begin"/>
                </w:r>
                <w:r>
                  <w:rPr>
                    <w:noProof/>
                    <w:webHidden/>
                  </w:rPr>
                  <w:instrText xml:space="preserve"> PAGEREF _Toc234234515 \h </w:instrText>
                </w:r>
                <w:r>
                  <w:rPr>
                    <w:noProof/>
                    <w:webHidden/>
                  </w:rPr>
                </w:r>
                <w:r>
                  <w:rPr>
                    <w:noProof/>
                    <w:webHidden/>
                  </w:rPr>
                  <w:fldChar w:fldCharType="separate"/>
                </w:r>
                <w:r>
                  <w:rPr>
                    <w:noProof/>
                    <w:webHidden/>
                  </w:rPr>
                  <w:t>113</w:t>
                </w:r>
                <w:r>
                  <w:rPr>
                    <w:noProof/>
                    <w:webHidden/>
                  </w:rPr>
                  <w:fldChar w:fldCharType="end"/>
                </w:r>
              </w:hyperlink>
            </w:p>
            <w:p w:rsidR="00201AA8" w:rsidRDefault="00201AA8" w14:paraId="49541206" w14:textId="5DF08BC6">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16">
                <w:r w:rsidRPr="00520042">
                  <w:rPr>
                    <w:rStyle w:val="Hipervnculo"/>
                    <w:rFonts w:cs="Calibri"/>
                    <w:noProof/>
                  </w:rPr>
                  <w:t>7.7</w:t>
                </w:r>
                <w:r>
                  <w:rPr>
                    <w:rFonts w:eastAsiaTheme="minorEastAsia" w:cstheme="minorBidi"/>
                    <w:smallCaps w:val="0"/>
                    <w:noProof/>
                    <w:kern w:val="2"/>
                    <w:sz w:val="24"/>
                    <w:szCs w:val="24"/>
                    <w:lang w:eastAsia="es-ES_tradnl"/>
                    <w14:ligatures w14:val="standardContextual"/>
                  </w:rPr>
                  <w:tab/>
                </w:r>
                <w:r w:rsidRPr="00520042">
                  <w:rPr>
                    <w:rStyle w:val="Hipervnculo"/>
                    <w:noProof/>
                  </w:rPr>
                  <w:t>Situación Objetivo (TO – BE) Transformación Digital</w:t>
                </w:r>
                <w:r>
                  <w:rPr>
                    <w:noProof/>
                    <w:webHidden/>
                  </w:rPr>
                  <w:tab/>
                </w:r>
                <w:r>
                  <w:rPr>
                    <w:noProof/>
                    <w:webHidden/>
                  </w:rPr>
                  <w:fldChar w:fldCharType="begin"/>
                </w:r>
                <w:r>
                  <w:rPr>
                    <w:noProof/>
                    <w:webHidden/>
                  </w:rPr>
                  <w:instrText xml:space="preserve"> PAGEREF _Toc234234516 \h </w:instrText>
                </w:r>
                <w:r>
                  <w:rPr>
                    <w:noProof/>
                    <w:webHidden/>
                  </w:rPr>
                </w:r>
                <w:r>
                  <w:rPr>
                    <w:noProof/>
                    <w:webHidden/>
                  </w:rPr>
                  <w:fldChar w:fldCharType="separate"/>
                </w:r>
                <w:r>
                  <w:rPr>
                    <w:noProof/>
                    <w:webHidden/>
                  </w:rPr>
                  <w:t>114</w:t>
                </w:r>
                <w:r>
                  <w:rPr>
                    <w:noProof/>
                    <w:webHidden/>
                  </w:rPr>
                  <w:fldChar w:fldCharType="end"/>
                </w:r>
              </w:hyperlink>
            </w:p>
            <w:p w:rsidR="00201AA8" w:rsidRDefault="00201AA8" w14:paraId="39445928" w14:textId="58B3F5C5">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17">
                <w:r w:rsidRPr="00520042">
                  <w:rPr>
                    <w:rStyle w:val="Hipervnculo"/>
                    <w:noProof/>
                    <w:lang w:val="es-ES"/>
                  </w:rPr>
                  <w:t>8.</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IDENTIFICACIÓN Y ANÁLISIS DE BRECHAS</w:t>
                </w:r>
                <w:r>
                  <w:rPr>
                    <w:noProof/>
                    <w:webHidden/>
                  </w:rPr>
                  <w:tab/>
                </w:r>
                <w:r>
                  <w:rPr>
                    <w:noProof/>
                    <w:webHidden/>
                  </w:rPr>
                  <w:fldChar w:fldCharType="begin"/>
                </w:r>
                <w:r>
                  <w:rPr>
                    <w:noProof/>
                    <w:webHidden/>
                  </w:rPr>
                  <w:instrText xml:space="preserve"> PAGEREF _Toc234234517 \h </w:instrText>
                </w:r>
                <w:r>
                  <w:rPr>
                    <w:noProof/>
                    <w:webHidden/>
                  </w:rPr>
                </w:r>
                <w:r>
                  <w:rPr>
                    <w:noProof/>
                    <w:webHidden/>
                  </w:rPr>
                  <w:fldChar w:fldCharType="separate"/>
                </w:r>
                <w:r>
                  <w:rPr>
                    <w:noProof/>
                    <w:webHidden/>
                  </w:rPr>
                  <w:t>116</w:t>
                </w:r>
                <w:r>
                  <w:rPr>
                    <w:noProof/>
                    <w:webHidden/>
                  </w:rPr>
                  <w:fldChar w:fldCharType="end"/>
                </w:r>
              </w:hyperlink>
            </w:p>
            <w:p w:rsidR="00201AA8" w:rsidRDefault="00201AA8" w14:paraId="0E1D195E" w14:textId="10AD3D1C">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19">
                <w:r w:rsidRPr="00520042">
                  <w:rPr>
                    <w:rStyle w:val="Hipervnculo"/>
                    <w:rFonts w:cs="Calibri"/>
                    <w:noProof/>
                  </w:rPr>
                  <w:t>8.1</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de brechas para Arquitectura Sectorial- Institucional</w:t>
                </w:r>
                <w:r>
                  <w:rPr>
                    <w:noProof/>
                    <w:webHidden/>
                  </w:rPr>
                  <w:tab/>
                </w:r>
                <w:r>
                  <w:rPr>
                    <w:noProof/>
                    <w:webHidden/>
                  </w:rPr>
                  <w:fldChar w:fldCharType="begin"/>
                </w:r>
                <w:r>
                  <w:rPr>
                    <w:noProof/>
                    <w:webHidden/>
                  </w:rPr>
                  <w:instrText xml:space="preserve"> PAGEREF _Toc234234519 \h </w:instrText>
                </w:r>
                <w:r>
                  <w:rPr>
                    <w:noProof/>
                    <w:webHidden/>
                  </w:rPr>
                </w:r>
                <w:r>
                  <w:rPr>
                    <w:noProof/>
                    <w:webHidden/>
                  </w:rPr>
                  <w:fldChar w:fldCharType="separate"/>
                </w:r>
                <w:r>
                  <w:rPr>
                    <w:noProof/>
                    <w:webHidden/>
                  </w:rPr>
                  <w:t>116</w:t>
                </w:r>
                <w:r>
                  <w:rPr>
                    <w:noProof/>
                    <w:webHidden/>
                  </w:rPr>
                  <w:fldChar w:fldCharType="end"/>
                </w:r>
              </w:hyperlink>
            </w:p>
            <w:p w:rsidR="00201AA8" w:rsidRDefault="00201AA8" w14:paraId="0D62E9B8" w14:textId="75996DDA">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20">
                <w:r w:rsidRPr="00520042">
                  <w:rPr>
                    <w:rStyle w:val="Hipervnculo"/>
                    <w:noProof/>
                  </w:rPr>
                  <w:t>8.2</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y análisis de brechas Arquitectura de Datos e Información</w:t>
                </w:r>
                <w:r>
                  <w:rPr>
                    <w:noProof/>
                    <w:webHidden/>
                  </w:rPr>
                  <w:tab/>
                </w:r>
                <w:r>
                  <w:rPr>
                    <w:noProof/>
                    <w:webHidden/>
                  </w:rPr>
                  <w:fldChar w:fldCharType="begin"/>
                </w:r>
                <w:r>
                  <w:rPr>
                    <w:noProof/>
                    <w:webHidden/>
                  </w:rPr>
                  <w:instrText xml:space="preserve"> PAGEREF _Toc234234520 \h </w:instrText>
                </w:r>
                <w:r>
                  <w:rPr>
                    <w:noProof/>
                    <w:webHidden/>
                  </w:rPr>
                </w:r>
                <w:r>
                  <w:rPr>
                    <w:noProof/>
                    <w:webHidden/>
                  </w:rPr>
                  <w:fldChar w:fldCharType="separate"/>
                </w:r>
                <w:r>
                  <w:rPr>
                    <w:noProof/>
                    <w:webHidden/>
                  </w:rPr>
                  <w:t>118</w:t>
                </w:r>
                <w:r>
                  <w:rPr>
                    <w:noProof/>
                    <w:webHidden/>
                  </w:rPr>
                  <w:fldChar w:fldCharType="end"/>
                </w:r>
              </w:hyperlink>
            </w:p>
            <w:p w:rsidR="00201AA8" w:rsidRDefault="00201AA8" w14:paraId="26ACDEA9" w14:textId="2BEE7DE1">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21">
                <w:r w:rsidRPr="00520042">
                  <w:rPr>
                    <w:rStyle w:val="Hipervnculo"/>
                    <w:rFonts w:cs="Calibri"/>
                    <w:noProof/>
                  </w:rPr>
                  <w:t>8.3</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y análisis de brechas Arquitectura de Sistemas de Información</w:t>
                </w:r>
                <w:r>
                  <w:rPr>
                    <w:noProof/>
                    <w:webHidden/>
                  </w:rPr>
                  <w:tab/>
                </w:r>
                <w:r>
                  <w:rPr>
                    <w:noProof/>
                    <w:webHidden/>
                  </w:rPr>
                  <w:fldChar w:fldCharType="begin"/>
                </w:r>
                <w:r>
                  <w:rPr>
                    <w:noProof/>
                    <w:webHidden/>
                  </w:rPr>
                  <w:instrText xml:space="preserve"> PAGEREF _Toc234234521 \h </w:instrText>
                </w:r>
                <w:r>
                  <w:rPr>
                    <w:noProof/>
                    <w:webHidden/>
                  </w:rPr>
                </w:r>
                <w:r>
                  <w:rPr>
                    <w:noProof/>
                    <w:webHidden/>
                  </w:rPr>
                  <w:fldChar w:fldCharType="separate"/>
                </w:r>
                <w:r>
                  <w:rPr>
                    <w:noProof/>
                    <w:webHidden/>
                  </w:rPr>
                  <w:t>120</w:t>
                </w:r>
                <w:r>
                  <w:rPr>
                    <w:noProof/>
                    <w:webHidden/>
                  </w:rPr>
                  <w:fldChar w:fldCharType="end"/>
                </w:r>
              </w:hyperlink>
            </w:p>
            <w:p w:rsidR="00201AA8" w:rsidRDefault="00201AA8" w14:paraId="50E6B051" w14:textId="33ECA1AD">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25">
                <w:r w:rsidRPr="00520042">
                  <w:rPr>
                    <w:rStyle w:val="Hipervnculo"/>
                    <w:noProof/>
                  </w:rPr>
                  <w:t>8.4</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y análisis de brechas Interoperabilidad Sectorial</w:t>
                </w:r>
                <w:r>
                  <w:rPr>
                    <w:noProof/>
                    <w:webHidden/>
                  </w:rPr>
                  <w:tab/>
                </w:r>
                <w:r>
                  <w:rPr>
                    <w:noProof/>
                    <w:webHidden/>
                  </w:rPr>
                  <w:fldChar w:fldCharType="begin"/>
                </w:r>
                <w:r>
                  <w:rPr>
                    <w:noProof/>
                    <w:webHidden/>
                  </w:rPr>
                  <w:instrText xml:space="preserve"> PAGEREF _Toc234234525 \h </w:instrText>
                </w:r>
                <w:r>
                  <w:rPr>
                    <w:noProof/>
                    <w:webHidden/>
                  </w:rPr>
                </w:r>
                <w:r>
                  <w:rPr>
                    <w:noProof/>
                    <w:webHidden/>
                  </w:rPr>
                  <w:fldChar w:fldCharType="separate"/>
                </w:r>
                <w:r>
                  <w:rPr>
                    <w:noProof/>
                    <w:webHidden/>
                  </w:rPr>
                  <w:t>121</w:t>
                </w:r>
                <w:r>
                  <w:rPr>
                    <w:noProof/>
                    <w:webHidden/>
                  </w:rPr>
                  <w:fldChar w:fldCharType="end"/>
                </w:r>
              </w:hyperlink>
            </w:p>
            <w:p w:rsidR="00201AA8" w:rsidRDefault="00201AA8" w14:paraId="3D06F2BC" w14:textId="509EC4BB">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26">
                <w:r w:rsidRPr="00520042">
                  <w:rPr>
                    <w:rStyle w:val="Hipervnculo"/>
                    <w:noProof/>
                  </w:rPr>
                  <w:t>8.5</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y análisis de brechas Infraestructura y Servicios Tecnológicos Sectorial</w:t>
                </w:r>
                <w:r>
                  <w:rPr>
                    <w:noProof/>
                    <w:webHidden/>
                  </w:rPr>
                  <w:tab/>
                </w:r>
                <w:r>
                  <w:rPr>
                    <w:noProof/>
                    <w:webHidden/>
                  </w:rPr>
                  <w:fldChar w:fldCharType="begin"/>
                </w:r>
                <w:r>
                  <w:rPr>
                    <w:noProof/>
                    <w:webHidden/>
                  </w:rPr>
                  <w:instrText xml:space="preserve"> PAGEREF _Toc234234526 \h </w:instrText>
                </w:r>
                <w:r>
                  <w:rPr>
                    <w:noProof/>
                    <w:webHidden/>
                  </w:rPr>
                </w:r>
                <w:r>
                  <w:rPr>
                    <w:noProof/>
                    <w:webHidden/>
                  </w:rPr>
                  <w:fldChar w:fldCharType="separate"/>
                </w:r>
                <w:r>
                  <w:rPr>
                    <w:noProof/>
                    <w:webHidden/>
                  </w:rPr>
                  <w:t>123</w:t>
                </w:r>
                <w:r>
                  <w:rPr>
                    <w:noProof/>
                    <w:webHidden/>
                  </w:rPr>
                  <w:fldChar w:fldCharType="end"/>
                </w:r>
              </w:hyperlink>
            </w:p>
            <w:p w:rsidR="00201AA8" w:rsidRDefault="00201AA8" w14:paraId="4E9AF1EF" w14:textId="4820741F">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27">
                <w:r w:rsidRPr="00520042">
                  <w:rPr>
                    <w:rStyle w:val="Hipervnculo"/>
                    <w:rFonts w:cs="Calibri"/>
                    <w:noProof/>
                  </w:rPr>
                  <w:t>8.6</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y análisis de brechas Seguridad y Privacidad de la Información Sectorial</w:t>
                </w:r>
                <w:r>
                  <w:rPr>
                    <w:noProof/>
                    <w:webHidden/>
                  </w:rPr>
                  <w:tab/>
                </w:r>
                <w:r>
                  <w:rPr>
                    <w:noProof/>
                    <w:webHidden/>
                  </w:rPr>
                  <w:fldChar w:fldCharType="begin"/>
                </w:r>
                <w:r>
                  <w:rPr>
                    <w:noProof/>
                    <w:webHidden/>
                  </w:rPr>
                  <w:instrText xml:space="preserve"> PAGEREF _Toc234234527 \h </w:instrText>
                </w:r>
                <w:r>
                  <w:rPr>
                    <w:noProof/>
                    <w:webHidden/>
                  </w:rPr>
                </w:r>
                <w:r>
                  <w:rPr>
                    <w:noProof/>
                    <w:webHidden/>
                  </w:rPr>
                  <w:fldChar w:fldCharType="separate"/>
                </w:r>
                <w:r>
                  <w:rPr>
                    <w:noProof/>
                    <w:webHidden/>
                  </w:rPr>
                  <w:t>124</w:t>
                </w:r>
                <w:r>
                  <w:rPr>
                    <w:noProof/>
                    <w:webHidden/>
                  </w:rPr>
                  <w:fldChar w:fldCharType="end"/>
                </w:r>
              </w:hyperlink>
            </w:p>
            <w:p w:rsidR="00201AA8" w:rsidRDefault="00201AA8" w14:paraId="29403D49" w14:textId="2BB2B623">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28">
                <w:r w:rsidRPr="00520042">
                  <w:rPr>
                    <w:rStyle w:val="Hipervnculo"/>
                    <w:noProof/>
                  </w:rPr>
                  <w:t>8.7</w:t>
                </w:r>
                <w:r>
                  <w:rPr>
                    <w:rFonts w:eastAsiaTheme="minorEastAsia" w:cstheme="minorBidi"/>
                    <w:smallCaps w:val="0"/>
                    <w:noProof/>
                    <w:kern w:val="2"/>
                    <w:sz w:val="24"/>
                    <w:szCs w:val="24"/>
                    <w:lang w:eastAsia="es-ES_tradnl"/>
                    <w14:ligatures w14:val="standardContextual"/>
                  </w:rPr>
                  <w:tab/>
                </w:r>
                <w:r w:rsidRPr="00520042">
                  <w:rPr>
                    <w:rStyle w:val="Hipervnculo"/>
                    <w:noProof/>
                  </w:rPr>
                  <w:t>Identificación y análisis de brechas Transformación Digital Sectorial</w:t>
                </w:r>
                <w:r>
                  <w:rPr>
                    <w:noProof/>
                    <w:webHidden/>
                  </w:rPr>
                  <w:tab/>
                </w:r>
                <w:r>
                  <w:rPr>
                    <w:noProof/>
                    <w:webHidden/>
                  </w:rPr>
                  <w:fldChar w:fldCharType="begin"/>
                </w:r>
                <w:r>
                  <w:rPr>
                    <w:noProof/>
                    <w:webHidden/>
                  </w:rPr>
                  <w:instrText xml:space="preserve"> PAGEREF _Toc234234528 \h </w:instrText>
                </w:r>
                <w:r>
                  <w:rPr>
                    <w:noProof/>
                    <w:webHidden/>
                  </w:rPr>
                </w:r>
                <w:r>
                  <w:rPr>
                    <w:noProof/>
                    <w:webHidden/>
                  </w:rPr>
                  <w:fldChar w:fldCharType="separate"/>
                </w:r>
                <w:r>
                  <w:rPr>
                    <w:noProof/>
                    <w:webHidden/>
                  </w:rPr>
                  <w:t>125</w:t>
                </w:r>
                <w:r>
                  <w:rPr>
                    <w:noProof/>
                    <w:webHidden/>
                  </w:rPr>
                  <w:fldChar w:fldCharType="end"/>
                </w:r>
              </w:hyperlink>
            </w:p>
            <w:p w:rsidR="00201AA8" w:rsidRDefault="00201AA8" w14:paraId="207BDCBC" w14:textId="27EE4E8A">
              <w:pPr>
                <w:pStyle w:val="TDC1"/>
                <w:tabs>
                  <w:tab w:val="left" w:pos="44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29">
                <w:r w:rsidRPr="00520042">
                  <w:rPr>
                    <w:rStyle w:val="Hipervnculo"/>
                    <w:noProof/>
                  </w:rPr>
                  <w:t>9</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rPr>
                  <w:t>PLANEACIÓN Y HOJA DE RUTA</w:t>
                </w:r>
                <w:r>
                  <w:rPr>
                    <w:noProof/>
                    <w:webHidden/>
                  </w:rPr>
                  <w:tab/>
                </w:r>
                <w:r>
                  <w:rPr>
                    <w:noProof/>
                    <w:webHidden/>
                  </w:rPr>
                  <w:fldChar w:fldCharType="begin"/>
                </w:r>
                <w:r>
                  <w:rPr>
                    <w:noProof/>
                    <w:webHidden/>
                  </w:rPr>
                  <w:instrText xml:space="preserve"> PAGEREF _Toc234234529 \h </w:instrText>
                </w:r>
                <w:r>
                  <w:rPr>
                    <w:noProof/>
                    <w:webHidden/>
                  </w:rPr>
                </w:r>
                <w:r>
                  <w:rPr>
                    <w:noProof/>
                    <w:webHidden/>
                  </w:rPr>
                  <w:fldChar w:fldCharType="separate"/>
                </w:r>
                <w:r>
                  <w:rPr>
                    <w:noProof/>
                    <w:webHidden/>
                  </w:rPr>
                  <w:t>126</w:t>
                </w:r>
                <w:r>
                  <w:rPr>
                    <w:noProof/>
                    <w:webHidden/>
                  </w:rPr>
                  <w:fldChar w:fldCharType="end"/>
                </w:r>
              </w:hyperlink>
            </w:p>
            <w:p w:rsidR="00201AA8" w:rsidRDefault="00201AA8" w14:paraId="4ACFC926" w14:textId="6838EEE0">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31">
                <w:r w:rsidRPr="00520042">
                  <w:rPr>
                    <w:rStyle w:val="Hipervnculo"/>
                    <w:noProof/>
                  </w:rPr>
                  <w:t>9.1</w:t>
                </w:r>
                <w:r>
                  <w:rPr>
                    <w:rFonts w:eastAsiaTheme="minorEastAsia" w:cstheme="minorBidi"/>
                    <w:smallCaps w:val="0"/>
                    <w:noProof/>
                    <w:kern w:val="2"/>
                    <w:sz w:val="24"/>
                    <w:szCs w:val="24"/>
                    <w:lang w:eastAsia="es-ES_tradnl"/>
                    <w14:ligatures w14:val="standardContextual"/>
                  </w:rPr>
                  <w:tab/>
                </w:r>
                <w:r w:rsidRPr="00520042">
                  <w:rPr>
                    <w:rStyle w:val="Hipervnculo"/>
                    <w:noProof/>
                  </w:rPr>
                  <w:t>Gobernanza Análisis y Explotación Estratégica de Datos Sectoriales</w:t>
                </w:r>
                <w:r>
                  <w:rPr>
                    <w:noProof/>
                    <w:webHidden/>
                  </w:rPr>
                  <w:tab/>
                </w:r>
                <w:r>
                  <w:rPr>
                    <w:noProof/>
                    <w:webHidden/>
                  </w:rPr>
                  <w:fldChar w:fldCharType="begin"/>
                </w:r>
                <w:r>
                  <w:rPr>
                    <w:noProof/>
                    <w:webHidden/>
                  </w:rPr>
                  <w:instrText xml:space="preserve"> PAGEREF _Toc234234531 \h </w:instrText>
                </w:r>
                <w:r>
                  <w:rPr>
                    <w:noProof/>
                    <w:webHidden/>
                  </w:rPr>
                </w:r>
                <w:r>
                  <w:rPr>
                    <w:noProof/>
                    <w:webHidden/>
                  </w:rPr>
                  <w:fldChar w:fldCharType="separate"/>
                </w:r>
                <w:r>
                  <w:rPr>
                    <w:noProof/>
                    <w:webHidden/>
                  </w:rPr>
                  <w:t>127</w:t>
                </w:r>
                <w:r>
                  <w:rPr>
                    <w:noProof/>
                    <w:webHidden/>
                  </w:rPr>
                  <w:fldChar w:fldCharType="end"/>
                </w:r>
              </w:hyperlink>
            </w:p>
            <w:p w:rsidR="00201AA8" w:rsidRDefault="00201AA8" w14:paraId="2064A121" w14:textId="52898F9C">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33">
                <w:r w:rsidRPr="00520042">
                  <w:rPr>
                    <w:rStyle w:val="Hipervnculo"/>
                    <w:rFonts w:cs="Calibri"/>
                    <w:noProof/>
                    <w:highlight w:val="white"/>
                  </w:rPr>
                  <w:t>9.2</w:t>
                </w:r>
                <w:r>
                  <w:rPr>
                    <w:rFonts w:eastAsiaTheme="minorEastAsia" w:cstheme="minorBidi"/>
                    <w:smallCaps w:val="0"/>
                    <w:noProof/>
                    <w:kern w:val="2"/>
                    <w:sz w:val="24"/>
                    <w:szCs w:val="24"/>
                    <w:lang w:eastAsia="es-ES_tradnl"/>
                    <w14:ligatures w14:val="standardContextual"/>
                  </w:rPr>
                  <w:tab/>
                </w:r>
                <w:r w:rsidRPr="00520042">
                  <w:rPr>
                    <w:rStyle w:val="Hipervnculo"/>
                    <w:noProof/>
                  </w:rPr>
                  <w:t>Interoperabilidad Datos Sectoriales</w:t>
                </w:r>
                <w:r>
                  <w:rPr>
                    <w:noProof/>
                    <w:webHidden/>
                  </w:rPr>
                  <w:tab/>
                </w:r>
                <w:r>
                  <w:rPr>
                    <w:noProof/>
                    <w:webHidden/>
                  </w:rPr>
                  <w:fldChar w:fldCharType="begin"/>
                </w:r>
                <w:r>
                  <w:rPr>
                    <w:noProof/>
                    <w:webHidden/>
                  </w:rPr>
                  <w:instrText xml:space="preserve"> PAGEREF _Toc234234533 \h </w:instrText>
                </w:r>
                <w:r>
                  <w:rPr>
                    <w:noProof/>
                    <w:webHidden/>
                  </w:rPr>
                </w:r>
                <w:r>
                  <w:rPr>
                    <w:noProof/>
                    <w:webHidden/>
                  </w:rPr>
                  <w:fldChar w:fldCharType="separate"/>
                </w:r>
                <w:r>
                  <w:rPr>
                    <w:noProof/>
                    <w:webHidden/>
                  </w:rPr>
                  <w:t>129</w:t>
                </w:r>
                <w:r>
                  <w:rPr>
                    <w:noProof/>
                    <w:webHidden/>
                  </w:rPr>
                  <w:fldChar w:fldCharType="end"/>
                </w:r>
              </w:hyperlink>
            </w:p>
            <w:p w:rsidR="00201AA8" w:rsidRDefault="00201AA8" w14:paraId="4F863F29" w14:textId="671D7961">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36">
                <w:r w:rsidRPr="00520042">
                  <w:rPr>
                    <w:rStyle w:val="Hipervnculo"/>
                    <w:noProof/>
                    <w:highlight w:val="white"/>
                  </w:rPr>
                  <w:t>9.3</w:t>
                </w:r>
                <w:r>
                  <w:rPr>
                    <w:rFonts w:eastAsiaTheme="minorEastAsia" w:cstheme="minorBidi"/>
                    <w:smallCaps w:val="0"/>
                    <w:noProof/>
                    <w:kern w:val="2"/>
                    <w:sz w:val="24"/>
                    <w:szCs w:val="24"/>
                    <w:lang w:eastAsia="es-ES_tradnl"/>
                    <w14:ligatures w14:val="standardContextual"/>
                  </w:rPr>
                  <w:tab/>
                </w:r>
                <w:r w:rsidRPr="00520042">
                  <w:rPr>
                    <w:rStyle w:val="Hipervnculo"/>
                    <w:noProof/>
                    <w:highlight w:val="white"/>
                  </w:rPr>
                  <w:t>Fortalecimiento de la Infraestructura Tecnológica, Ciberseguridad y Continuidad Operacional</w:t>
                </w:r>
                <w:r>
                  <w:rPr>
                    <w:noProof/>
                    <w:webHidden/>
                  </w:rPr>
                  <w:tab/>
                </w:r>
                <w:r>
                  <w:rPr>
                    <w:noProof/>
                    <w:webHidden/>
                  </w:rPr>
                  <w:fldChar w:fldCharType="begin"/>
                </w:r>
                <w:r>
                  <w:rPr>
                    <w:noProof/>
                    <w:webHidden/>
                  </w:rPr>
                  <w:instrText xml:space="preserve"> PAGEREF _Toc234234536 \h </w:instrText>
                </w:r>
                <w:r>
                  <w:rPr>
                    <w:noProof/>
                    <w:webHidden/>
                  </w:rPr>
                </w:r>
                <w:r>
                  <w:rPr>
                    <w:noProof/>
                    <w:webHidden/>
                  </w:rPr>
                  <w:fldChar w:fldCharType="separate"/>
                </w:r>
                <w:r>
                  <w:rPr>
                    <w:noProof/>
                    <w:webHidden/>
                  </w:rPr>
                  <w:t>130</w:t>
                </w:r>
                <w:r>
                  <w:rPr>
                    <w:noProof/>
                    <w:webHidden/>
                  </w:rPr>
                  <w:fldChar w:fldCharType="end"/>
                </w:r>
              </w:hyperlink>
            </w:p>
            <w:p w:rsidR="00201AA8" w:rsidRDefault="00201AA8" w14:paraId="6C31EF5E" w14:textId="05EE4BC5">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37">
                <w:r w:rsidRPr="00520042">
                  <w:rPr>
                    <w:rStyle w:val="Hipervnculo"/>
                    <w:rFonts w:cs="Calibri"/>
                    <w:noProof/>
                  </w:rPr>
                  <w:t>9.4</w:t>
                </w:r>
                <w:r>
                  <w:rPr>
                    <w:rFonts w:eastAsiaTheme="minorEastAsia" w:cstheme="minorBidi"/>
                    <w:smallCaps w:val="0"/>
                    <w:noProof/>
                    <w:kern w:val="2"/>
                    <w:sz w:val="24"/>
                    <w:szCs w:val="24"/>
                    <w:lang w:eastAsia="es-ES_tradnl"/>
                    <w14:ligatures w14:val="standardContextual"/>
                  </w:rPr>
                  <w:tab/>
                </w:r>
                <w:r w:rsidRPr="00520042">
                  <w:rPr>
                    <w:rStyle w:val="Hipervnculo"/>
                    <w:noProof/>
                    <w:highlight w:val="white"/>
                  </w:rPr>
                  <w:t>Innovación y Adopción de Tecnologías Disruptivas (Transformación Digital)</w:t>
                </w:r>
                <w:r>
                  <w:rPr>
                    <w:noProof/>
                    <w:webHidden/>
                  </w:rPr>
                  <w:tab/>
                </w:r>
                <w:r>
                  <w:rPr>
                    <w:noProof/>
                    <w:webHidden/>
                  </w:rPr>
                  <w:fldChar w:fldCharType="begin"/>
                </w:r>
                <w:r>
                  <w:rPr>
                    <w:noProof/>
                    <w:webHidden/>
                  </w:rPr>
                  <w:instrText xml:space="preserve"> PAGEREF _Toc234234537 \h </w:instrText>
                </w:r>
                <w:r>
                  <w:rPr>
                    <w:noProof/>
                    <w:webHidden/>
                  </w:rPr>
                </w:r>
                <w:r>
                  <w:rPr>
                    <w:noProof/>
                    <w:webHidden/>
                  </w:rPr>
                  <w:fldChar w:fldCharType="separate"/>
                </w:r>
                <w:r>
                  <w:rPr>
                    <w:noProof/>
                    <w:webHidden/>
                  </w:rPr>
                  <w:t>131</w:t>
                </w:r>
                <w:r>
                  <w:rPr>
                    <w:noProof/>
                    <w:webHidden/>
                  </w:rPr>
                  <w:fldChar w:fldCharType="end"/>
                </w:r>
              </w:hyperlink>
            </w:p>
            <w:p w:rsidR="00201AA8" w:rsidRDefault="00201AA8" w14:paraId="52B8E36E" w14:textId="484D4FED">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38">
                <w:r w:rsidRPr="00520042">
                  <w:rPr>
                    <w:rStyle w:val="Hipervnculo"/>
                    <w:noProof/>
                  </w:rPr>
                  <w:t>9.5</w:t>
                </w:r>
                <w:r>
                  <w:rPr>
                    <w:rFonts w:eastAsiaTheme="minorEastAsia" w:cstheme="minorBidi"/>
                    <w:smallCaps w:val="0"/>
                    <w:noProof/>
                    <w:kern w:val="2"/>
                    <w:sz w:val="24"/>
                    <w:szCs w:val="24"/>
                    <w:lang w:eastAsia="es-ES_tradnl"/>
                    <w14:ligatures w14:val="standardContextual"/>
                  </w:rPr>
                  <w:tab/>
                </w:r>
                <w:r w:rsidRPr="00520042">
                  <w:rPr>
                    <w:rStyle w:val="Hipervnculo"/>
                    <w:noProof/>
                  </w:rPr>
                  <w:t>Gobernanza Digital, Arquitectura Empresarial y Optimización del Ecosistema Tecnológico</w:t>
                </w:r>
                <w:r>
                  <w:rPr>
                    <w:noProof/>
                    <w:webHidden/>
                  </w:rPr>
                  <w:tab/>
                </w:r>
                <w:r>
                  <w:rPr>
                    <w:noProof/>
                    <w:webHidden/>
                  </w:rPr>
                  <w:fldChar w:fldCharType="begin"/>
                </w:r>
                <w:r>
                  <w:rPr>
                    <w:noProof/>
                    <w:webHidden/>
                  </w:rPr>
                  <w:instrText xml:space="preserve"> PAGEREF _Toc234234538 \h </w:instrText>
                </w:r>
                <w:r>
                  <w:rPr>
                    <w:noProof/>
                    <w:webHidden/>
                  </w:rPr>
                </w:r>
                <w:r>
                  <w:rPr>
                    <w:noProof/>
                    <w:webHidden/>
                  </w:rPr>
                  <w:fldChar w:fldCharType="separate"/>
                </w:r>
                <w:r>
                  <w:rPr>
                    <w:noProof/>
                    <w:webHidden/>
                  </w:rPr>
                  <w:t>132</w:t>
                </w:r>
                <w:r>
                  <w:rPr>
                    <w:noProof/>
                    <w:webHidden/>
                  </w:rPr>
                  <w:fldChar w:fldCharType="end"/>
                </w:r>
              </w:hyperlink>
            </w:p>
            <w:p w:rsidR="00201AA8" w:rsidRDefault="00201AA8" w14:paraId="19F9DD96" w14:textId="73C18B68">
              <w:pPr>
                <w:pStyle w:val="TDC1"/>
                <w:tabs>
                  <w:tab w:val="left" w:pos="66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39">
                <w:r w:rsidRPr="00520042">
                  <w:rPr>
                    <w:rStyle w:val="Hipervnculo"/>
                    <w:noProof/>
                    <w:lang w:val="es-ES"/>
                  </w:rPr>
                  <w:t>10</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COSTOS DE INVERSIÓN</w:t>
                </w:r>
                <w:r>
                  <w:rPr>
                    <w:noProof/>
                    <w:webHidden/>
                  </w:rPr>
                  <w:tab/>
                </w:r>
                <w:r>
                  <w:rPr>
                    <w:noProof/>
                    <w:webHidden/>
                  </w:rPr>
                  <w:fldChar w:fldCharType="begin"/>
                </w:r>
                <w:r>
                  <w:rPr>
                    <w:noProof/>
                    <w:webHidden/>
                  </w:rPr>
                  <w:instrText xml:space="preserve"> PAGEREF _Toc234234539 \h </w:instrText>
                </w:r>
                <w:r>
                  <w:rPr>
                    <w:noProof/>
                    <w:webHidden/>
                  </w:rPr>
                </w:r>
                <w:r>
                  <w:rPr>
                    <w:noProof/>
                    <w:webHidden/>
                  </w:rPr>
                  <w:fldChar w:fldCharType="separate"/>
                </w:r>
                <w:r>
                  <w:rPr>
                    <w:noProof/>
                    <w:webHidden/>
                  </w:rPr>
                  <w:t>135</w:t>
                </w:r>
                <w:r>
                  <w:rPr>
                    <w:noProof/>
                    <w:webHidden/>
                  </w:rPr>
                  <w:fldChar w:fldCharType="end"/>
                </w:r>
              </w:hyperlink>
            </w:p>
            <w:p w:rsidR="00201AA8" w:rsidRDefault="00201AA8" w14:paraId="21B6892D" w14:textId="2D39A574">
              <w:pPr>
                <w:pStyle w:val="TDC1"/>
                <w:tabs>
                  <w:tab w:val="left" w:pos="66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40">
                <w:r w:rsidRPr="00520042">
                  <w:rPr>
                    <w:rStyle w:val="Hipervnculo"/>
                    <w:noProof/>
                  </w:rPr>
                  <w:t>11</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rPr>
                  <w:t>SEGUIMIENTO Y EVALUACIÓN</w:t>
                </w:r>
                <w:r>
                  <w:rPr>
                    <w:noProof/>
                    <w:webHidden/>
                  </w:rPr>
                  <w:tab/>
                </w:r>
                <w:r>
                  <w:rPr>
                    <w:noProof/>
                    <w:webHidden/>
                  </w:rPr>
                  <w:fldChar w:fldCharType="begin"/>
                </w:r>
                <w:r>
                  <w:rPr>
                    <w:noProof/>
                    <w:webHidden/>
                  </w:rPr>
                  <w:instrText xml:space="preserve"> PAGEREF _Toc234234540 \h </w:instrText>
                </w:r>
                <w:r>
                  <w:rPr>
                    <w:noProof/>
                    <w:webHidden/>
                  </w:rPr>
                </w:r>
                <w:r>
                  <w:rPr>
                    <w:noProof/>
                    <w:webHidden/>
                  </w:rPr>
                  <w:fldChar w:fldCharType="separate"/>
                </w:r>
                <w:r>
                  <w:rPr>
                    <w:noProof/>
                    <w:webHidden/>
                  </w:rPr>
                  <w:t>135</w:t>
                </w:r>
                <w:r>
                  <w:rPr>
                    <w:noProof/>
                    <w:webHidden/>
                  </w:rPr>
                  <w:fldChar w:fldCharType="end"/>
                </w:r>
              </w:hyperlink>
            </w:p>
            <w:p w:rsidR="00201AA8" w:rsidRDefault="00201AA8" w14:paraId="72B95A56" w14:textId="19CD7B5B">
              <w:pPr>
                <w:pStyle w:val="TDC2"/>
                <w:tabs>
                  <w:tab w:val="right" w:leader="dot" w:pos="9514"/>
                </w:tabs>
                <w:rPr>
                  <w:rFonts w:eastAsiaTheme="minorEastAsia" w:cstheme="minorBidi"/>
                  <w:smallCaps w:val="0"/>
                  <w:noProof/>
                  <w:kern w:val="2"/>
                  <w:sz w:val="24"/>
                  <w:szCs w:val="24"/>
                  <w:lang w:eastAsia="es-ES_tradnl"/>
                  <w14:ligatures w14:val="standardContextual"/>
                </w:rPr>
              </w:pPr>
              <w:hyperlink w:history="1" w:anchor="_Toc234234541">
                <w:r w:rsidRPr="00520042">
                  <w:rPr>
                    <w:rStyle w:val="Hipervnculo"/>
                    <w:noProof/>
                  </w:rPr>
                  <w:t>11.1 Indicadores</w:t>
                </w:r>
                <w:r>
                  <w:rPr>
                    <w:noProof/>
                    <w:webHidden/>
                  </w:rPr>
                  <w:tab/>
                </w:r>
                <w:r>
                  <w:rPr>
                    <w:noProof/>
                    <w:webHidden/>
                  </w:rPr>
                  <w:fldChar w:fldCharType="begin"/>
                </w:r>
                <w:r>
                  <w:rPr>
                    <w:noProof/>
                    <w:webHidden/>
                  </w:rPr>
                  <w:instrText xml:space="preserve"> PAGEREF _Toc234234541 \h </w:instrText>
                </w:r>
                <w:r>
                  <w:rPr>
                    <w:noProof/>
                    <w:webHidden/>
                  </w:rPr>
                </w:r>
                <w:r>
                  <w:rPr>
                    <w:noProof/>
                    <w:webHidden/>
                  </w:rPr>
                  <w:fldChar w:fldCharType="separate"/>
                </w:r>
                <w:r>
                  <w:rPr>
                    <w:noProof/>
                    <w:webHidden/>
                  </w:rPr>
                  <w:t>135</w:t>
                </w:r>
                <w:r>
                  <w:rPr>
                    <w:noProof/>
                    <w:webHidden/>
                  </w:rPr>
                  <w:fldChar w:fldCharType="end"/>
                </w:r>
              </w:hyperlink>
            </w:p>
            <w:p w:rsidR="00201AA8" w:rsidRDefault="00201AA8" w14:paraId="4BCB9106" w14:textId="192AB878">
              <w:pPr>
                <w:pStyle w:val="TDC2"/>
                <w:tabs>
                  <w:tab w:val="right" w:leader="dot" w:pos="9514"/>
                </w:tabs>
                <w:rPr>
                  <w:rFonts w:eastAsiaTheme="minorEastAsia" w:cstheme="minorBidi"/>
                  <w:smallCaps w:val="0"/>
                  <w:noProof/>
                  <w:kern w:val="2"/>
                  <w:sz w:val="24"/>
                  <w:szCs w:val="24"/>
                  <w:lang w:eastAsia="es-ES_tradnl"/>
                  <w14:ligatures w14:val="standardContextual"/>
                </w:rPr>
              </w:pPr>
              <w:hyperlink w:history="1" w:anchor="_Toc234234542">
                <w:r w:rsidRPr="00520042">
                  <w:rPr>
                    <w:rStyle w:val="Hipervnculo"/>
                    <w:noProof/>
                  </w:rPr>
                  <w:t>11.2 Riesgos</w:t>
                </w:r>
                <w:r>
                  <w:rPr>
                    <w:noProof/>
                    <w:webHidden/>
                  </w:rPr>
                  <w:tab/>
                </w:r>
                <w:r>
                  <w:rPr>
                    <w:noProof/>
                    <w:webHidden/>
                  </w:rPr>
                  <w:fldChar w:fldCharType="begin"/>
                </w:r>
                <w:r>
                  <w:rPr>
                    <w:noProof/>
                    <w:webHidden/>
                  </w:rPr>
                  <w:instrText xml:space="preserve"> PAGEREF _Toc234234542 \h </w:instrText>
                </w:r>
                <w:r>
                  <w:rPr>
                    <w:noProof/>
                    <w:webHidden/>
                  </w:rPr>
                </w:r>
                <w:r>
                  <w:rPr>
                    <w:noProof/>
                    <w:webHidden/>
                  </w:rPr>
                  <w:fldChar w:fldCharType="separate"/>
                </w:r>
                <w:r>
                  <w:rPr>
                    <w:noProof/>
                    <w:webHidden/>
                  </w:rPr>
                  <w:t>137</w:t>
                </w:r>
                <w:r>
                  <w:rPr>
                    <w:noProof/>
                    <w:webHidden/>
                  </w:rPr>
                  <w:fldChar w:fldCharType="end"/>
                </w:r>
              </w:hyperlink>
            </w:p>
            <w:p w:rsidR="00201AA8" w:rsidRDefault="00201AA8" w14:paraId="5B876FB7" w14:textId="17E7CB55">
              <w:pPr>
                <w:pStyle w:val="TDC1"/>
                <w:tabs>
                  <w:tab w:val="left" w:pos="66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43">
                <w:r w:rsidRPr="00520042">
                  <w:rPr>
                    <w:rStyle w:val="Hipervnculo"/>
                    <w:noProof/>
                  </w:rPr>
                  <w:t>12</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rPr>
                  <w:t>PLAN DE COMUNICACIONES</w:t>
                </w:r>
                <w:r>
                  <w:rPr>
                    <w:noProof/>
                    <w:webHidden/>
                  </w:rPr>
                  <w:tab/>
                </w:r>
                <w:r>
                  <w:rPr>
                    <w:noProof/>
                    <w:webHidden/>
                  </w:rPr>
                  <w:fldChar w:fldCharType="begin"/>
                </w:r>
                <w:r>
                  <w:rPr>
                    <w:noProof/>
                    <w:webHidden/>
                  </w:rPr>
                  <w:instrText xml:space="preserve"> PAGEREF _Toc234234543 \h </w:instrText>
                </w:r>
                <w:r>
                  <w:rPr>
                    <w:noProof/>
                    <w:webHidden/>
                  </w:rPr>
                </w:r>
                <w:r>
                  <w:rPr>
                    <w:noProof/>
                    <w:webHidden/>
                  </w:rPr>
                  <w:fldChar w:fldCharType="separate"/>
                </w:r>
                <w:r>
                  <w:rPr>
                    <w:noProof/>
                    <w:webHidden/>
                  </w:rPr>
                  <w:t>138</w:t>
                </w:r>
                <w:r>
                  <w:rPr>
                    <w:noProof/>
                    <w:webHidden/>
                  </w:rPr>
                  <w:fldChar w:fldCharType="end"/>
                </w:r>
              </w:hyperlink>
            </w:p>
            <w:p w:rsidR="00201AA8" w:rsidRDefault="00201AA8" w14:paraId="75D5A5D4" w14:textId="193C550A">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44">
                <w:r w:rsidRPr="00520042">
                  <w:rPr>
                    <w:rStyle w:val="Hipervnculo"/>
                    <w:noProof/>
                  </w:rPr>
                  <w:t>12.1</w:t>
                </w:r>
                <w:r>
                  <w:rPr>
                    <w:rFonts w:eastAsiaTheme="minorEastAsia" w:cstheme="minorBidi"/>
                    <w:smallCaps w:val="0"/>
                    <w:noProof/>
                    <w:kern w:val="2"/>
                    <w:sz w:val="24"/>
                    <w:szCs w:val="24"/>
                    <w:lang w:eastAsia="es-ES_tradnl"/>
                    <w14:ligatures w14:val="standardContextual"/>
                  </w:rPr>
                  <w:tab/>
                </w:r>
                <w:r w:rsidRPr="00520042">
                  <w:rPr>
                    <w:rStyle w:val="Hipervnculo"/>
                    <w:noProof/>
                  </w:rPr>
                  <w:t>Público Objetivo</w:t>
                </w:r>
                <w:r>
                  <w:rPr>
                    <w:noProof/>
                    <w:webHidden/>
                  </w:rPr>
                  <w:tab/>
                </w:r>
                <w:r>
                  <w:rPr>
                    <w:noProof/>
                    <w:webHidden/>
                  </w:rPr>
                  <w:fldChar w:fldCharType="begin"/>
                </w:r>
                <w:r>
                  <w:rPr>
                    <w:noProof/>
                    <w:webHidden/>
                  </w:rPr>
                  <w:instrText xml:space="preserve"> PAGEREF _Toc234234544 \h </w:instrText>
                </w:r>
                <w:r>
                  <w:rPr>
                    <w:noProof/>
                    <w:webHidden/>
                  </w:rPr>
                </w:r>
                <w:r>
                  <w:rPr>
                    <w:noProof/>
                    <w:webHidden/>
                  </w:rPr>
                  <w:fldChar w:fldCharType="separate"/>
                </w:r>
                <w:r>
                  <w:rPr>
                    <w:noProof/>
                    <w:webHidden/>
                  </w:rPr>
                  <w:t>138</w:t>
                </w:r>
                <w:r>
                  <w:rPr>
                    <w:noProof/>
                    <w:webHidden/>
                  </w:rPr>
                  <w:fldChar w:fldCharType="end"/>
                </w:r>
              </w:hyperlink>
            </w:p>
            <w:p w:rsidR="00201AA8" w:rsidRDefault="00201AA8" w14:paraId="2047BADE" w14:textId="50390FDC">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45">
                <w:r w:rsidRPr="00520042">
                  <w:rPr>
                    <w:rStyle w:val="Hipervnculo"/>
                    <w:noProof/>
                  </w:rPr>
                  <w:t>12.1.1</w:t>
                </w:r>
                <w:r>
                  <w:rPr>
                    <w:rFonts w:eastAsiaTheme="minorEastAsia" w:cstheme="minorBidi"/>
                    <w:i w:val="0"/>
                    <w:iCs w:val="0"/>
                    <w:noProof/>
                    <w:kern w:val="2"/>
                    <w:sz w:val="24"/>
                    <w:szCs w:val="24"/>
                    <w:lang w:eastAsia="es-ES_tradnl"/>
                    <w14:ligatures w14:val="standardContextual"/>
                  </w:rPr>
                  <w:tab/>
                </w:r>
                <w:r w:rsidRPr="00520042">
                  <w:rPr>
                    <w:rStyle w:val="Hipervnculo"/>
                    <w:noProof/>
                  </w:rPr>
                  <w:t>Público Interno Sectorial</w:t>
                </w:r>
                <w:r>
                  <w:rPr>
                    <w:noProof/>
                    <w:webHidden/>
                  </w:rPr>
                  <w:tab/>
                </w:r>
                <w:r>
                  <w:rPr>
                    <w:noProof/>
                    <w:webHidden/>
                  </w:rPr>
                  <w:fldChar w:fldCharType="begin"/>
                </w:r>
                <w:r>
                  <w:rPr>
                    <w:noProof/>
                    <w:webHidden/>
                  </w:rPr>
                  <w:instrText xml:space="preserve"> PAGEREF _Toc234234545 \h </w:instrText>
                </w:r>
                <w:r>
                  <w:rPr>
                    <w:noProof/>
                    <w:webHidden/>
                  </w:rPr>
                </w:r>
                <w:r>
                  <w:rPr>
                    <w:noProof/>
                    <w:webHidden/>
                  </w:rPr>
                  <w:fldChar w:fldCharType="separate"/>
                </w:r>
                <w:r>
                  <w:rPr>
                    <w:noProof/>
                    <w:webHidden/>
                  </w:rPr>
                  <w:t>138</w:t>
                </w:r>
                <w:r>
                  <w:rPr>
                    <w:noProof/>
                    <w:webHidden/>
                  </w:rPr>
                  <w:fldChar w:fldCharType="end"/>
                </w:r>
              </w:hyperlink>
            </w:p>
            <w:p w:rsidR="00201AA8" w:rsidRDefault="00201AA8" w14:paraId="7AD88C12" w14:textId="196F1394">
              <w:pPr>
                <w:pStyle w:val="TDC3"/>
                <w:tabs>
                  <w:tab w:val="left" w:pos="1320"/>
                  <w:tab w:val="right" w:leader="dot" w:pos="9514"/>
                </w:tabs>
                <w:rPr>
                  <w:rFonts w:eastAsiaTheme="minorEastAsia" w:cstheme="minorBidi"/>
                  <w:i w:val="0"/>
                  <w:iCs w:val="0"/>
                  <w:noProof/>
                  <w:kern w:val="2"/>
                  <w:sz w:val="24"/>
                  <w:szCs w:val="24"/>
                  <w:lang w:eastAsia="es-ES_tradnl"/>
                  <w14:ligatures w14:val="standardContextual"/>
                </w:rPr>
              </w:pPr>
              <w:hyperlink w:history="1" w:anchor="_Toc234234546">
                <w:r w:rsidRPr="00520042">
                  <w:rPr>
                    <w:rStyle w:val="Hipervnculo"/>
                    <w:noProof/>
                  </w:rPr>
                  <w:t>12.1.2</w:t>
                </w:r>
                <w:r>
                  <w:rPr>
                    <w:rFonts w:eastAsiaTheme="minorEastAsia" w:cstheme="minorBidi"/>
                    <w:i w:val="0"/>
                    <w:iCs w:val="0"/>
                    <w:noProof/>
                    <w:kern w:val="2"/>
                    <w:sz w:val="24"/>
                    <w:szCs w:val="24"/>
                    <w:lang w:eastAsia="es-ES_tradnl"/>
                    <w14:ligatures w14:val="standardContextual"/>
                  </w:rPr>
                  <w:tab/>
                </w:r>
                <w:r w:rsidRPr="00520042">
                  <w:rPr>
                    <w:rStyle w:val="Hipervnculo"/>
                    <w:noProof/>
                  </w:rPr>
                  <w:t>Público Externo</w:t>
                </w:r>
                <w:r>
                  <w:rPr>
                    <w:noProof/>
                    <w:webHidden/>
                  </w:rPr>
                  <w:tab/>
                </w:r>
                <w:r>
                  <w:rPr>
                    <w:noProof/>
                    <w:webHidden/>
                  </w:rPr>
                  <w:fldChar w:fldCharType="begin"/>
                </w:r>
                <w:r>
                  <w:rPr>
                    <w:noProof/>
                    <w:webHidden/>
                  </w:rPr>
                  <w:instrText xml:space="preserve"> PAGEREF _Toc234234546 \h </w:instrText>
                </w:r>
                <w:r>
                  <w:rPr>
                    <w:noProof/>
                    <w:webHidden/>
                  </w:rPr>
                </w:r>
                <w:r>
                  <w:rPr>
                    <w:noProof/>
                    <w:webHidden/>
                  </w:rPr>
                  <w:fldChar w:fldCharType="separate"/>
                </w:r>
                <w:r>
                  <w:rPr>
                    <w:noProof/>
                    <w:webHidden/>
                  </w:rPr>
                  <w:t>139</w:t>
                </w:r>
                <w:r>
                  <w:rPr>
                    <w:noProof/>
                    <w:webHidden/>
                  </w:rPr>
                  <w:fldChar w:fldCharType="end"/>
                </w:r>
              </w:hyperlink>
            </w:p>
            <w:p w:rsidR="00201AA8" w:rsidRDefault="00201AA8" w14:paraId="60827BEF" w14:textId="4C41EEBA">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47">
                <w:r w:rsidRPr="00520042">
                  <w:rPr>
                    <w:rStyle w:val="Hipervnculo"/>
                    <w:noProof/>
                  </w:rPr>
                  <w:t>12.2</w:t>
                </w:r>
                <w:r>
                  <w:rPr>
                    <w:rFonts w:eastAsiaTheme="minorEastAsia" w:cstheme="minorBidi"/>
                    <w:smallCaps w:val="0"/>
                    <w:noProof/>
                    <w:kern w:val="2"/>
                    <w:sz w:val="24"/>
                    <w:szCs w:val="24"/>
                    <w:lang w:eastAsia="es-ES_tradnl"/>
                    <w14:ligatures w14:val="standardContextual"/>
                  </w:rPr>
                  <w:tab/>
                </w:r>
                <w:r w:rsidRPr="00520042">
                  <w:rPr>
                    <w:rStyle w:val="Hipervnculo"/>
                    <w:noProof/>
                  </w:rPr>
                  <w:t>Medios y Canales de Difusión</w:t>
                </w:r>
                <w:r>
                  <w:rPr>
                    <w:noProof/>
                    <w:webHidden/>
                  </w:rPr>
                  <w:tab/>
                </w:r>
                <w:r>
                  <w:rPr>
                    <w:noProof/>
                    <w:webHidden/>
                  </w:rPr>
                  <w:fldChar w:fldCharType="begin"/>
                </w:r>
                <w:r>
                  <w:rPr>
                    <w:noProof/>
                    <w:webHidden/>
                  </w:rPr>
                  <w:instrText xml:space="preserve"> PAGEREF _Toc234234547 \h </w:instrText>
                </w:r>
                <w:r>
                  <w:rPr>
                    <w:noProof/>
                    <w:webHidden/>
                  </w:rPr>
                </w:r>
                <w:r>
                  <w:rPr>
                    <w:noProof/>
                    <w:webHidden/>
                  </w:rPr>
                  <w:fldChar w:fldCharType="separate"/>
                </w:r>
                <w:r>
                  <w:rPr>
                    <w:noProof/>
                    <w:webHidden/>
                  </w:rPr>
                  <w:t>139</w:t>
                </w:r>
                <w:r>
                  <w:rPr>
                    <w:noProof/>
                    <w:webHidden/>
                  </w:rPr>
                  <w:fldChar w:fldCharType="end"/>
                </w:r>
              </w:hyperlink>
            </w:p>
            <w:p w:rsidR="00201AA8" w:rsidRDefault="00201AA8" w14:paraId="08D96129" w14:textId="23BD9679">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48">
                <w:r w:rsidRPr="00520042">
                  <w:rPr>
                    <w:rStyle w:val="Hipervnculo"/>
                    <w:noProof/>
                  </w:rPr>
                  <w:t>12.3</w:t>
                </w:r>
                <w:r>
                  <w:rPr>
                    <w:rFonts w:eastAsiaTheme="minorEastAsia" w:cstheme="minorBidi"/>
                    <w:smallCaps w:val="0"/>
                    <w:noProof/>
                    <w:kern w:val="2"/>
                    <w:sz w:val="24"/>
                    <w:szCs w:val="24"/>
                    <w:lang w:eastAsia="es-ES_tradnl"/>
                    <w14:ligatures w14:val="standardContextual"/>
                  </w:rPr>
                  <w:tab/>
                </w:r>
                <w:r w:rsidRPr="00520042">
                  <w:rPr>
                    <w:rStyle w:val="Hipervnculo"/>
                    <w:noProof/>
                  </w:rPr>
                  <w:t>Esquema Ejecutivo del Plan de Comunicación</w:t>
                </w:r>
                <w:r>
                  <w:rPr>
                    <w:noProof/>
                    <w:webHidden/>
                  </w:rPr>
                  <w:tab/>
                </w:r>
                <w:r>
                  <w:rPr>
                    <w:noProof/>
                    <w:webHidden/>
                  </w:rPr>
                  <w:fldChar w:fldCharType="begin"/>
                </w:r>
                <w:r>
                  <w:rPr>
                    <w:noProof/>
                    <w:webHidden/>
                  </w:rPr>
                  <w:instrText xml:space="preserve"> PAGEREF _Toc234234548 \h </w:instrText>
                </w:r>
                <w:r>
                  <w:rPr>
                    <w:noProof/>
                    <w:webHidden/>
                  </w:rPr>
                </w:r>
                <w:r>
                  <w:rPr>
                    <w:noProof/>
                    <w:webHidden/>
                  </w:rPr>
                  <w:fldChar w:fldCharType="separate"/>
                </w:r>
                <w:r>
                  <w:rPr>
                    <w:noProof/>
                    <w:webHidden/>
                  </w:rPr>
                  <w:t>139</w:t>
                </w:r>
                <w:r>
                  <w:rPr>
                    <w:noProof/>
                    <w:webHidden/>
                  </w:rPr>
                  <w:fldChar w:fldCharType="end"/>
                </w:r>
              </w:hyperlink>
            </w:p>
            <w:p w:rsidR="00201AA8" w:rsidRDefault="00201AA8" w14:paraId="16711380" w14:textId="7CCC40DE">
              <w:pPr>
                <w:pStyle w:val="TDC2"/>
                <w:tabs>
                  <w:tab w:val="left" w:pos="880"/>
                  <w:tab w:val="right" w:leader="dot" w:pos="9514"/>
                </w:tabs>
                <w:rPr>
                  <w:rFonts w:eastAsiaTheme="minorEastAsia" w:cstheme="minorBidi"/>
                  <w:smallCaps w:val="0"/>
                  <w:noProof/>
                  <w:kern w:val="2"/>
                  <w:sz w:val="24"/>
                  <w:szCs w:val="24"/>
                  <w:lang w:eastAsia="es-ES_tradnl"/>
                  <w14:ligatures w14:val="standardContextual"/>
                </w:rPr>
              </w:pPr>
              <w:hyperlink w:history="1" w:anchor="_Toc234234549">
                <w:r w:rsidRPr="00520042">
                  <w:rPr>
                    <w:rStyle w:val="Hipervnculo"/>
                    <w:noProof/>
                  </w:rPr>
                  <w:t>12.4</w:t>
                </w:r>
                <w:r>
                  <w:rPr>
                    <w:rFonts w:eastAsiaTheme="minorEastAsia" w:cstheme="minorBidi"/>
                    <w:smallCaps w:val="0"/>
                    <w:noProof/>
                    <w:kern w:val="2"/>
                    <w:sz w:val="24"/>
                    <w:szCs w:val="24"/>
                    <w:lang w:eastAsia="es-ES_tradnl"/>
                    <w14:ligatures w14:val="standardContextual"/>
                  </w:rPr>
                  <w:tab/>
                </w:r>
                <w:r w:rsidRPr="00520042">
                  <w:rPr>
                    <w:rStyle w:val="Hipervnculo"/>
                    <w:noProof/>
                  </w:rPr>
                  <w:t>Publicación y Actualización</w:t>
                </w:r>
                <w:r>
                  <w:rPr>
                    <w:noProof/>
                    <w:webHidden/>
                  </w:rPr>
                  <w:tab/>
                </w:r>
                <w:r>
                  <w:rPr>
                    <w:noProof/>
                    <w:webHidden/>
                  </w:rPr>
                  <w:fldChar w:fldCharType="begin"/>
                </w:r>
                <w:r>
                  <w:rPr>
                    <w:noProof/>
                    <w:webHidden/>
                  </w:rPr>
                  <w:instrText xml:space="preserve"> PAGEREF _Toc234234549 \h </w:instrText>
                </w:r>
                <w:r>
                  <w:rPr>
                    <w:noProof/>
                    <w:webHidden/>
                  </w:rPr>
                </w:r>
                <w:r>
                  <w:rPr>
                    <w:noProof/>
                    <w:webHidden/>
                  </w:rPr>
                  <w:fldChar w:fldCharType="separate"/>
                </w:r>
                <w:r>
                  <w:rPr>
                    <w:noProof/>
                    <w:webHidden/>
                  </w:rPr>
                  <w:t>140</w:t>
                </w:r>
                <w:r>
                  <w:rPr>
                    <w:noProof/>
                    <w:webHidden/>
                  </w:rPr>
                  <w:fldChar w:fldCharType="end"/>
                </w:r>
              </w:hyperlink>
            </w:p>
            <w:p w:rsidR="00201AA8" w:rsidRDefault="00201AA8" w14:paraId="0B05D26C" w14:textId="625BDDCD">
              <w:pPr>
                <w:pStyle w:val="TDC1"/>
                <w:tabs>
                  <w:tab w:val="left" w:pos="66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50">
                <w:r w:rsidRPr="00520042">
                  <w:rPr>
                    <w:rStyle w:val="Hipervnculo"/>
                    <w:rFonts w:cs="Calibri"/>
                    <w:noProof/>
                    <w:lang w:val="es-ES"/>
                  </w:rPr>
                  <w:t>13</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GLOSARIO Y DEFINICIONES</w:t>
                </w:r>
                <w:r>
                  <w:rPr>
                    <w:noProof/>
                    <w:webHidden/>
                  </w:rPr>
                  <w:tab/>
                </w:r>
                <w:r>
                  <w:rPr>
                    <w:noProof/>
                    <w:webHidden/>
                  </w:rPr>
                  <w:fldChar w:fldCharType="begin"/>
                </w:r>
                <w:r>
                  <w:rPr>
                    <w:noProof/>
                    <w:webHidden/>
                  </w:rPr>
                  <w:instrText xml:space="preserve"> PAGEREF _Toc234234550 \h </w:instrText>
                </w:r>
                <w:r>
                  <w:rPr>
                    <w:noProof/>
                    <w:webHidden/>
                  </w:rPr>
                </w:r>
                <w:r>
                  <w:rPr>
                    <w:noProof/>
                    <w:webHidden/>
                  </w:rPr>
                  <w:fldChar w:fldCharType="separate"/>
                </w:r>
                <w:r>
                  <w:rPr>
                    <w:noProof/>
                    <w:webHidden/>
                  </w:rPr>
                  <w:t>140</w:t>
                </w:r>
                <w:r>
                  <w:rPr>
                    <w:noProof/>
                    <w:webHidden/>
                  </w:rPr>
                  <w:fldChar w:fldCharType="end"/>
                </w:r>
              </w:hyperlink>
            </w:p>
            <w:p w:rsidR="00201AA8" w:rsidRDefault="00201AA8" w14:paraId="79662032" w14:textId="6271EBC2">
              <w:pPr>
                <w:pStyle w:val="TDC1"/>
                <w:tabs>
                  <w:tab w:val="left" w:pos="660"/>
                  <w:tab w:val="right" w:leader="dot" w:pos="9514"/>
                </w:tabs>
                <w:rPr>
                  <w:rFonts w:eastAsiaTheme="minorEastAsia" w:cstheme="minorBidi"/>
                  <w:b w:val="0"/>
                  <w:bCs w:val="0"/>
                  <w:caps w:val="0"/>
                  <w:noProof/>
                  <w:kern w:val="2"/>
                  <w:sz w:val="24"/>
                  <w:szCs w:val="24"/>
                  <w:lang w:eastAsia="es-ES_tradnl"/>
                  <w14:ligatures w14:val="standardContextual"/>
                </w:rPr>
              </w:pPr>
              <w:hyperlink w:history="1" w:anchor="_Toc234234551">
                <w:r w:rsidRPr="00520042">
                  <w:rPr>
                    <w:rStyle w:val="Hipervnculo"/>
                    <w:noProof/>
                    <w:lang w:val="es-ES"/>
                  </w:rPr>
                  <w:t>14</w:t>
                </w:r>
                <w:r>
                  <w:rPr>
                    <w:rFonts w:eastAsiaTheme="minorEastAsia" w:cstheme="minorBidi"/>
                    <w:b w:val="0"/>
                    <w:bCs w:val="0"/>
                    <w:caps w:val="0"/>
                    <w:noProof/>
                    <w:kern w:val="2"/>
                    <w:sz w:val="24"/>
                    <w:szCs w:val="24"/>
                    <w:lang w:eastAsia="es-ES_tradnl"/>
                    <w14:ligatures w14:val="standardContextual"/>
                  </w:rPr>
                  <w:tab/>
                </w:r>
                <w:r w:rsidRPr="00520042">
                  <w:rPr>
                    <w:rStyle w:val="Hipervnculo"/>
                    <w:noProof/>
                    <w:lang w:val="es-ES"/>
                  </w:rPr>
                  <w:t>ANEXOS</w:t>
                </w:r>
                <w:r>
                  <w:rPr>
                    <w:noProof/>
                    <w:webHidden/>
                  </w:rPr>
                  <w:tab/>
                </w:r>
                <w:r>
                  <w:rPr>
                    <w:noProof/>
                    <w:webHidden/>
                  </w:rPr>
                  <w:fldChar w:fldCharType="begin"/>
                </w:r>
                <w:r>
                  <w:rPr>
                    <w:noProof/>
                    <w:webHidden/>
                  </w:rPr>
                  <w:instrText xml:space="preserve"> PAGEREF _Toc234234551 \h </w:instrText>
                </w:r>
                <w:r>
                  <w:rPr>
                    <w:noProof/>
                    <w:webHidden/>
                  </w:rPr>
                </w:r>
                <w:r>
                  <w:rPr>
                    <w:noProof/>
                    <w:webHidden/>
                  </w:rPr>
                  <w:fldChar w:fldCharType="separate"/>
                </w:r>
                <w:r>
                  <w:rPr>
                    <w:noProof/>
                    <w:webHidden/>
                  </w:rPr>
                  <w:t>140</w:t>
                </w:r>
                <w:r>
                  <w:rPr>
                    <w:noProof/>
                    <w:webHidden/>
                  </w:rPr>
                  <w:fldChar w:fldCharType="end"/>
                </w:r>
              </w:hyperlink>
            </w:p>
            <w:p w:rsidRPr="002A2732" w:rsidR="005E3BD6" w:rsidP="002A2732" w:rsidRDefault="005E3BD6" w14:paraId="66073AD4" w14:textId="5DEE0963">
              <w:pPr>
                <w:pStyle w:val="TDC1"/>
                <w:tabs>
                  <w:tab w:val="left" w:pos="390"/>
                  <w:tab w:val="right" w:leader="dot" w:pos="9360"/>
                </w:tabs>
                <w:rPr>
                  <w:rFonts w:ascii="Nunito Sans" w:hAnsi="Nunito Sans"/>
                  <w:color w:val="56C7AA" w:themeColor="hyperlink"/>
                  <w:sz w:val="22"/>
                  <w:szCs w:val="22"/>
                  <w:u w:val="single"/>
                </w:rPr>
              </w:pPr>
              <w:r w:rsidRPr="001D17D5">
                <w:rPr>
                  <w:rFonts w:ascii="Nunito Sans" w:hAnsi="Nunito Sans"/>
                </w:rPr>
                <w:fldChar w:fldCharType="end"/>
              </w:r>
            </w:p>
          </w:sdtContent>
        </w:sdt>
        <w:p w:rsidRPr="00DE22CA" w:rsidR="005E3BD6" w:rsidP="005E3BD6" w:rsidRDefault="00725337" w14:paraId="29756609" w14:textId="1B6FE22F">
          <w:pPr>
            <w:pStyle w:val="TtuloTDC"/>
            <w:jc w:val="both"/>
            <w:rPr>
              <w:rFonts w:cs="Calibri"/>
              <w:i/>
              <w:iCs w:val="0"/>
              <w:lang w:val="es-ES"/>
            </w:rPr>
          </w:pPr>
          <w:bookmarkStart w:name="_Toc234234432" w:id="4"/>
          <w:r w:rsidRPr="00DE22CA">
            <w:rPr>
              <w:rFonts w:cs="Calibri"/>
              <w:iCs w:val="0"/>
              <w:lang w:val="es-ES"/>
            </w:rPr>
            <w:t>ÍNDICE DE ILUSTRACIONES</w:t>
          </w:r>
          <w:bookmarkEnd w:id="4"/>
          <w:r w:rsidRPr="00DE22CA">
            <w:rPr>
              <w:rFonts w:cs="Calibri"/>
              <w:iCs w:val="0"/>
              <w:lang w:val="es-ES"/>
            </w:rPr>
            <w:t xml:space="preserve"> </w:t>
          </w:r>
        </w:p>
        <w:p w:rsidRPr="000F45C0" w:rsidR="000F45C0" w:rsidRDefault="00C04A2C" w14:paraId="7C8D50B1" w14:textId="49B89FFC">
          <w:pPr>
            <w:pStyle w:val="Tabladeilustraciones"/>
            <w:tabs>
              <w:tab w:val="right" w:leader="dot" w:pos="9514"/>
            </w:tabs>
            <w:rPr>
              <w:rStyle w:val="Hipervnculo"/>
              <w:rFonts w:ascii="Nunito Sans" w:hAnsi="Nunito Sans"/>
              <w:sz w:val="20"/>
              <w:szCs w:val="20"/>
              <w:shd w:val="clear" w:color="auto" w:fill="FFFFFF"/>
            </w:rPr>
          </w:pPr>
          <w:r w:rsidRPr="000F45C0">
            <w:rPr>
              <w:rStyle w:val="Hipervnculo"/>
              <w:noProof/>
              <w:shd w:val="clear" w:color="auto" w:fill="FFFFFF"/>
            </w:rPr>
            <w:fldChar w:fldCharType="begin"/>
          </w:r>
          <w:r w:rsidRPr="000F45C0">
            <w:rPr>
              <w:rStyle w:val="Hipervnculo"/>
              <w:noProof/>
              <w:shd w:val="clear" w:color="auto" w:fill="FFFFFF"/>
            </w:rPr>
            <w:instrText xml:space="preserve"> TOC \h \z \c "Ilustración" </w:instrText>
          </w:r>
          <w:r w:rsidRPr="000F45C0">
            <w:rPr>
              <w:rStyle w:val="Hipervnculo"/>
              <w:noProof/>
              <w:shd w:val="clear" w:color="auto" w:fill="FFFFFF"/>
            </w:rPr>
            <w:fldChar w:fldCharType="separate"/>
          </w:r>
          <w:hyperlink w:history="1" w:anchor="_Toc220664385">
            <w:r w:rsidRPr="000F45C0" w:rsidR="000F45C0">
              <w:rPr>
                <w:rStyle w:val="Hipervnculo"/>
                <w:rFonts w:ascii="Nunito Sans" w:hAnsi="Nunito Sans"/>
                <w:noProof/>
                <w:sz w:val="20"/>
                <w:szCs w:val="20"/>
                <w:shd w:val="clear" w:color="auto" w:fill="FFFFFF"/>
              </w:rPr>
              <w:t>Ilustración 1: Fases del PETI</w:t>
            </w:r>
            <w:r w:rsidRPr="000F45C0" w:rsidR="000F45C0">
              <w:rPr>
                <w:rStyle w:val="Hipervnculo"/>
                <w:rFonts w:ascii="Nunito Sans" w:hAnsi="Nunito Sans"/>
                <w:webHidden/>
                <w:sz w:val="20"/>
                <w:szCs w:val="20"/>
                <w:shd w:val="clear" w:color="auto" w:fill="FFFFFF"/>
              </w:rPr>
              <w:tab/>
            </w:r>
            <w:r w:rsidRPr="000F45C0" w:rsidR="000F45C0">
              <w:rPr>
                <w:rStyle w:val="Hipervnculo"/>
                <w:rFonts w:ascii="Nunito Sans" w:hAnsi="Nunito Sans"/>
                <w:webHidden/>
                <w:sz w:val="20"/>
                <w:szCs w:val="20"/>
                <w:shd w:val="clear" w:color="auto" w:fill="FFFFFF"/>
              </w:rPr>
              <w:fldChar w:fldCharType="begin"/>
            </w:r>
            <w:r w:rsidRPr="000F45C0" w:rsidR="000F45C0">
              <w:rPr>
                <w:rStyle w:val="Hipervnculo"/>
                <w:rFonts w:ascii="Nunito Sans" w:hAnsi="Nunito Sans"/>
                <w:webHidden/>
                <w:sz w:val="20"/>
                <w:szCs w:val="20"/>
                <w:shd w:val="clear" w:color="auto" w:fill="FFFFFF"/>
              </w:rPr>
              <w:instrText xml:space="preserve"> PAGEREF _Toc220664385 \h </w:instrText>
            </w:r>
            <w:r w:rsidRPr="000F45C0" w:rsidR="000F45C0">
              <w:rPr>
                <w:rStyle w:val="Hipervnculo"/>
                <w:rFonts w:ascii="Nunito Sans" w:hAnsi="Nunito Sans"/>
                <w:webHidden/>
                <w:sz w:val="20"/>
                <w:szCs w:val="20"/>
                <w:shd w:val="clear" w:color="auto" w:fill="FFFFFF"/>
              </w:rPr>
            </w:r>
            <w:r w:rsidRPr="000F45C0" w:rsid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9</w:t>
            </w:r>
            <w:r w:rsidRPr="000F45C0" w:rsidR="000F45C0">
              <w:rPr>
                <w:rStyle w:val="Hipervnculo"/>
                <w:rFonts w:ascii="Nunito Sans" w:hAnsi="Nunito Sans"/>
                <w:webHidden/>
                <w:sz w:val="20"/>
                <w:szCs w:val="20"/>
                <w:shd w:val="clear" w:color="auto" w:fill="FFFFFF"/>
              </w:rPr>
              <w:fldChar w:fldCharType="end"/>
            </w:r>
          </w:hyperlink>
        </w:p>
        <w:p w:rsidRPr="000F45C0" w:rsidR="000F45C0" w:rsidRDefault="000F45C0" w14:paraId="545D8F62" w14:textId="4E7B1AC7">
          <w:pPr>
            <w:pStyle w:val="Tabladeilustraciones"/>
            <w:tabs>
              <w:tab w:val="right" w:leader="dot" w:pos="9514"/>
            </w:tabs>
            <w:rPr>
              <w:rStyle w:val="Hipervnculo"/>
              <w:rFonts w:ascii="Nunito Sans" w:hAnsi="Nunito Sans"/>
              <w:sz w:val="20"/>
              <w:szCs w:val="20"/>
              <w:shd w:val="clear" w:color="auto" w:fill="FFFFFF"/>
            </w:rPr>
          </w:pPr>
          <w:hyperlink w:history="1" w:anchor="_Toc220664386">
            <w:r w:rsidRPr="000F45C0">
              <w:rPr>
                <w:rStyle w:val="Hipervnculo"/>
                <w:rFonts w:ascii="Nunito Sans" w:hAnsi="Nunito Sans"/>
                <w:noProof/>
                <w:sz w:val="20"/>
                <w:szCs w:val="20"/>
                <w:shd w:val="clear" w:color="auto" w:fill="FFFFFF"/>
              </w:rPr>
              <w:t>Ilustración 2: Cadena de Valor de Hidrocarburos</w:t>
            </w:r>
            <w:r w:rsidRPr="000F45C0">
              <w:rPr>
                <w:rStyle w:val="Hipervnculo"/>
                <w:rFonts w:ascii="Nunito Sans" w:hAnsi="Nunito Sans"/>
                <w:webHidden/>
                <w:sz w:val="20"/>
                <w:szCs w:val="20"/>
                <w:shd w:val="clear" w:color="auto" w:fill="FFFFFF"/>
              </w:rPr>
              <w:tab/>
            </w:r>
            <w:r w:rsidRPr="000F45C0">
              <w:rPr>
                <w:rStyle w:val="Hipervnculo"/>
                <w:rFonts w:ascii="Nunito Sans" w:hAnsi="Nunito Sans"/>
                <w:webHidden/>
                <w:sz w:val="20"/>
                <w:szCs w:val="20"/>
                <w:shd w:val="clear" w:color="auto" w:fill="FFFFFF"/>
              </w:rPr>
              <w:fldChar w:fldCharType="begin"/>
            </w:r>
            <w:r w:rsidRPr="000F45C0">
              <w:rPr>
                <w:rStyle w:val="Hipervnculo"/>
                <w:rFonts w:ascii="Nunito Sans" w:hAnsi="Nunito Sans"/>
                <w:webHidden/>
                <w:sz w:val="20"/>
                <w:szCs w:val="20"/>
                <w:shd w:val="clear" w:color="auto" w:fill="FFFFFF"/>
              </w:rPr>
              <w:instrText xml:space="preserve"> PAGEREF _Toc220664386 \h </w:instrText>
            </w:r>
            <w:r w:rsidRPr="000F45C0">
              <w:rPr>
                <w:rStyle w:val="Hipervnculo"/>
                <w:rFonts w:ascii="Nunito Sans" w:hAnsi="Nunito Sans"/>
                <w:webHidden/>
                <w:sz w:val="20"/>
                <w:szCs w:val="20"/>
                <w:shd w:val="clear" w:color="auto" w:fill="FFFFFF"/>
              </w:rPr>
            </w:r>
            <w:r w:rsidRP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22</w:t>
            </w:r>
            <w:r w:rsidRPr="000F45C0">
              <w:rPr>
                <w:rStyle w:val="Hipervnculo"/>
                <w:rFonts w:ascii="Nunito Sans" w:hAnsi="Nunito Sans"/>
                <w:webHidden/>
                <w:sz w:val="20"/>
                <w:szCs w:val="20"/>
                <w:shd w:val="clear" w:color="auto" w:fill="FFFFFF"/>
              </w:rPr>
              <w:fldChar w:fldCharType="end"/>
            </w:r>
          </w:hyperlink>
        </w:p>
        <w:p w:rsidRPr="000F45C0" w:rsidR="000F45C0" w:rsidRDefault="000F45C0" w14:paraId="245290D3" w14:textId="354D1786">
          <w:pPr>
            <w:pStyle w:val="Tabladeilustraciones"/>
            <w:tabs>
              <w:tab w:val="right" w:leader="dot" w:pos="9514"/>
            </w:tabs>
            <w:rPr>
              <w:rStyle w:val="Hipervnculo"/>
              <w:rFonts w:ascii="Nunito Sans" w:hAnsi="Nunito Sans"/>
              <w:sz w:val="20"/>
              <w:szCs w:val="20"/>
              <w:shd w:val="clear" w:color="auto" w:fill="FFFFFF"/>
            </w:rPr>
          </w:pPr>
          <w:hyperlink w:history="1" w:anchor="_Toc220664387">
            <w:r w:rsidRPr="000F45C0">
              <w:rPr>
                <w:rStyle w:val="Hipervnculo"/>
                <w:rFonts w:ascii="Nunito Sans" w:hAnsi="Nunito Sans"/>
                <w:noProof/>
                <w:sz w:val="20"/>
                <w:szCs w:val="20"/>
                <w:shd w:val="clear" w:color="auto" w:fill="FFFFFF"/>
              </w:rPr>
              <w:t>Ilustración 3: Cadena de Valor de Energía Eléctrica</w:t>
            </w:r>
            <w:r w:rsidRPr="000F45C0">
              <w:rPr>
                <w:rStyle w:val="Hipervnculo"/>
                <w:rFonts w:ascii="Nunito Sans" w:hAnsi="Nunito Sans"/>
                <w:webHidden/>
                <w:sz w:val="20"/>
                <w:szCs w:val="20"/>
                <w:shd w:val="clear" w:color="auto" w:fill="FFFFFF"/>
              </w:rPr>
              <w:tab/>
            </w:r>
            <w:r w:rsidRPr="000F45C0">
              <w:rPr>
                <w:rStyle w:val="Hipervnculo"/>
                <w:rFonts w:ascii="Nunito Sans" w:hAnsi="Nunito Sans"/>
                <w:webHidden/>
                <w:sz w:val="20"/>
                <w:szCs w:val="20"/>
                <w:shd w:val="clear" w:color="auto" w:fill="FFFFFF"/>
              </w:rPr>
              <w:fldChar w:fldCharType="begin"/>
            </w:r>
            <w:r w:rsidRPr="000F45C0">
              <w:rPr>
                <w:rStyle w:val="Hipervnculo"/>
                <w:rFonts w:ascii="Nunito Sans" w:hAnsi="Nunito Sans"/>
                <w:webHidden/>
                <w:sz w:val="20"/>
                <w:szCs w:val="20"/>
                <w:shd w:val="clear" w:color="auto" w:fill="FFFFFF"/>
              </w:rPr>
              <w:instrText xml:space="preserve"> PAGEREF _Toc220664387 \h </w:instrText>
            </w:r>
            <w:r w:rsidRPr="000F45C0">
              <w:rPr>
                <w:rStyle w:val="Hipervnculo"/>
                <w:rFonts w:ascii="Nunito Sans" w:hAnsi="Nunito Sans"/>
                <w:webHidden/>
                <w:sz w:val="20"/>
                <w:szCs w:val="20"/>
                <w:shd w:val="clear" w:color="auto" w:fill="FFFFFF"/>
              </w:rPr>
            </w:r>
            <w:r w:rsidRP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23</w:t>
            </w:r>
            <w:r w:rsidRPr="000F45C0">
              <w:rPr>
                <w:rStyle w:val="Hipervnculo"/>
                <w:rFonts w:ascii="Nunito Sans" w:hAnsi="Nunito Sans"/>
                <w:webHidden/>
                <w:sz w:val="20"/>
                <w:szCs w:val="20"/>
                <w:shd w:val="clear" w:color="auto" w:fill="FFFFFF"/>
              </w:rPr>
              <w:fldChar w:fldCharType="end"/>
            </w:r>
          </w:hyperlink>
        </w:p>
        <w:p w:rsidRPr="000F45C0" w:rsidR="000F45C0" w:rsidRDefault="000F45C0" w14:paraId="0E8AA98D" w14:textId="472F3681">
          <w:pPr>
            <w:pStyle w:val="Tabladeilustraciones"/>
            <w:tabs>
              <w:tab w:val="right" w:leader="dot" w:pos="9514"/>
            </w:tabs>
            <w:rPr>
              <w:rStyle w:val="Hipervnculo"/>
              <w:rFonts w:ascii="Nunito Sans" w:hAnsi="Nunito Sans"/>
              <w:sz w:val="20"/>
              <w:szCs w:val="20"/>
              <w:shd w:val="clear" w:color="auto" w:fill="FFFFFF"/>
            </w:rPr>
          </w:pPr>
          <w:hyperlink w:history="1" w:anchor="_Toc220664388">
            <w:r w:rsidRPr="000F45C0">
              <w:rPr>
                <w:rStyle w:val="Hipervnculo"/>
                <w:rFonts w:ascii="Nunito Sans" w:hAnsi="Nunito Sans"/>
                <w:noProof/>
                <w:sz w:val="20"/>
                <w:szCs w:val="20"/>
                <w:shd w:val="clear" w:color="auto" w:fill="FFFFFF"/>
              </w:rPr>
              <w:t>Ilustración 4: Cadena de Valor de Minería</w:t>
            </w:r>
            <w:r w:rsidRPr="000F45C0">
              <w:rPr>
                <w:rStyle w:val="Hipervnculo"/>
                <w:rFonts w:ascii="Nunito Sans" w:hAnsi="Nunito Sans"/>
                <w:webHidden/>
                <w:sz w:val="20"/>
                <w:szCs w:val="20"/>
                <w:shd w:val="clear" w:color="auto" w:fill="FFFFFF"/>
              </w:rPr>
              <w:tab/>
            </w:r>
            <w:r w:rsidRPr="000F45C0">
              <w:rPr>
                <w:rStyle w:val="Hipervnculo"/>
                <w:rFonts w:ascii="Nunito Sans" w:hAnsi="Nunito Sans"/>
                <w:webHidden/>
                <w:sz w:val="20"/>
                <w:szCs w:val="20"/>
                <w:shd w:val="clear" w:color="auto" w:fill="FFFFFF"/>
              </w:rPr>
              <w:fldChar w:fldCharType="begin"/>
            </w:r>
            <w:r w:rsidRPr="000F45C0">
              <w:rPr>
                <w:rStyle w:val="Hipervnculo"/>
                <w:rFonts w:ascii="Nunito Sans" w:hAnsi="Nunito Sans"/>
                <w:webHidden/>
                <w:sz w:val="20"/>
                <w:szCs w:val="20"/>
                <w:shd w:val="clear" w:color="auto" w:fill="FFFFFF"/>
              </w:rPr>
              <w:instrText xml:space="preserve"> PAGEREF _Toc220664388 \h </w:instrText>
            </w:r>
            <w:r w:rsidRPr="000F45C0">
              <w:rPr>
                <w:rStyle w:val="Hipervnculo"/>
                <w:rFonts w:ascii="Nunito Sans" w:hAnsi="Nunito Sans"/>
                <w:webHidden/>
                <w:sz w:val="20"/>
                <w:szCs w:val="20"/>
                <w:shd w:val="clear" w:color="auto" w:fill="FFFFFF"/>
              </w:rPr>
            </w:r>
            <w:r w:rsidRP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24</w:t>
            </w:r>
            <w:r w:rsidRPr="000F45C0">
              <w:rPr>
                <w:rStyle w:val="Hipervnculo"/>
                <w:rFonts w:ascii="Nunito Sans" w:hAnsi="Nunito Sans"/>
                <w:webHidden/>
                <w:sz w:val="20"/>
                <w:szCs w:val="20"/>
                <w:shd w:val="clear" w:color="auto" w:fill="FFFFFF"/>
              </w:rPr>
              <w:fldChar w:fldCharType="end"/>
            </w:r>
          </w:hyperlink>
        </w:p>
        <w:p w:rsidRPr="000F45C0" w:rsidR="000F45C0" w:rsidRDefault="000F45C0" w14:paraId="789730DB" w14:textId="455CA9E8">
          <w:pPr>
            <w:pStyle w:val="Tabladeilustraciones"/>
            <w:tabs>
              <w:tab w:val="right" w:leader="dot" w:pos="9514"/>
            </w:tabs>
            <w:rPr>
              <w:rStyle w:val="Hipervnculo"/>
              <w:rFonts w:ascii="Nunito Sans" w:hAnsi="Nunito Sans"/>
              <w:sz w:val="20"/>
              <w:szCs w:val="20"/>
              <w:shd w:val="clear" w:color="auto" w:fill="FFFFFF"/>
            </w:rPr>
          </w:pPr>
          <w:hyperlink w:history="1" w:anchor="_Toc220664389">
            <w:r w:rsidRPr="000F45C0">
              <w:rPr>
                <w:rStyle w:val="Hipervnculo"/>
                <w:rFonts w:ascii="Nunito Sans" w:hAnsi="Nunito Sans"/>
                <w:noProof/>
                <w:sz w:val="20"/>
                <w:szCs w:val="20"/>
                <w:shd w:val="clear" w:color="auto" w:fill="FFFFFF"/>
              </w:rPr>
              <w:t>Ilustración 5: Arquitectura de Referencia de Datos</w:t>
            </w:r>
            <w:r w:rsidRPr="000F45C0">
              <w:rPr>
                <w:rStyle w:val="Hipervnculo"/>
                <w:rFonts w:ascii="Nunito Sans" w:hAnsi="Nunito Sans"/>
                <w:webHidden/>
                <w:sz w:val="20"/>
                <w:szCs w:val="20"/>
                <w:shd w:val="clear" w:color="auto" w:fill="FFFFFF"/>
              </w:rPr>
              <w:tab/>
            </w:r>
            <w:r w:rsidRPr="000F45C0">
              <w:rPr>
                <w:rStyle w:val="Hipervnculo"/>
                <w:rFonts w:ascii="Nunito Sans" w:hAnsi="Nunito Sans"/>
                <w:webHidden/>
                <w:sz w:val="20"/>
                <w:szCs w:val="20"/>
                <w:shd w:val="clear" w:color="auto" w:fill="FFFFFF"/>
              </w:rPr>
              <w:fldChar w:fldCharType="begin"/>
            </w:r>
            <w:r w:rsidRPr="000F45C0">
              <w:rPr>
                <w:rStyle w:val="Hipervnculo"/>
                <w:rFonts w:ascii="Nunito Sans" w:hAnsi="Nunito Sans"/>
                <w:webHidden/>
                <w:sz w:val="20"/>
                <w:szCs w:val="20"/>
                <w:shd w:val="clear" w:color="auto" w:fill="FFFFFF"/>
              </w:rPr>
              <w:instrText xml:space="preserve"> PAGEREF _Toc220664389 \h </w:instrText>
            </w:r>
            <w:r w:rsidRPr="000F45C0">
              <w:rPr>
                <w:rStyle w:val="Hipervnculo"/>
                <w:rFonts w:ascii="Nunito Sans" w:hAnsi="Nunito Sans"/>
                <w:webHidden/>
                <w:sz w:val="20"/>
                <w:szCs w:val="20"/>
                <w:shd w:val="clear" w:color="auto" w:fill="FFFFFF"/>
              </w:rPr>
            </w:r>
            <w:r w:rsidRP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95</w:t>
            </w:r>
            <w:r w:rsidRPr="000F45C0">
              <w:rPr>
                <w:rStyle w:val="Hipervnculo"/>
                <w:rFonts w:ascii="Nunito Sans" w:hAnsi="Nunito Sans"/>
                <w:webHidden/>
                <w:sz w:val="20"/>
                <w:szCs w:val="20"/>
                <w:shd w:val="clear" w:color="auto" w:fill="FFFFFF"/>
              </w:rPr>
              <w:fldChar w:fldCharType="end"/>
            </w:r>
          </w:hyperlink>
        </w:p>
        <w:p w:rsidRPr="000F45C0" w:rsidR="000F45C0" w:rsidRDefault="000F45C0" w14:paraId="5B3A28F5" w14:textId="045CF6A9">
          <w:pPr>
            <w:pStyle w:val="Tabladeilustraciones"/>
            <w:tabs>
              <w:tab w:val="right" w:leader="dot" w:pos="9514"/>
            </w:tabs>
            <w:rPr>
              <w:rStyle w:val="Hipervnculo"/>
              <w:rFonts w:ascii="Nunito Sans" w:hAnsi="Nunito Sans"/>
              <w:sz w:val="20"/>
              <w:szCs w:val="20"/>
              <w:shd w:val="clear" w:color="auto" w:fill="FFFFFF"/>
            </w:rPr>
          </w:pPr>
          <w:hyperlink w:history="1" w:anchor="_Toc220664390">
            <w:r w:rsidRPr="000F45C0">
              <w:rPr>
                <w:rStyle w:val="Hipervnculo"/>
                <w:rFonts w:ascii="Nunito Sans" w:hAnsi="Nunito Sans"/>
                <w:noProof/>
                <w:sz w:val="20"/>
                <w:szCs w:val="20"/>
                <w:shd w:val="clear" w:color="auto" w:fill="FFFFFF"/>
              </w:rPr>
              <w:t>Ilustración 6: Plataforma Sectorial de Interoperabilidad</w:t>
            </w:r>
            <w:r w:rsidRPr="000F45C0">
              <w:rPr>
                <w:rStyle w:val="Hipervnculo"/>
                <w:rFonts w:ascii="Nunito Sans" w:hAnsi="Nunito Sans"/>
                <w:webHidden/>
                <w:sz w:val="20"/>
                <w:szCs w:val="20"/>
                <w:shd w:val="clear" w:color="auto" w:fill="FFFFFF"/>
              </w:rPr>
              <w:tab/>
            </w:r>
            <w:r w:rsidRPr="000F45C0">
              <w:rPr>
                <w:rStyle w:val="Hipervnculo"/>
                <w:rFonts w:ascii="Nunito Sans" w:hAnsi="Nunito Sans"/>
                <w:webHidden/>
                <w:sz w:val="20"/>
                <w:szCs w:val="20"/>
                <w:shd w:val="clear" w:color="auto" w:fill="FFFFFF"/>
              </w:rPr>
              <w:fldChar w:fldCharType="begin"/>
            </w:r>
            <w:r w:rsidRPr="000F45C0">
              <w:rPr>
                <w:rStyle w:val="Hipervnculo"/>
                <w:rFonts w:ascii="Nunito Sans" w:hAnsi="Nunito Sans"/>
                <w:webHidden/>
                <w:sz w:val="20"/>
                <w:szCs w:val="20"/>
                <w:shd w:val="clear" w:color="auto" w:fill="FFFFFF"/>
              </w:rPr>
              <w:instrText xml:space="preserve"> PAGEREF _Toc220664390 \h </w:instrText>
            </w:r>
            <w:r w:rsidRPr="000F45C0">
              <w:rPr>
                <w:rStyle w:val="Hipervnculo"/>
                <w:rFonts w:ascii="Nunito Sans" w:hAnsi="Nunito Sans"/>
                <w:webHidden/>
                <w:sz w:val="20"/>
                <w:szCs w:val="20"/>
                <w:shd w:val="clear" w:color="auto" w:fill="FFFFFF"/>
              </w:rPr>
            </w:r>
            <w:r w:rsidRP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103</w:t>
            </w:r>
            <w:r w:rsidRPr="000F45C0">
              <w:rPr>
                <w:rStyle w:val="Hipervnculo"/>
                <w:rFonts w:ascii="Nunito Sans" w:hAnsi="Nunito Sans"/>
                <w:webHidden/>
                <w:sz w:val="20"/>
                <w:szCs w:val="20"/>
                <w:shd w:val="clear" w:color="auto" w:fill="FFFFFF"/>
              </w:rPr>
              <w:fldChar w:fldCharType="end"/>
            </w:r>
          </w:hyperlink>
        </w:p>
        <w:p w:rsidRPr="000F45C0" w:rsidR="000F45C0" w:rsidRDefault="000F45C0" w14:paraId="61423251" w14:textId="337DE7B4">
          <w:pPr>
            <w:pStyle w:val="Tabladeilustraciones"/>
            <w:tabs>
              <w:tab w:val="right" w:leader="dot" w:pos="9514"/>
            </w:tabs>
            <w:rPr>
              <w:rStyle w:val="Hipervnculo"/>
              <w:rFonts w:ascii="Nunito Sans" w:hAnsi="Nunito Sans"/>
              <w:sz w:val="20"/>
              <w:szCs w:val="20"/>
              <w:shd w:val="clear" w:color="auto" w:fill="FFFFFF"/>
            </w:rPr>
          </w:pPr>
          <w:hyperlink w:history="1" w:anchor="_Toc220664391">
            <w:r w:rsidRPr="000F45C0">
              <w:rPr>
                <w:rStyle w:val="Hipervnculo"/>
                <w:rFonts w:ascii="Nunito Sans" w:hAnsi="Nunito Sans"/>
                <w:noProof/>
                <w:sz w:val="20"/>
                <w:szCs w:val="20"/>
                <w:shd w:val="clear" w:color="auto" w:fill="FFFFFF"/>
              </w:rPr>
              <w:t>Ilustración 7: Arquitectura de Referencia de Interoperabilidad Sectorial</w:t>
            </w:r>
            <w:r w:rsidRPr="000F45C0">
              <w:rPr>
                <w:rStyle w:val="Hipervnculo"/>
                <w:rFonts w:ascii="Nunito Sans" w:hAnsi="Nunito Sans"/>
                <w:webHidden/>
                <w:sz w:val="20"/>
                <w:szCs w:val="20"/>
                <w:shd w:val="clear" w:color="auto" w:fill="FFFFFF"/>
              </w:rPr>
              <w:tab/>
            </w:r>
            <w:r w:rsidRPr="000F45C0">
              <w:rPr>
                <w:rStyle w:val="Hipervnculo"/>
                <w:rFonts w:ascii="Nunito Sans" w:hAnsi="Nunito Sans"/>
                <w:webHidden/>
                <w:sz w:val="20"/>
                <w:szCs w:val="20"/>
                <w:shd w:val="clear" w:color="auto" w:fill="FFFFFF"/>
              </w:rPr>
              <w:fldChar w:fldCharType="begin"/>
            </w:r>
            <w:r w:rsidRPr="000F45C0">
              <w:rPr>
                <w:rStyle w:val="Hipervnculo"/>
                <w:rFonts w:ascii="Nunito Sans" w:hAnsi="Nunito Sans"/>
                <w:webHidden/>
                <w:sz w:val="20"/>
                <w:szCs w:val="20"/>
                <w:shd w:val="clear" w:color="auto" w:fill="FFFFFF"/>
              </w:rPr>
              <w:instrText xml:space="preserve"> PAGEREF _Toc220664391 \h </w:instrText>
            </w:r>
            <w:r w:rsidRPr="000F45C0">
              <w:rPr>
                <w:rStyle w:val="Hipervnculo"/>
                <w:rFonts w:ascii="Nunito Sans" w:hAnsi="Nunito Sans"/>
                <w:webHidden/>
                <w:sz w:val="20"/>
                <w:szCs w:val="20"/>
                <w:shd w:val="clear" w:color="auto" w:fill="FFFFFF"/>
              </w:rPr>
            </w:r>
            <w:r w:rsidRPr="000F45C0">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104</w:t>
            </w:r>
            <w:r w:rsidRPr="000F45C0">
              <w:rPr>
                <w:rStyle w:val="Hipervnculo"/>
                <w:rFonts w:ascii="Nunito Sans" w:hAnsi="Nunito Sans"/>
                <w:webHidden/>
                <w:sz w:val="20"/>
                <w:szCs w:val="20"/>
                <w:shd w:val="clear" w:color="auto" w:fill="FFFFFF"/>
              </w:rPr>
              <w:fldChar w:fldCharType="end"/>
            </w:r>
          </w:hyperlink>
        </w:p>
        <w:p w:rsidRPr="00C04A2C" w:rsidR="00C04A2C" w:rsidP="000F45C0" w:rsidRDefault="00C04A2C" w14:paraId="2AF448D7" w14:textId="43913C2B">
          <w:pPr>
            <w:pStyle w:val="Tabladeilustraciones"/>
            <w:tabs>
              <w:tab w:val="right" w:leader="dot" w:pos="9514"/>
            </w:tabs>
            <w:rPr>
              <w:rFonts w:ascii="Nunito Sans" w:hAnsi="Nunito Sans" w:cs="Calibri"/>
              <w:sz w:val="20"/>
              <w:szCs w:val="20"/>
            </w:rPr>
          </w:pPr>
          <w:r w:rsidRPr="000F45C0">
            <w:rPr>
              <w:rStyle w:val="Hipervnculo"/>
              <w:noProof/>
              <w:shd w:val="clear" w:color="auto" w:fill="FFFFFF"/>
            </w:rPr>
            <w:fldChar w:fldCharType="end"/>
          </w:r>
        </w:p>
        <w:p w:rsidRPr="00DE22CA" w:rsidR="005E3BD6" w:rsidP="005E3BD6" w:rsidRDefault="00725337" w14:paraId="1B2303C8" w14:textId="2A65DC11">
          <w:pPr>
            <w:pStyle w:val="TtuloTDC"/>
            <w:jc w:val="both"/>
            <w:rPr>
              <w:rFonts w:cs="Calibri"/>
              <w:i/>
              <w:iCs w:val="0"/>
              <w:lang w:val="es-ES"/>
            </w:rPr>
          </w:pPr>
          <w:bookmarkStart w:name="_Toc234234433" w:id="5"/>
          <w:r w:rsidRPr="00DE22CA">
            <w:rPr>
              <w:rFonts w:cs="Calibri"/>
              <w:iCs w:val="0"/>
              <w:lang w:val="es-ES"/>
            </w:rPr>
            <w:t>ÍNDICE DE TABLAS</w:t>
          </w:r>
          <w:bookmarkEnd w:id="5"/>
          <w:r w:rsidRPr="00DE22CA">
            <w:rPr>
              <w:rFonts w:cs="Calibri"/>
              <w:iCs w:val="0"/>
              <w:lang w:val="es-ES"/>
            </w:rPr>
            <w:t xml:space="preserve"> </w:t>
          </w:r>
        </w:p>
        <w:p w:rsidRPr="005D5A52" w:rsidR="005D5A52" w:rsidRDefault="00C04A2C" w14:paraId="570F5651" w14:textId="1CE5A7DE">
          <w:pPr>
            <w:pStyle w:val="Tabladeilustraciones"/>
            <w:tabs>
              <w:tab w:val="right" w:leader="dot" w:pos="9514"/>
            </w:tabs>
            <w:rPr>
              <w:rStyle w:val="Hipervnculo"/>
              <w:rFonts w:ascii="Nunito Sans" w:hAnsi="Nunito Sans"/>
              <w:sz w:val="20"/>
              <w:szCs w:val="20"/>
              <w:shd w:val="clear" w:color="auto" w:fill="FFFFFF"/>
            </w:rPr>
          </w:pPr>
          <w:r w:rsidRPr="00C017BD">
            <w:rPr>
              <w:rStyle w:val="Hipervnculo"/>
              <w:rFonts w:ascii="Nunito Sans" w:hAnsi="Nunito Sans"/>
              <w:noProof/>
              <w:sz w:val="20"/>
              <w:szCs w:val="20"/>
              <w:shd w:val="clear" w:color="auto" w:fill="FFFFFF"/>
            </w:rPr>
            <w:fldChar w:fldCharType="begin"/>
          </w:r>
          <w:r w:rsidRPr="00C017BD">
            <w:rPr>
              <w:rStyle w:val="Hipervnculo"/>
              <w:rFonts w:ascii="Nunito Sans" w:hAnsi="Nunito Sans"/>
              <w:noProof/>
              <w:sz w:val="20"/>
              <w:szCs w:val="20"/>
              <w:shd w:val="clear" w:color="auto" w:fill="FFFFFF"/>
            </w:rPr>
            <w:instrText xml:space="preserve"> TOC \h \z \c "Tabla" </w:instrText>
          </w:r>
          <w:r w:rsidRPr="00C017BD">
            <w:rPr>
              <w:rStyle w:val="Hipervnculo"/>
              <w:rFonts w:ascii="Nunito Sans" w:hAnsi="Nunito Sans"/>
              <w:noProof/>
              <w:sz w:val="20"/>
              <w:szCs w:val="20"/>
              <w:shd w:val="clear" w:color="auto" w:fill="FFFFFF"/>
            </w:rPr>
            <w:fldChar w:fldCharType="separate"/>
          </w:r>
          <w:hyperlink w:history="1" w:anchor="_Toc220664172">
            <w:r w:rsidRPr="005D5A52" w:rsidR="005D5A52">
              <w:rPr>
                <w:rStyle w:val="Hipervnculo"/>
                <w:rFonts w:ascii="Nunito Sans" w:hAnsi="Nunito Sans"/>
                <w:noProof/>
                <w:sz w:val="20"/>
                <w:szCs w:val="20"/>
                <w:shd w:val="clear" w:color="auto" w:fill="FFFFFF"/>
              </w:rPr>
              <w:t>Tabla 1: Contexto Estratégico</w:t>
            </w:r>
            <w:r w:rsidRPr="005D5A52" w:rsidR="005D5A52">
              <w:rPr>
                <w:rStyle w:val="Hipervnculo"/>
                <w:rFonts w:ascii="Nunito Sans" w:hAnsi="Nunito Sans"/>
                <w:webHidden/>
                <w:sz w:val="20"/>
                <w:szCs w:val="20"/>
                <w:shd w:val="clear" w:color="auto" w:fill="FFFFFF"/>
              </w:rPr>
              <w:tab/>
            </w:r>
            <w:r w:rsidRPr="005D5A52" w:rsidR="005D5A52">
              <w:rPr>
                <w:rStyle w:val="Hipervnculo"/>
                <w:rFonts w:ascii="Nunito Sans" w:hAnsi="Nunito Sans"/>
                <w:webHidden/>
                <w:sz w:val="20"/>
                <w:szCs w:val="20"/>
                <w:shd w:val="clear" w:color="auto" w:fill="FFFFFF"/>
              </w:rPr>
              <w:fldChar w:fldCharType="begin"/>
            </w:r>
            <w:r w:rsidRPr="005D5A52" w:rsidR="005D5A52">
              <w:rPr>
                <w:rStyle w:val="Hipervnculo"/>
                <w:rFonts w:ascii="Nunito Sans" w:hAnsi="Nunito Sans"/>
                <w:webHidden/>
                <w:sz w:val="20"/>
                <w:szCs w:val="20"/>
                <w:shd w:val="clear" w:color="auto" w:fill="FFFFFF"/>
              </w:rPr>
              <w:instrText xml:space="preserve"> PAGEREF _Toc220664172 \h </w:instrText>
            </w:r>
            <w:r w:rsidRPr="005D5A52" w:rsidR="005D5A52">
              <w:rPr>
                <w:rStyle w:val="Hipervnculo"/>
                <w:rFonts w:ascii="Nunito Sans" w:hAnsi="Nunito Sans"/>
                <w:webHidden/>
                <w:sz w:val="20"/>
                <w:szCs w:val="20"/>
                <w:shd w:val="clear" w:color="auto" w:fill="FFFFFF"/>
              </w:rPr>
            </w:r>
            <w:r w:rsidRPr="005D5A52" w:rsid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w:t>
            </w:r>
            <w:r w:rsidRPr="005D5A52" w:rsidR="005D5A52">
              <w:rPr>
                <w:rStyle w:val="Hipervnculo"/>
                <w:rFonts w:ascii="Nunito Sans" w:hAnsi="Nunito Sans"/>
                <w:webHidden/>
                <w:sz w:val="20"/>
                <w:szCs w:val="20"/>
                <w:shd w:val="clear" w:color="auto" w:fill="FFFFFF"/>
              </w:rPr>
              <w:fldChar w:fldCharType="end"/>
            </w:r>
          </w:hyperlink>
        </w:p>
        <w:p w:rsidRPr="005D5A52" w:rsidR="005D5A52" w:rsidRDefault="005D5A52" w14:paraId="026F375F" w14:textId="2307A47F">
          <w:pPr>
            <w:pStyle w:val="Tabladeilustraciones"/>
            <w:tabs>
              <w:tab w:val="right" w:leader="dot" w:pos="9514"/>
            </w:tabs>
            <w:rPr>
              <w:rStyle w:val="Hipervnculo"/>
              <w:rFonts w:ascii="Nunito Sans" w:hAnsi="Nunito Sans"/>
              <w:sz w:val="20"/>
              <w:szCs w:val="20"/>
              <w:shd w:val="clear" w:color="auto" w:fill="FFFFFF"/>
            </w:rPr>
          </w:pPr>
          <w:hyperlink w:history="1" w:anchor="_Toc220664173">
            <w:r w:rsidRPr="005D5A52">
              <w:rPr>
                <w:rStyle w:val="Hipervnculo"/>
                <w:rFonts w:ascii="Nunito Sans" w:hAnsi="Nunito Sans"/>
                <w:noProof/>
                <w:sz w:val="20"/>
                <w:szCs w:val="20"/>
                <w:shd w:val="clear" w:color="auto" w:fill="FFFFFF"/>
              </w:rPr>
              <w:t>Tabla 2: Instrumentos de Planeación del Gobierno Nacional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FABF819" w14:textId="2E9D7365">
          <w:pPr>
            <w:pStyle w:val="Tabladeilustraciones"/>
            <w:tabs>
              <w:tab w:val="right" w:leader="dot" w:pos="9514"/>
            </w:tabs>
            <w:rPr>
              <w:rStyle w:val="Hipervnculo"/>
              <w:rFonts w:ascii="Nunito Sans" w:hAnsi="Nunito Sans"/>
              <w:sz w:val="20"/>
              <w:szCs w:val="20"/>
              <w:shd w:val="clear" w:color="auto" w:fill="FFFFFF"/>
            </w:rPr>
          </w:pPr>
          <w:hyperlink w:history="1" w:anchor="_Toc220664174">
            <w:r w:rsidRPr="005D5A52">
              <w:rPr>
                <w:rStyle w:val="Hipervnculo"/>
                <w:rFonts w:ascii="Nunito Sans" w:hAnsi="Nunito Sans"/>
                <w:noProof/>
                <w:sz w:val="20"/>
                <w:szCs w:val="20"/>
                <w:shd w:val="clear" w:color="auto" w:fill="FFFFFF"/>
              </w:rPr>
              <w:t>Tabla 3: Instrumentos de Planeación del Ministerio de Minas y Energía</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359C6F5" w14:textId="3F0957C9">
          <w:pPr>
            <w:pStyle w:val="Tabladeilustraciones"/>
            <w:tabs>
              <w:tab w:val="right" w:leader="dot" w:pos="9514"/>
            </w:tabs>
            <w:rPr>
              <w:rStyle w:val="Hipervnculo"/>
              <w:rFonts w:ascii="Nunito Sans" w:hAnsi="Nunito Sans"/>
              <w:sz w:val="20"/>
              <w:szCs w:val="20"/>
              <w:shd w:val="clear" w:color="auto" w:fill="FFFFFF"/>
            </w:rPr>
          </w:pPr>
          <w:hyperlink w:history="1" w:anchor="_Toc220664175">
            <w:r w:rsidRPr="005D5A52">
              <w:rPr>
                <w:rStyle w:val="Hipervnculo"/>
                <w:rFonts w:ascii="Nunito Sans" w:hAnsi="Nunito Sans"/>
                <w:noProof/>
                <w:sz w:val="20"/>
                <w:szCs w:val="20"/>
                <w:shd w:val="clear" w:color="auto" w:fill="FFFFFF"/>
              </w:rPr>
              <w:t>Tabla 4: Instrumentos de Planeación de FENOGE</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6325064" w14:textId="295217C4">
          <w:pPr>
            <w:pStyle w:val="Tabladeilustraciones"/>
            <w:tabs>
              <w:tab w:val="right" w:leader="dot" w:pos="9514"/>
            </w:tabs>
            <w:rPr>
              <w:rStyle w:val="Hipervnculo"/>
              <w:rFonts w:ascii="Nunito Sans" w:hAnsi="Nunito Sans"/>
              <w:sz w:val="20"/>
              <w:szCs w:val="20"/>
              <w:shd w:val="clear" w:color="auto" w:fill="FFFFFF"/>
            </w:rPr>
          </w:pPr>
          <w:hyperlink w:history="1" w:anchor="_Toc220664176">
            <w:r w:rsidRPr="005D5A52">
              <w:rPr>
                <w:rStyle w:val="Hipervnculo"/>
                <w:rFonts w:ascii="Nunito Sans" w:hAnsi="Nunito Sans"/>
                <w:noProof/>
                <w:sz w:val="20"/>
                <w:szCs w:val="20"/>
                <w:shd w:val="clear" w:color="auto" w:fill="FFFFFF"/>
              </w:rPr>
              <w:t>Tabla 5: Instrumentos de Planeación de la ANH</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342C652" w14:textId="6FA125D3">
          <w:pPr>
            <w:pStyle w:val="Tabladeilustraciones"/>
            <w:tabs>
              <w:tab w:val="right" w:leader="dot" w:pos="9514"/>
            </w:tabs>
            <w:rPr>
              <w:rStyle w:val="Hipervnculo"/>
              <w:rFonts w:ascii="Nunito Sans" w:hAnsi="Nunito Sans"/>
              <w:sz w:val="20"/>
              <w:szCs w:val="20"/>
              <w:shd w:val="clear" w:color="auto" w:fill="FFFFFF"/>
            </w:rPr>
          </w:pPr>
          <w:hyperlink w:history="1" w:anchor="_Toc220664177">
            <w:r w:rsidRPr="005D5A52">
              <w:rPr>
                <w:rStyle w:val="Hipervnculo"/>
                <w:rFonts w:ascii="Nunito Sans" w:hAnsi="Nunito Sans"/>
                <w:noProof/>
                <w:sz w:val="20"/>
                <w:szCs w:val="20"/>
                <w:shd w:val="clear" w:color="auto" w:fill="FFFFFF"/>
              </w:rPr>
              <w:t>Tabla 6: Instrumentos de Planeación de la ANM</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3BF2841" w14:textId="52B995CA">
          <w:pPr>
            <w:pStyle w:val="Tabladeilustraciones"/>
            <w:tabs>
              <w:tab w:val="right" w:leader="dot" w:pos="9514"/>
            </w:tabs>
            <w:rPr>
              <w:rStyle w:val="Hipervnculo"/>
              <w:rFonts w:ascii="Nunito Sans" w:hAnsi="Nunito Sans"/>
              <w:sz w:val="20"/>
              <w:szCs w:val="20"/>
              <w:shd w:val="clear" w:color="auto" w:fill="FFFFFF"/>
            </w:rPr>
          </w:pPr>
          <w:hyperlink w:history="1" w:anchor="_Toc220664178">
            <w:r w:rsidRPr="005D5A52">
              <w:rPr>
                <w:rStyle w:val="Hipervnculo"/>
                <w:rFonts w:ascii="Nunito Sans" w:hAnsi="Nunito Sans"/>
                <w:noProof/>
                <w:sz w:val="20"/>
                <w:szCs w:val="20"/>
                <w:shd w:val="clear" w:color="auto" w:fill="FFFFFF"/>
              </w:rPr>
              <w:t>Tabla 7: Instrumentos de Planeación de la CREG</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778382E" w14:textId="00924D95">
          <w:pPr>
            <w:pStyle w:val="Tabladeilustraciones"/>
            <w:tabs>
              <w:tab w:val="right" w:leader="dot" w:pos="9514"/>
            </w:tabs>
            <w:rPr>
              <w:rStyle w:val="Hipervnculo"/>
              <w:rFonts w:ascii="Nunito Sans" w:hAnsi="Nunito Sans"/>
              <w:sz w:val="20"/>
              <w:szCs w:val="20"/>
              <w:shd w:val="clear" w:color="auto" w:fill="FFFFFF"/>
            </w:rPr>
          </w:pPr>
          <w:hyperlink w:history="1" w:anchor="_Toc220664179">
            <w:r w:rsidRPr="005D5A52">
              <w:rPr>
                <w:rStyle w:val="Hipervnculo"/>
                <w:rFonts w:ascii="Nunito Sans" w:hAnsi="Nunito Sans"/>
                <w:noProof/>
                <w:sz w:val="20"/>
                <w:szCs w:val="20"/>
                <w:shd w:val="clear" w:color="auto" w:fill="FFFFFF"/>
              </w:rPr>
              <w:t>Tabla 8: Instrumentos de Planeación del IPSE</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_Toc220664179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A100C23" w14:textId="143459C0">
          <w:pPr>
            <w:pStyle w:val="Tabladeilustraciones"/>
            <w:tabs>
              <w:tab w:val="right" w:leader="dot" w:pos="9514"/>
            </w:tabs>
            <w:rPr>
              <w:rStyle w:val="Hipervnculo"/>
              <w:rFonts w:ascii="Nunito Sans" w:hAnsi="Nunito Sans"/>
              <w:sz w:val="20"/>
              <w:szCs w:val="20"/>
              <w:shd w:val="clear" w:color="auto" w:fill="FFFFFF"/>
            </w:rPr>
          </w:pPr>
          <w:hyperlink w:history="1" w:anchor="_Toc220664180">
            <w:r w:rsidRPr="005D5A52">
              <w:rPr>
                <w:rStyle w:val="Hipervnculo"/>
                <w:rFonts w:ascii="Nunito Sans" w:hAnsi="Nunito Sans"/>
                <w:noProof/>
                <w:sz w:val="20"/>
                <w:szCs w:val="20"/>
                <w:shd w:val="clear" w:color="auto" w:fill="FFFFFF"/>
              </w:rPr>
              <w:t>Tabla 9: Instrumentos de Planeación del SGC</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4AE62DE" w14:textId="0BBBBF5F">
          <w:pPr>
            <w:pStyle w:val="Tabladeilustraciones"/>
            <w:tabs>
              <w:tab w:val="right" w:leader="dot" w:pos="9514"/>
            </w:tabs>
            <w:rPr>
              <w:rStyle w:val="Hipervnculo"/>
              <w:rFonts w:ascii="Nunito Sans" w:hAnsi="Nunito Sans"/>
              <w:sz w:val="20"/>
              <w:szCs w:val="20"/>
              <w:shd w:val="clear" w:color="auto" w:fill="FFFFFF"/>
            </w:rPr>
          </w:pPr>
          <w:hyperlink w:history="1" w:anchor="_Toc220664181">
            <w:r w:rsidRPr="005D5A52">
              <w:rPr>
                <w:rStyle w:val="Hipervnculo"/>
                <w:rFonts w:ascii="Nunito Sans" w:hAnsi="Nunito Sans"/>
                <w:noProof/>
                <w:sz w:val="20"/>
                <w:szCs w:val="20"/>
                <w:shd w:val="clear" w:color="auto" w:fill="FFFFFF"/>
              </w:rPr>
              <w:t>Tabla 10: Instrumentos de Planeación de la UPME</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113DBC7" w14:textId="4529B95E">
          <w:pPr>
            <w:pStyle w:val="Tabladeilustraciones"/>
            <w:tabs>
              <w:tab w:val="right" w:leader="dot" w:pos="9514"/>
            </w:tabs>
            <w:rPr>
              <w:rStyle w:val="Hipervnculo"/>
              <w:rFonts w:ascii="Nunito Sans" w:hAnsi="Nunito Sans"/>
              <w:sz w:val="20"/>
              <w:szCs w:val="20"/>
              <w:shd w:val="clear" w:color="auto" w:fill="FFFFFF"/>
            </w:rPr>
          </w:pPr>
          <w:hyperlink w:history="1" w:anchor="_Toc220664182">
            <w:r w:rsidRPr="005D5A52">
              <w:rPr>
                <w:rStyle w:val="Hipervnculo"/>
                <w:rFonts w:ascii="Nunito Sans" w:hAnsi="Nunito Sans"/>
                <w:noProof/>
                <w:sz w:val="20"/>
                <w:szCs w:val="20"/>
                <w:shd w:val="clear" w:color="auto" w:fill="FFFFFF"/>
              </w:rPr>
              <w:t>Tabla 11: Tramites y Servicios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24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1E3482B" w14:textId="183C9385">
          <w:pPr>
            <w:pStyle w:val="Tabladeilustraciones"/>
            <w:tabs>
              <w:tab w:val="right" w:leader="dot" w:pos="9514"/>
            </w:tabs>
            <w:rPr>
              <w:rStyle w:val="Hipervnculo"/>
              <w:rFonts w:ascii="Nunito Sans" w:hAnsi="Nunito Sans"/>
              <w:sz w:val="20"/>
              <w:szCs w:val="20"/>
              <w:shd w:val="clear" w:color="auto" w:fill="FFFFFF"/>
            </w:rPr>
          </w:pPr>
          <w:hyperlink w:history="1" w:anchor="_Toc220664183">
            <w:r w:rsidRPr="005D5A52">
              <w:rPr>
                <w:rStyle w:val="Hipervnculo"/>
                <w:rFonts w:ascii="Nunito Sans" w:hAnsi="Nunito Sans"/>
                <w:noProof/>
                <w:sz w:val="20"/>
                <w:szCs w:val="20"/>
                <w:shd w:val="clear" w:color="auto" w:fill="FFFFFF"/>
              </w:rPr>
              <w:t>Tabla 12: Paradigmas de Arquitectura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29</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7548286" w14:textId="3EEA786A">
          <w:pPr>
            <w:pStyle w:val="Tabladeilustraciones"/>
            <w:tabs>
              <w:tab w:val="right" w:leader="dot" w:pos="9514"/>
            </w:tabs>
            <w:rPr>
              <w:rStyle w:val="Hipervnculo"/>
              <w:rFonts w:ascii="Nunito Sans" w:hAnsi="Nunito Sans"/>
              <w:sz w:val="20"/>
              <w:szCs w:val="20"/>
              <w:shd w:val="clear" w:color="auto" w:fill="FFFFFF"/>
            </w:rPr>
          </w:pPr>
          <w:hyperlink w:history="1" w:anchor="_Toc220664184">
            <w:r w:rsidRPr="005D5A52">
              <w:rPr>
                <w:rStyle w:val="Hipervnculo"/>
                <w:rFonts w:ascii="Nunito Sans" w:hAnsi="Nunito Sans"/>
                <w:noProof/>
                <w:sz w:val="20"/>
                <w:szCs w:val="20"/>
                <w:shd w:val="clear" w:color="auto" w:fill="FFFFFF"/>
              </w:rPr>
              <w:t>Tabla 13: Componentes de Información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31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0200D8C" w14:textId="3EDE0621">
          <w:pPr>
            <w:pStyle w:val="Tabladeilustraciones"/>
            <w:tabs>
              <w:tab w:val="right" w:leader="dot" w:pos="9514"/>
            </w:tabs>
            <w:rPr>
              <w:rStyle w:val="Hipervnculo"/>
              <w:rFonts w:ascii="Nunito Sans" w:hAnsi="Nunito Sans"/>
              <w:sz w:val="20"/>
              <w:szCs w:val="20"/>
              <w:shd w:val="clear" w:color="auto" w:fill="FFFFFF"/>
            </w:rPr>
          </w:pPr>
          <w:hyperlink w:history="1" w:anchor="_Toc220664185">
            <w:r w:rsidRPr="005D5A52">
              <w:rPr>
                <w:rStyle w:val="Hipervnculo"/>
                <w:rFonts w:ascii="Nunito Sans" w:hAnsi="Nunito Sans"/>
                <w:noProof/>
                <w:sz w:val="20"/>
                <w:szCs w:val="20"/>
                <w:shd w:val="clear" w:color="auto" w:fill="FFFFFF"/>
              </w:rPr>
              <w:t>Tabla 14: Datos Estadísticos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32</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8B4768D" w14:textId="53BA2061">
          <w:pPr>
            <w:pStyle w:val="Tabladeilustraciones"/>
            <w:tabs>
              <w:tab w:val="right" w:leader="dot" w:pos="9514"/>
            </w:tabs>
            <w:rPr>
              <w:rStyle w:val="Hipervnculo"/>
              <w:rFonts w:ascii="Nunito Sans" w:hAnsi="Nunito Sans"/>
              <w:sz w:val="20"/>
              <w:szCs w:val="20"/>
              <w:shd w:val="clear" w:color="auto" w:fill="FFFFFF"/>
            </w:rPr>
          </w:pPr>
          <w:hyperlink w:history="1" w:anchor="_Toc220664186">
            <w:r w:rsidRPr="005D5A52">
              <w:rPr>
                <w:rStyle w:val="Hipervnculo"/>
                <w:rFonts w:ascii="Nunito Sans" w:hAnsi="Nunito Sans"/>
                <w:noProof/>
                <w:sz w:val="20"/>
                <w:szCs w:val="20"/>
                <w:shd w:val="clear" w:color="auto" w:fill="FFFFFF"/>
              </w:rPr>
              <w:t>Tabla 15: Datos Geoespaciales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34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E34A5AA" w14:textId="0C7A9C4D">
          <w:pPr>
            <w:pStyle w:val="Tabladeilustraciones"/>
            <w:tabs>
              <w:tab w:val="right" w:leader="dot" w:pos="9514"/>
            </w:tabs>
            <w:rPr>
              <w:rStyle w:val="Hipervnculo"/>
              <w:rFonts w:ascii="Nunito Sans" w:hAnsi="Nunito Sans"/>
              <w:sz w:val="20"/>
              <w:szCs w:val="20"/>
              <w:shd w:val="clear" w:color="auto" w:fill="FFFFFF"/>
            </w:rPr>
          </w:pPr>
          <w:hyperlink w:history="1" w:anchor="_Toc220664187">
            <w:r w:rsidRPr="005D5A52">
              <w:rPr>
                <w:rStyle w:val="Hipervnculo"/>
                <w:rFonts w:ascii="Nunito Sans" w:hAnsi="Nunito Sans"/>
                <w:noProof/>
                <w:sz w:val="20"/>
                <w:szCs w:val="20"/>
                <w:shd w:val="clear" w:color="auto" w:fill="FFFFFF"/>
              </w:rPr>
              <w:t>Tabla 16: Paradigmas de Datos e Información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36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4C42534" w14:textId="43421D3D">
          <w:pPr>
            <w:pStyle w:val="Tabladeilustraciones"/>
            <w:tabs>
              <w:tab w:val="right" w:leader="dot" w:pos="9514"/>
            </w:tabs>
            <w:rPr>
              <w:rStyle w:val="Hipervnculo"/>
              <w:rFonts w:ascii="Nunito Sans" w:hAnsi="Nunito Sans"/>
              <w:sz w:val="20"/>
              <w:szCs w:val="20"/>
              <w:shd w:val="clear" w:color="auto" w:fill="FFFFFF"/>
            </w:rPr>
          </w:pPr>
          <w:hyperlink w:history="1" w:anchor="_Toc220664188">
            <w:r w:rsidRPr="005D5A52">
              <w:rPr>
                <w:rStyle w:val="Hipervnculo"/>
                <w:rFonts w:ascii="Nunito Sans" w:hAnsi="Nunito Sans"/>
                <w:noProof/>
                <w:sz w:val="20"/>
                <w:szCs w:val="20"/>
                <w:shd w:val="clear" w:color="auto" w:fill="FFFFFF"/>
              </w:rPr>
              <w:t>Tabla 17: Flujos de Datos de Información entre Sistemas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40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3D40971" w14:textId="79320419">
          <w:pPr>
            <w:pStyle w:val="Tabladeilustraciones"/>
            <w:tabs>
              <w:tab w:val="right" w:leader="dot" w:pos="9514"/>
            </w:tabs>
            <w:rPr>
              <w:rStyle w:val="Hipervnculo"/>
              <w:rFonts w:ascii="Nunito Sans" w:hAnsi="Nunito Sans"/>
              <w:sz w:val="20"/>
              <w:szCs w:val="20"/>
              <w:shd w:val="clear" w:color="auto" w:fill="FFFFFF"/>
            </w:rPr>
          </w:pPr>
          <w:hyperlink w:history="1" w:anchor="_Toc220664189">
            <w:r w:rsidRPr="005D5A52">
              <w:rPr>
                <w:rStyle w:val="Hipervnculo"/>
                <w:rFonts w:ascii="Nunito Sans" w:hAnsi="Nunito Sans"/>
                <w:noProof/>
                <w:sz w:val="20"/>
                <w:szCs w:val="20"/>
                <w:shd w:val="clear" w:color="auto" w:fill="FFFFFF"/>
              </w:rPr>
              <w:t>Tabla 18: Paradigma de Interoperabilidad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_Toc220664189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41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87B0DD1" w14:textId="7B536533">
          <w:pPr>
            <w:pStyle w:val="Tabladeilustraciones"/>
            <w:tabs>
              <w:tab w:val="right" w:leader="dot" w:pos="9514"/>
            </w:tabs>
            <w:rPr>
              <w:rStyle w:val="Hipervnculo"/>
              <w:rFonts w:ascii="Nunito Sans" w:hAnsi="Nunito Sans"/>
              <w:sz w:val="20"/>
              <w:szCs w:val="20"/>
              <w:shd w:val="clear" w:color="auto" w:fill="FFFFFF"/>
            </w:rPr>
          </w:pPr>
          <w:hyperlink w:history="1" w:anchor="_Toc220664190">
            <w:r w:rsidRPr="005D5A52">
              <w:rPr>
                <w:rStyle w:val="Hipervnculo"/>
                <w:rFonts w:ascii="Nunito Sans" w:hAnsi="Nunito Sans"/>
                <w:noProof/>
                <w:sz w:val="20"/>
                <w:szCs w:val="20"/>
                <w:shd w:val="clear" w:color="auto" w:fill="FFFFFF"/>
              </w:rPr>
              <w:t>Tabla 19: Sistemas de Información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42</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3CDD5A1" w14:textId="3F71021F">
          <w:pPr>
            <w:pStyle w:val="Tabladeilustraciones"/>
            <w:tabs>
              <w:tab w:val="right" w:leader="dot" w:pos="9514"/>
            </w:tabs>
            <w:rPr>
              <w:rStyle w:val="Hipervnculo"/>
              <w:rFonts w:ascii="Nunito Sans" w:hAnsi="Nunito Sans"/>
              <w:sz w:val="20"/>
              <w:szCs w:val="20"/>
              <w:shd w:val="clear" w:color="auto" w:fill="FFFFFF"/>
            </w:rPr>
          </w:pPr>
          <w:hyperlink w:history="1" w:anchor="_Toc220664191">
            <w:r w:rsidRPr="005D5A52">
              <w:rPr>
                <w:rStyle w:val="Hipervnculo"/>
                <w:rFonts w:ascii="Nunito Sans" w:hAnsi="Nunito Sans"/>
                <w:noProof/>
                <w:sz w:val="20"/>
                <w:szCs w:val="20"/>
                <w:shd w:val="clear" w:color="auto" w:fill="FFFFFF"/>
              </w:rPr>
              <w:t>Tabla 20: Paradigma de Sistemas de Información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48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A895EFF" w14:textId="426F6F2A">
          <w:pPr>
            <w:pStyle w:val="Tabladeilustraciones"/>
            <w:tabs>
              <w:tab w:val="right" w:leader="dot" w:pos="9514"/>
            </w:tabs>
            <w:rPr>
              <w:rStyle w:val="Hipervnculo"/>
              <w:rFonts w:ascii="Nunito Sans" w:hAnsi="Nunito Sans"/>
              <w:sz w:val="20"/>
              <w:szCs w:val="20"/>
              <w:shd w:val="clear" w:color="auto" w:fill="FFFFFF"/>
            </w:rPr>
          </w:pPr>
          <w:hyperlink w:history="1" w:anchor="_Toc220664192">
            <w:r w:rsidRPr="005D5A52">
              <w:rPr>
                <w:rStyle w:val="Hipervnculo"/>
                <w:rFonts w:ascii="Nunito Sans" w:hAnsi="Nunito Sans"/>
                <w:noProof/>
                <w:sz w:val="20"/>
                <w:szCs w:val="20"/>
                <w:shd w:val="clear" w:color="auto" w:fill="FFFFFF"/>
              </w:rPr>
              <w:t>Tabla 21: Infraestructura y Servicios TI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51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30E50DA" w14:textId="0889A208">
          <w:pPr>
            <w:pStyle w:val="Tabladeilustraciones"/>
            <w:tabs>
              <w:tab w:val="right" w:leader="dot" w:pos="9514"/>
            </w:tabs>
            <w:rPr>
              <w:rStyle w:val="Hipervnculo"/>
              <w:rFonts w:ascii="Nunito Sans" w:hAnsi="Nunito Sans"/>
              <w:sz w:val="20"/>
              <w:szCs w:val="20"/>
              <w:shd w:val="clear" w:color="auto" w:fill="FFFFFF"/>
            </w:rPr>
          </w:pPr>
          <w:hyperlink w:history="1" w:anchor="_Toc220664193">
            <w:r w:rsidRPr="005D5A52">
              <w:rPr>
                <w:rStyle w:val="Hipervnculo"/>
                <w:rFonts w:ascii="Nunito Sans" w:hAnsi="Nunito Sans"/>
                <w:noProof/>
                <w:sz w:val="20"/>
                <w:szCs w:val="20"/>
                <w:shd w:val="clear" w:color="auto" w:fill="FFFFFF"/>
              </w:rPr>
              <w:t>Tabla 22: Paradigmas de Infraestructura y Servicios TI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55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7408A78" w14:textId="304666A2">
          <w:pPr>
            <w:pStyle w:val="Tabladeilustraciones"/>
            <w:tabs>
              <w:tab w:val="right" w:leader="dot" w:pos="9514"/>
            </w:tabs>
            <w:rPr>
              <w:rStyle w:val="Hipervnculo"/>
              <w:rFonts w:ascii="Nunito Sans" w:hAnsi="Nunito Sans"/>
              <w:sz w:val="20"/>
              <w:szCs w:val="20"/>
              <w:shd w:val="clear" w:color="auto" w:fill="FFFFFF"/>
            </w:rPr>
          </w:pPr>
          <w:hyperlink w:history="1" w:anchor="_Toc220664194">
            <w:r w:rsidRPr="005D5A52">
              <w:rPr>
                <w:rStyle w:val="Hipervnculo"/>
                <w:rFonts w:ascii="Nunito Sans" w:hAnsi="Nunito Sans"/>
                <w:noProof/>
                <w:sz w:val="20"/>
                <w:szCs w:val="20"/>
                <w:shd w:val="clear" w:color="auto" w:fill="FFFFFF"/>
              </w:rPr>
              <w:t>Tabla 23: Inventario de Activos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57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20CFE2E" w14:textId="74291748">
          <w:pPr>
            <w:pStyle w:val="Tabladeilustraciones"/>
            <w:tabs>
              <w:tab w:val="right" w:leader="dot" w:pos="9514"/>
            </w:tabs>
            <w:rPr>
              <w:rStyle w:val="Hipervnculo"/>
              <w:rFonts w:ascii="Nunito Sans" w:hAnsi="Nunito Sans"/>
              <w:sz w:val="20"/>
              <w:szCs w:val="20"/>
              <w:shd w:val="clear" w:color="auto" w:fill="FFFFFF"/>
            </w:rPr>
          </w:pPr>
          <w:hyperlink w:history="1" w:anchor="_Toc220664195">
            <w:r w:rsidRPr="005D5A52">
              <w:rPr>
                <w:rStyle w:val="Hipervnculo"/>
                <w:rFonts w:ascii="Nunito Sans" w:hAnsi="Nunito Sans"/>
                <w:noProof/>
                <w:sz w:val="20"/>
                <w:szCs w:val="20"/>
                <w:shd w:val="clear" w:color="auto" w:fill="FFFFFF"/>
              </w:rPr>
              <w:t>Tabla 24: Capacidades de Monitoreo y Seguridad TI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57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77FE35C" w14:textId="2C60DE89">
          <w:pPr>
            <w:pStyle w:val="Tabladeilustraciones"/>
            <w:tabs>
              <w:tab w:val="right" w:leader="dot" w:pos="9514"/>
            </w:tabs>
            <w:rPr>
              <w:rStyle w:val="Hipervnculo"/>
              <w:rFonts w:ascii="Nunito Sans" w:hAnsi="Nunito Sans"/>
              <w:sz w:val="20"/>
              <w:szCs w:val="20"/>
              <w:shd w:val="clear" w:color="auto" w:fill="FFFFFF"/>
            </w:rPr>
          </w:pPr>
          <w:hyperlink w:history="1" w:anchor="_Toc220664196">
            <w:r w:rsidRPr="005D5A52">
              <w:rPr>
                <w:rStyle w:val="Hipervnculo"/>
                <w:rFonts w:ascii="Nunito Sans" w:hAnsi="Nunito Sans"/>
                <w:noProof/>
                <w:sz w:val="20"/>
                <w:szCs w:val="20"/>
                <w:shd w:val="clear" w:color="auto" w:fill="FFFFFF"/>
              </w:rPr>
              <w:t>Tabla 25: Estado Sectorial de Capacidades de Seguridad de la Información</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58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0420030" w14:textId="654EC37E">
          <w:pPr>
            <w:pStyle w:val="Tabladeilustraciones"/>
            <w:tabs>
              <w:tab w:val="right" w:leader="dot" w:pos="9514"/>
            </w:tabs>
            <w:rPr>
              <w:rStyle w:val="Hipervnculo"/>
              <w:rFonts w:ascii="Nunito Sans" w:hAnsi="Nunito Sans"/>
              <w:sz w:val="20"/>
              <w:szCs w:val="20"/>
              <w:shd w:val="clear" w:color="auto" w:fill="FFFFFF"/>
            </w:rPr>
          </w:pPr>
          <w:hyperlink w:history="1" w:anchor="_Toc220664197">
            <w:r w:rsidRPr="005D5A52">
              <w:rPr>
                <w:rStyle w:val="Hipervnculo"/>
                <w:rFonts w:ascii="Nunito Sans" w:hAnsi="Nunito Sans"/>
                <w:noProof/>
                <w:sz w:val="20"/>
                <w:szCs w:val="20"/>
                <w:shd w:val="clear" w:color="auto" w:fill="FFFFFF"/>
              </w:rPr>
              <w:t>Tabla 26: Madurez Sectorial por Dominios del MSPI</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58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F0DFB05" w14:textId="5D20D5D4">
          <w:pPr>
            <w:pStyle w:val="Tabladeilustraciones"/>
            <w:tabs>
              <w:tab w:val="right" w:leader="dot" w:pos="9514"/>
            </w:tabs>
            <w:rPr>
              <w:rStyle w:val="Hipervnculo"/>
              <w:rFonts w:ascii="Nunito Sans" w:hAnsi="Nunito Sans"/>
              <w:sz w:val="20"/>
              <w:szCs w:val="20"/>
              <w:shd w:val="clear" w:color="auto" w:fill="FFFFFF"/>
            </w:rPr>
          </w:pPr>
          <w:hyperlink w:history="1" w:anchor="_Toc220664198">
            <w:r w:rsidRPr="005D5A52">
              <w:rPr>
                <w:rStyle w:val="Hipervnculo"/>
                <w:rFonts w:ascii="Nunito Sans" w:hAnsi="Nunito Sans"/>
                <w:noProof/>
                <w:sz w:val="20"/>
                <w:szCs w:val="20"/>
                <w:shd w:val="clear" w:color="auto" w:fill="FFFFFF"/>
              </w:rPr>
              <w:t>Tabla 27: Estado Sectorial de Protección de Datos Personales</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60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663B087" w14:textId="64F87706">
          <w:pPr>
            <w:pStyle w:val="Tabladeilustraciones"/>
            <w:tabs>
              <w:tab w:val="right" w:leader="dot" w:pos="9514"/>
            </w:tabs>
            <w:rPr>
              <w:rStyle w:val="Hipervnculo"/>
              <w:rFonts w:ascii="Nunito Sans" w:hAnsi="Nunito Sans"/>
              <w:sz w:val="20"/>
              <w:szCs w:val="20"/>
              <w:shd w:val="clear" w:color="auto" w:fill="FFFFFF"/>
            </w:rPr>
          </w:pPr>
          <w:hyperlink w:history="1" w:anchor="_Toc220664199">
            <w:r w:rsidRPr="005D5A52">
              <w:rPr>
                <w:rStyle w:val="Hipervnculo"/>
                <w:rFonts w:ascii="Nunito Sans" w:hAnsi="Nunito Sans"/>
                <w:noProof/>
                <w:sz w:val="20"/>
                <w:szCs w:val="20"/>
                <w:shd w:val="clear" w:color="auto" w:fill="FFFFFF"/>
              </w:rPr>
              <w:t>Tabla 28: Paradigmas de Seguridad y Privacidad de la Información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_Toc220664199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61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9781058" w14:textId="7DF7ACE2">
          <w:pPr>
            <w:pStyle w:val="Tabladeilustraciones"/>
            <w:tabs>
              <w:tab w:val="right" w:leader="dot" w:pos="9514"/>
            </w:tabs>
            <w:rPr>
              <w:rStyle w:val="Hipervnculo"/>
              <w:rFonts w:ascii="Nunito Sans" w:hAnsi="Nunito Sans"/>
              <w:sz w:val="20"/>
              <w:szCs w:val="20"/>
              <w:shd w:val="clear" w:color="auto" w:fill="FFFFFF"/>
            </w:rPr>
          </w:pPr>
          <w:hyperlink w:history="1" w:anchor="_Toc220664200">
            <w:r w:rsidRPr="005D5A52">
              <w:rPr>
                <w:rStyle w:val="Hipervnculo"/>
                <w:rFonts w:ascii="Nunito Sans" w:hAnsi="Nunito Sans"/>
                <w:noProof/>
                <w:sz w:val="20"/>
                <w:szCs w:val="20"/>
                <w:shd w:val="clear" w:color="auto" w:fill="FFFFFF"/>
              </w:rPr>
              <w:t>Tabla 29: Paradigmas de Transformación Digital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63</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E17EFFD" w14:textId="06400B9B">
          <w:pPr>
            <w:pStyle w:val="Tabladeilustraciones"/>
            <w:tabs>
              <w:tab w:val="right" w:leader="dot" w:pos="9514"/>
            </w:tabs>
            <w:rPr>
              <w:rStyle w:val="Hipervnculo"/>
              <w:rFonts w:ascii="Nunito Sans" w:hAnsi="Nunito Sans"/>
              <w:sz w:val="20"/>
              <w:szCs w:val="20"/>
              <w:shd w:val="clear" w:color="auto" w:fill="FFFFFF"/>
            </w:rPr>
          </w:pPr>
          <w:hyperlink w:history="1" w:anchor="_Toc220664201">
            <w:r w:rsidRPr="005D5A52">
              <w:rPr>
                <w:rStyle w:val="Hipervnculo"/>
                <w:rFonts w:ascii="Nunito Sans" w:hAnsi="Nunito Sans"/>
                <w:noProof/>
                <w:sz w:val="20"/>
                <w:szCs w:val="20"/>
                <w:shd w:val="clear" w:color="auto" w:fill="FFFFFF"/>
              </w:rPr>
              <w:t>Tabla 30: Proyectos Tecnológicos en 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64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75E8597" w14:textId="31D64C4E">
          <w:pPr>
            <w:pStyle w:val="Tabladeilustraciones"/>
            <w:tabs>
              <w:tab w:val="right" w:leader="dot" w:pos="9514"/>
            </w:tabs>
            <w:rPr>
              <w:rStyle w:val="Hipervnculo"/>
              <w:rFonts w:ascii="Nunito Sans" w:hAnsi="Nunito Sans"/>
              <w:sz w:val="20"/>
              <w:szCs w:val="20"/>
              <w:shd w:val="clear" w:color="auto" w:fill="FFFFFF"/>
            </w:rPr>
          </w:pPr>
          <w:hyperlink w:history="1" w:anchor="_Toc220664202">
            <w:r w:rsidRPr="005D5A52">
              <w:rPr>
                <w:rStyle w:val="Hipervnculo"/>
                <w:rFonts w:ascii="Nunito Sans" w:hAnsi="Nunito Sans"/>
                <w:noProof/>
                <w:sz w:val="20"/>
                <w:szCs w:val="20"/>
                <w:shd w:val="clear" w:color="auto" w:fill="FFFFFF"/>
              </w:rPr>
              <w:t>Tabla 31: Articulación de Iniciativas MME–UPME en el Eje 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69</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037D30A" w14:textId="20EBD423">
          <w:pPr>
            <w:pStyle w:val="Tabladeilustraciones"/>
            <w:tabs>
              <w:tab w:val="right" w:leader="dot" w:pos="9514"/>
            </w:tabs>
            <w:rPr>
              <w:rStyle w:val="Hipervnculo"/>
              <w:rFonts w:ascii="Nunito Sans" w:hAnsi="Nunito Sans"/>
              <w:sz w:val="20"/>
              <w:szCs w:val="20"/>
              <w:shd w:val="clear" w:color="auto" w:fill="FFFFFF"/>
            </w:rPr>
          </w:pPr>
          <w:hyperlink w:history="1" w:anchor="_Toc220664203">
            <w:r w:rsidRPr="005D5A52">
              <w:rPr>
                <w:rStyle w:val="Hipervnculo"/>
                <w:rFonts w:ascii="Nunito Sans" w:hAnsi="Nunito Sans"/>
                <w:noProof/>
                <w:sz w:val="20"/>
                <w:szCs w:val="20"/>
                <w:shd w:val="clear" w:color="auto" w:fill="FFFFFF"/>
              </w:rPr>
              <w:t>Tabla 32: Articulación de Iniciativas MME–UPME en el Eje 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8A7F0AA" w14:textId="3D408FCE">
          <w:pPr>
            <w:pStyle w:val="Tabladeilustraciones"/>
            <w:tabs>
              <w:tab w:val="right" w:leader="dot" w:pos="9514"/>
            </w:tabs>
            <w:rPr>
              <w:rStyle w:val="Hipervnculo"/>
              <w:rFonts w:ascii="Nunito Sans" w:hAnsi="Nunito Sans"/>
              <w:sz w:val="20"/>
              <w:szCs w:val="20"/>
              <w:shd w:val="clear" w:color="auto" w:fill="FFFFFF"/>
            </w:rPr>
          </w:pPr>
          <w:hyperlink w:history="1" w:anchor="_Toc220664204">
            <w:r w:rsidRPr="005D5A52">
              <w:rPr>
                <w:rStyle w:val="Hipervnculo"/>
                <w:rFonts w:ascii="Nunito Sans" w:hAnsi="Nunito Sans"/>
                <w:noProof/>
                <w:sz w:val="20"/>
                <w:szCs w:val="20"/>
                <w:shd w:val="clear" w:color="auto" w:fill="FFFFFF"/>
              </w:rPr>
              <w:t>Tabla 33: Articulación de Iniciativas MME–UPME en el Eje 3</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DC86EEB" w14:textId="6B81A7A9">
          <w:pPr>
            <w:pStyle w:val="Tabladeilustraciones"/>
            <w:tabs>
              <w:tab w:val="right" w:leader="dot" w:pos="9514"/>
            </w:tabs>
            <w:rPr>
              <w:rStyle w:val="Hipervnculo"/>
              <w:rFonts w:ascii="Nunito Sans" w:hAnsi="Nunito Sans"/>
              <w:sz w:val="20"/>
              <w:szCs w:val="20"/>
              <w:shd w:val="clear" w:color="auto" w:fill="FFFFFF"/>
            </w:rPr>
          </w:pPr>
          <w:hyperlink w:history="1" w:anchor="_Toc220664205">
            <w:r w:rsidRPr="005D5A52">
              <w:rPr>
                <w:rStyle w:val="Hipervnculo"/>
                <w:rFonts w:ascii="Nunito Sans" w:hAnsi="Nunito Sans"/>
                <w:noProof/>
                <w:sz w:val="20"/>
                <w:szCs w:val="20"/>
                <w:shd w:val="clear" w:color="auto" w:fill="FFFFFF"/>
              </w:rPr>
              <w:t>Tabla 34: Articulación de Iniciativas MME–ANM en el Eje 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D53F9F3" w14:textId="61879031">
          <w:pPr>
            <w:pStyle w:val="Tabladeilustraciones"/>
            <w:tabs>
              <w:tab w:val="right" w:leader="dot" w:pos="9514"/>
            </w:tabs>
            <w:rPr>
              <w:rStyle w:val="Hipervnculo"/>
              <w:rFonts w:ascii="Nunito Sans" w:hAnsi="Nunito Sans"/>
              <w:sz w:val="20"/>
              <w:szCs w:val="20"/>
              <w:shd w:val="clear" w:color="auto" w:fill="FFFFFF"/>
            </w:rPr>
          </w:pPr>
          <w:hyperlink w:history="1" w:anchor="_Toc220664206">
            <w:r w:rsidRPr="005D5A52">
              <w:rPr>
                <w:rStyle w:val="Hipervnculo"/>
                <w:rFonts w:ascii="Nunito Sans" w:hAnsi="Nunito Sans"/>
                <w:noProof/>
                <w:sz w:val="20"/>
                <w:szCs w:val="20"/>
                <w:shd w:val="clear" w:color="auto" w:fill="FFFFFF"/>
              </w:rPr>
              <w:t>Tabla 35: Articulación de Iniciativas MME–ANM en el Eje 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72</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9A8AB2F" w14:textId="0A9DD573">
          <w:pPr>
            <w:pStyle w:val="Tabladeilustraciones"/>
            <w:tabs>
              <w:tab w:val="right" w:leader="dot" w:pos="9514"/>
            </w:tabs>
            <w:rPr>
              <w:rStyle w:val="Hipervnculo"/>
              <w:rFonts w:ascii="Nunito Sans" w:hAnsi="Nunito Sans"/>
              <w:sz w:val="20"/>
              <w:szCs w:val="20"/>
              <w:shd w:val="clear" w:color="auto" w:fill="FFFFFF"/>
            </w:rPr>
          </w:pPr>
          <w:hyperlink w:history="1" w:anchor="_Toc220664207">
            <w:r w:rsidRPr="005D5A52">
              <w:rPr>
                <w:rStyle w:val="Hipervnculo"/>
                <w:rFonts w:ascii="Nunito Sans" w:hAnsi="Nunito Sans"/>
                <w:noProof/>
                <w:sz w:val="20"/>
                <w:szCs w:val="20"/>
                <w:shd w:val="clear" w:color="auto" w:fill="FFFFFF"/>
              </w:rPr>
              <w:t>Tabla 36: Articulación de Iniciativas MME–ANM en el Eje 3</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72</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6BBDDA0" w14:textId="2FA5E7E1">
          <w:pPr>
            <w:pStyle w:val="Tabladeilustraciones"/>
            <w:tabs>
              <w:tab w:val="right" w:leader="dot" w:pos="9514"/>
            </w:tabs>
            <w:rPr>
              <w:rStyle w:val="Hipervnculo"/>
              <w:rFonts w:ascii="Nunito Sans" w:hAnsi="Nunito Sans"/>
              <w:sz w:val="20"/>
              <w:szCs w:val="20"/>
              <w:shd w:val="clear" w:color="auto" w:fill="FFFFFF"/>
            </w:rPr>
          </w:pPr>
          <w:hyperlink w:history="1" w:anchor="_Toc220664208">
            <w:r w:rsidRPr="005D5A52">
              <w:rPr>
                <w:rStyle w:val="Hipervnculo"/>
                <w:rFonts w:ascii="Nunito Sans" w:hAnsi="Nunito Sans"/>
                <w:noProof/>
                <w:sz w:val="20"/>
                <w:szCs w:val="20"/>
                <w:shd w:val="clear" w:color="auto" w:fill="FFFFFF"/>
              </w:rPr>
              <w:t>Tabla 37: Articulación de Iniciativas MME–ANM en el Eje 4</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73</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0321BC5" w14:textId="1FC34993">
          <w:pPr>
            <w:pStyle w:val="Tabladeilustraciones"/>
            <w:tabs>
              <w:tab w:val="right" w:leader="dot" w:pos="9514"/>
            </w:tabs>
            <w:rPr>
              <w:rStyle w:val="Hipervnculo"/>
              <w:rFonts w:ascii="Nunito Sans" w:hAnsi="Nunito Sans"/>
              <w:sz w:val="20"/>
              <w:szCs w:val="20"/>
              <w:shd w:val="clear" w:color="auto" w:fill="FFFFFF"/>
            </w:rPr>
          </w:pPr>
          <w:hyperlink w:history="1" w:anchor="_Toc220664209">
            <w:r w:rsidRPr="005D5A52">
              <w:rPr>
                <w:rStyle w:val="Hipervnculo"/>
                <w:rFonts w:ascii="Nunito Sans" w:hAnsi="Nunito Sans"/>
                <w:noProof/>
                <w:sz w:val="20"/>
                <w:szCs w:val="20"/>
                <w:shd w:val="clear" w:color="auto" w:fill="FFFFFF"/>
              </w:rPr>
              <w:t>Tabla 38: Articulación de Iniciativas MME–ANH en el Eje 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_Toc220664209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D600378" w14:textId="32BB4B3F">
          <w:pPr>
            <w:pStyle w:val="Tabladeilustraciones"/>
            <w:tabs>
              <w:tab w:val="right" w:leader="dot" w:pos="9514"/>
            </w:tabs>
            <w:rPr>
              <w:rStyle w:val="Hipervnculo"/>
              <w:rFonts w:ascii="Nunito Sans" w:hAnsi="Nunito Sans"/>
              <w:sz w:val="20"/>
              <w:szCs w:val="20"/>
              <w:shd w:val="clear" w:color="auto" w:fill="FFFFFF"/>
            </w:rPr>
          </w:pPr>
          <w:hyperlink w:history="1" w:anchor="_Toc220664210">
            <w:r w:rsidRPr="005D5A52">
              <w:rPr>
                <w:rStyle w:val="Hipervnculo"/>
                <w:rFonts w:ascii="Nunito Sans" w:hAnsi="Nunito Sans"/>
                <w:noProof/>
                <w:sz w:val="20"/>
                <w:szCs w:val="20"/>
                <w:shd w:val="clear" w:color="auto" w:fill="FFFFFF"/>
              </w:rPr>
              <w:t>Tabla 39: Articulación de Iniciativas MME–ANH en el Eje 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772078F" w14:textId="51CA14D2">
          <w:pPr>
            <w:pStyle w:val="Tabladeilustraciones"/>
            <w:tabs>
              <w:tab w:val="right" w:leader="dot" w:pos="9514"/>
            </w:tabs>
            <w:rPr>
              <w:rStyle w:val="Hipervnculo"/>
              <w:rFonts w:ascii="Nunito Sans" w:hAnsi="Nunito Sans"/>
              <w:sz w:val="20"/>
              <w:szCs w:val="20"/>
              <w:shd w:val="clear" w:color="auto" w:fill="FFFFFF"/>
            </w:rPr>
          </w:pPr>
          <w:hyperlink w:history="1" w:anchor="_Toc220664211">
            <w:r w:rsidRPr="005D5A52">
              <w:rPr>
                <w:rStyle w:val="Hipervnculo"/>
                <w:rFonts w:ascii="Nunito Sans" w:hAnsi="Nunito Sans"/>
                <w:noProof/>
                <w:sz w:val="20"/>
                <w:szCs w:val="20"/>
                <w:shd w:val="clear" w:color="auto" w:fill="FFFFFF"/>
              </w:rPr>
              <w:t>Tabla 40: Articulación de Iniciativas MME–ANH en el Eje 3</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C98C142" w14:textId="61A8AE76">
          <w:pPr>
            <w:pStyle w:val="Tabladeilustraciones"/>
            <w:tabs>
              <w:tab w:val="right" w:leader="dot" w:pos="9514"/>
            </w:tabs>
            <w:rPr>
              <w:rStyle w:val="Hipervnculo"/>
              <w:rFonts w:ascii="Nunito Sans" w:hAnsi="Nunito Sans"/>
              <w:sz w:val="20"/>
              <w:szCs w:val="20"/>
              <w:shd w:val="clear" w:color="auto" w:fill="FFFFFF"/>
            </w:rPr>
          </w:pPr>
          <w:hyperlink w:history="1" w:anchor="_Toc220664212">
            <w:r w:rsidRPr="005D5A52">
              <w:rPr>
                <w:rStyle w:val="Hipervnculo"/>
                <w:rFonts w:ascii="Nunito Sans" w:hAnsi="Nunito Sans"/>
                <w:noProof/>
                <w:sz w:val="20"/>
                <w:szCs w:val="20"/>
                <w:shd w:val="clear" w:color="auto" w:fill="FFFFFF"/>
              </w:rPr>
              <w:t>Tabla 41: Articulación de Iniciativas MME–ANH en el Eje 4</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B3ABF51" w14:textId="08EAEE2D">
          <w:pPr>
            <w:pStyle w:val="Tabladeilustraciones"/>
            <w:tabs>
              <w:tab w:val="right" w:leader="dot" w:pos="9514"/>
            </w:tabs>
            <w:rPr>
              <w:rStyle w:val="Hipervnculo"/>
              <w:rFonts w:ascii="Nunito Sans" w:hAnsi="Nunito Sans"/>
              <w:sz w:val="20"/>
              <w:szCs w:val="20"/>
              <w:shd w:val="clear" w:color="auto" w:fill="FFFFFF"/>
            </w:rPr>
          </w:pPr>
          <w:hyperlink w:history="1" w:anchor="_Toc220664213">
            <w:r w:rsidRPr="005D5A52">
              <w:rPr>
                <w:rStyle w:val="Hipervnculo"/>
                <w:rFonts w:ascii="Nunito Sans" w:hAnsi="Nunito Sans"/>
                <w:noProof/>
                <w:sz w:val="20"/>
                <w:szCs w:val="20"/>
                <w:shd w:val="clear" w:color="auto" w:fill="FFFFFF"/>
              </w:rPr>
              <w:t>Tabla 42: Articulación de Iniciativas MME–ANH en el Eje 5</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7CA650F" w14:textId="56924DD1">
          <w:pPr>
            <w:pStyle w:val="Tabladeilustraciones"/>
            <w:tabs>
              <w:tab w:val="right" w:leader="dot" w:pos="9514"/>
            </w:tabs>
            <w:rPr>
              <w:rStyle w:val="Hipervnculo"/>
              <w:rFonts w:ascii="Nunito Sans" w:hAnsi="Nunito Sans"/>
              <w:sz w:val="20"/>
              <w:szCs w:val="20"/>
              <w:shd w:val="clear" w:color="auto" w:fill="FFFFFF"/>
            </w:rPr>
          </w:pPr>
          <w:hyperlink w:history="1" w:anchor="_Toc220664214">
            <w:r w:rsidRPr="005D5A52">
              <w:rPr>
                <w:rStyle w:val="Hipervnculo"/>
                <w:rFonts w:ascii="Nunito Sans" w:hAnsi="Nunito Sans"/>
                <w:noProof/>
                <w:sz w:val="20"/>
                <w:szCs w:val="20"/>
                <w:shd w:val="clear" w:color="auto" w:fill="FFFFFF"/>
              </w:rPr>
              <w:t>Tabla 43: Articulación de Iniciativas MME–CREG en el Eje 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A93DA1A" w14:textId="7951CDB9">
          <w:pPr>
            <w:pStyle w:val="Tabladeilustraciones"/>
            <w:tabs>
              <w:tab w:val="right" w:leader="dot" w:pos="9514"/>
            </w:tabs>
            <w:rPr>
              <w:rStyle w:val="Hipervnculo"/>
              <w:rFonts w:ascii="Nunito Sans" w:hAnsi="Nunito Sans"/>
              <w:sz w:val="20"/>
              <w:szCs w:val="20"/>
              <w:shd w:val="clear" w:color="auto" w:fill="FFFFFF"/>
            </w:rPr>
          </w:pPr>
          <w:hyperlink w:history="1" w:anchor="_Toc220664215">
            <w:r w:rsidRPr="005D5A52">
              <w:rPr>
                <w:rStyle w:val="Hipervnculo"/>
                <w:rFonts w:ascii="Nunito Sans" w:hAnsi="Nunito Sans"/>
                <w:noProof/>
                <w:sz w:val="20"/>
                <w:szCs w:val="20"/>
                <w:shd w:val="clear" w:color="auto" w:fill="FFFFFF"/>
              </w:rPr>
              <w:t>Tabla 44: Articulación de Iniciativas MME–CREG en el Eje 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522CF45" w14:textId="1B8F27BA">
          <w:pPr>
            <w:pStyle w:val="Tabladeilustraciones"/>
            <w:tabs>
              <w:tab w:val="right" w:leader="dot" w:pos="9514"/>
            </w:tabs>
            <w:rPr>
              <w:rStyle w:val="Hipervnculo"/>
              <w:rFonts w:ascii="Nunito Sans" w:hAnsi="Nunito Sans"/>
              <w:sz w:val="20"/>
              <w:szCs w:val="20"/>
              <w:shd w:val="clear" w:color="auto" w:fill="FFFFFF"/>
            </w:rPr>
          </w:pPr>
          <w:hyperlink w:history="1" w:anchor="_Toc220664216">
            <w:r w:rsidRPr="005D5A52">
              <w:rPr>
                <w:rStyle w:val="Hipervnculo"/>
                <w:rFonts w:ascii="Nunito Sans" w:hAnsi="Nunito Sans"/>
                <w:noProof/>
                <w:sz w:val="20"/>
                <w:szCs w:val="20"/>
                <w:shd w:val="clear" w:color="auto" w:fill="FFFFFF"/>
              </w:rPr>
              <w:t>Tabla 45: Articulación de Iniciativas MME–CREG en el Eje 3</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37649E8" w14:textId="6BF6B6B5">
          <w:pPr>
            <w:pStyle w:val="Tabladeilustraciones"/>
            <w:tabs>
              <w:tab w:val="right" w:leader="dot" w:pos="9514"/>
            </w:tabs>
            <w:rPr>
              <w:rStyle w:val="Hipervnculo"/>
              <w:rFonts w:ascii="Nunito Sans" w:hAnsi="Nunito Sans"/>
              <w:sz w:val="20"/>
              <w:szCs w:val="20"/>
              <w:shd w:val="clear" w:color="auto" w:fill="FFFFFF"/>
            </w:rPr>
          </w:pPr>
          <w:hyperlink w:history="1" w:anchor="_Toc220664217">
            <w:r w:rsidRPr="005D5A52">
              <w:rPr>
                <w:rStyle w:val="Hipervnculo"/>
                <w:rFonts w:ascii="Nunito Sans" w:hAnsi="Nunito Sans"/>
                <w:noProof/>
                <w:sz w:val="20"/>
                <w:szCs w:val="20"/>
                <w:shd w:val="clear" w:color="auto" w:fill="FFFFFF"/>
              </w:rPr>
              <w:t>Tabla 46: Articulación de Iniciativas MME–CREG en el Eje 4</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BFE19D5" w14:textId="200196B9">
          <w:pPr>
            <w:pStyle w:val="Tabladeilustraciones"/>
            <w:tabs>
              <w:tab w:val="right" w:leader="dot" w:pos="9514"/>
            </w:tabs>
            <w:rPr>
              <w:rStyle w:val="Hipervnculo"/>
              <w:rFonts w:ascii="Nunito Sans" w:hAnsi="Nunito Sans"/>
              <w:sz w:val="20"/>
              <w:szCs w:val="20"/>
              <w:shd w:val="clear" w:color="auto" w:fill="FFFFFF"/>
            </w:rPr>
          </w:pPr>
          <w:hyperlink w:history="1" w:anchor="_Toc220664218">
            <w:r w:rsidRPr="005D5A52">
              <w:rPr>
                <w:rStyle w:val="Hipervnculo"/>
                <w:rFonts w:ascii="Nunito Sans" w:hAnsi="Nunito Sans"/>
                <w:noProof/>
                <w:sz w:val="20"/>
                <w:szCs w:val="20"/>
                <w:shd w:val="clear" w:color="auto" w:fill="FFFFFF"/>
              </w:rPr>
              <w:t>Tabla 47: Articulación de Iniciativas MME–IPSE en el Eje 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79</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E31BDF9" w14:textId="30E38159">
          <w:pPr>
            <w:pStyle w:val="Tabladeilustraciones"/>
            <w:tabs>
              <w:tab w:val="right" w:leader="dot" w:pos="9514"/>
            </w:tabs>
            <w:rPr>
              <w:rStyle w:val="Hipervnculo"/>
              <w:rFonts w:ascii="Nunito Sans" w:hAnsi="Nunito Sans"/>
              <w:sz w:val="20"/>
              <w:szCs w:val="20"/>
              <w:shd w:val="clear" w:color="auto" w:fill="FFFFFF"/>
            </w:rPr>
          </w:pPr>
          <w:hyperlink w:history="1" w:anchor="_Toc220664219">
            <w:r w:rsidRPr="005D5A52">
              <w:rPr>
                <w:rStyle w:val="Hipervnculo"/>
                <w:rFonts w:ascii="Nunito Sans" w:hAnsi="Nunito Sans"/>
                <w:noProof/>
                <w:sz w:val="20"/>
                <w:szCs w:val="20"/>
                <w:shd w:val="clear" w:color="auto" w:fill="FFFFFF"/>
              </w:rPr>
              <w:t>Tabla 48: Articulación de Iniciativas MME–IPSE en el Eje 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_Toc220664219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79</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551B8C5" w14:textId="6F2F5BAC">
          <w:pPr>
            <w:pStyle w:val="Tabladeilustraciones"/>
            <w:tabs>
              <w:tab w:val="right" w:leader="dot" w:pos="9514"/>
            </w:tabs>
            <w:rPr>
              <w:rStyle w:val="Hipervnculo"/>
              <w:rFonts w:ascii="Nunito Sans" w:hAnsi="Nunito Sans"/>
              <w:sz w:val="20"/>
              <w:szCs w:val="20"/>
              <w:shd w:val="clear" w:color="auto" w:fill="FFFFFF"/>
            </w:rPr>
          </w:pPr>
          <w:hyperlink w:history="1" w:anchor="_Toc220664220">
            <w:r w:rsidRPr="005D5A52">
              <w:rPr>
                <w:rStyle w:val="Hipervnculo"/>
                <w:rFonts w:ascii="Nunito Sans" w:hAnsi="Nunito Sans"/>
                <w:noProof/>
                <w:sz w:val="20"/>
                <w:szCs w:val="20"/>
                <w:shd w:val="clear" w:color="auto" w:fill="FFFFFF"/>
              </w:rPr>
              <w:t>Tabla 49: Articulación de Iniciativas MME–IPSE en el Eje 3</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80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B2A4A0F" w14:textId="5C52C87C">
          <w:pPr>
            <w:pStyle w:val="Tabladeilustraciones"/>
            <w:tabs>
              <w:tab w:val="right" w:leader="dot" w:pos="9514"/>
            </w:tabs>
            <w:rPr>
              <w:rStyle w:val="Hipervnculo"/>
              <w:rFonts w:ascii="Nunito Sans" w:hAnsi="Nunito Sans"/>
              <w:sz w:val="20"/>
              <w:szCs w:val="20"/>
              <w:shd w:val="clear" w:color="auto" w:fill="FFFFFF"/>
            </w:rPr>
          </w:pPr>
          <w:hyperlink w:history="1" w:anchor="_Toc220664221">
            <w:r w:rsidRPr="005D5A52">
              <w:rPr>
                <w:rStyle w:val="Hipervnculo"/>
                <w:rFonts w:ascii="Nunito Sans" w:hAnsi="Nunito Sans"/>
                <w:noProof/>
                <w:sz w:val="20"/>
                <w:szCs w:val="20"/>
                <w:shd w:val="clear" w:color="auto" w:fill="FFFFFF"/>
              </w:rPr>
              <w:t>Tabla 50: Objetivos Estratégicos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83</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0682240" w14:textId="71C2FD93">
          <w:pPr>
            <w:pStyle w:val="Tabladeilustraciones"/>
            <w:tabs>
              <w:tab w:val="right" w:leader="dot" w:pos="9514"/>
            </w:tabs>
            <w:rPr>
              <w:rStyle w:val="Hipervnculo"/>
              <w:rFonts w:ascii="Nunito Sans" w:hAnsi="Nunito Sans"/>
              <w:sz w:val="20"/>
              <w:szCs w:val="20"/>
              <w:shd w:val="clear" w:color="auto" w:fill="FFFFFF"/>
            </w:rPr>
          </w:pPr>
          <w:hyperlink w:history="1" w:anchor="_Toc220664222">
            <w:r w:rsidRPr="005D5A52">
              <w:rPr>
                <w:rStyle w:val="Hipervnculo"/>
                <w:rFonts w:ascii="Nunito Sans" w:hAnsi="Nunito Sans"/>
                <w:noProof/>
                <w:sz w:val="20"/>
                <w:szCs w:val="20"/>
                <w:shd w:val="clear" w:color="auto" w:fill="FFFFFF"/>
              </w:rPr>
              <w:t>Tabla 51: Políticas de TI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85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5F6D461" w14:textId="32D2072E">
          <w:pPr>
            <w:pStyle w:val="Tabladeilustraciones"/>
            <w:tabs>
              <w:tab w:val="right" w:leader="dot" w:pos="9514"/>
            </w:tabs>
            <w:rPr>
              <w:rStyle w:val="Hipervnculo"/>
              <w:rFonts w:ascii="Nunito Sans" w:hAnsi="Nunito Sans"/>
              <w:sz w:val="20"/>
              <w:szCs w:val="20"/>
              <w:shd w:val="clear" w:color="auto" w:fill="FFFFFF"/>
            </w:rPr>
          </w:pPr>
          <w:hyperlink w:history="1" w:anchor="_Toc220664223">
            <w:r w:rsidRPr="005D5A52">
              <w:rPr>
                <w:rStyle w:val="Hipervnculo"/>
                <w:rFonts w:ascii="Nunito Sans" w:hAnsi="Nunito Sans"/>
                <w:noProof/>
                <w:sz w:val="20"/>
                <w:szCs w:val="20"/>
                <w:shd w:val="clear" w:color="auto" w:fill="FFFFFF"/>
              </w:rPr>
              <w:t>Tabla 52: Estándares Tecnológicos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293E72FE" w14:textId="0B2D7F15">
          <w:pPr>
            <w:pStyle w:val="Tabladeilustraciones"/>
            <w:tabs>
              <w:tab w:val="right" w:leader="dot" w:pos="9514"/>
            </w:tabs>
            <w:rPr>
              <w:rStyle w:val="Hipervnculo"/>
              <w:rFonts w:ascii="Nunito Sans" w:hAnsi="Nunito Sans"/>
              <w:sz w:val="20"/>
              <w:szCs w:val="20"/>
              <w:shd w:val="clear" w:color="auto" w:fill="FFFFFF"/>
            </w:rPr>
          </w:pPr>
          <w:hyperlink w:history="1" w:anchor="_Toc220664224">
            <w:r w:rsidRPr="005D5A52">
              <w:rPr>
                <w:rStyle w:val="Hipervnculo"/>
                <w:rFonts w:ascii="Nunito Sans" w:hAnsi="Nunito Sans"/>
                <w:noProof/>
                <w:sz w:val="20"/>
                <w:szCs w:val="20"/>
                <w:shd w:val="clear" w:color="auto" w:fill="FFFFFF"/>
              </w:rPr>
              <w:t>Tabla 53: Portafolio de Servicios de Interoperabilidad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BCE4760" w14:textId="6B9AE5EA">
          <w:pPr>
            <w:pStyle w:val="Tabladeilustraciones"/>
            <w:tabs>
              <w:tab w:val="right" w:leader="dot" w:pos="9514"/>
            </w:tabs>
            <w:rPr>
              <w:rStyle w:val="Hipervnculo"/>
              <w:rFonts w:ascii="Nunito Sans" w:hAnsi="Nunito Sans"/>
              <w:sz w:val="20"/>
              <w:szCs w:val="20"/>
              <w:shd w:val="clear" w:color="auto" w:fill="FFFFFF"/>
            </w:rPr>
          </w:pPr>
          <w:hyperlink w:history="1" w:anchor="_Toc220664225">
            <w:r w:rsidRPr="005D5A52">
              <w:rPr>
                <w:rStyle w:val="Hipervnculo"/>
                <w:rFonts w:ascii="Nunito Sans" w:hAnsi="Nunito Sans"/>
                <w:noProof/>
                <w:sz w:val="20"/>
                <w:szCs w:val="20"/>
                <w:shd w:val="clear" w:color="auto" w:fill="FFFFFF"/>
              </w:rPr>
              <w:t>Tabla 54: Modelo de Gobernanza de APIs e Integración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3950432" w14:textId="4D9547D5">
          <w:pPr>
            <w:pStyle w:val="Tabladeilustraciones"/>
            <w:tabs>
              <w:tab w:val="right" w:leader="dot" w:pos="9514"/>
            </w:tabs>
            <w:rPr>
              <w:rStyle w:val="Hipervnculo"/>
              <w:rFonts w:ascii="Nunito Sans" w:hAnsi="Nunito Sans"/>
              <w:sz w:val="20"/>
              <w:szCs w:val="20"/>
              <w:shd w:val="clear" w:color="auto" w:fill="FFFFFF"/>
            </w:rPr>
          </w:pPr>
          <w:hyperlink w:history="1" w:anchor="_Toc220664226">
            <w:r w:rsidRPr="005D5A52">
              <w:rPr>
                <w:rStyle w:val="Hipervnculo"/>
                <w:rFonts w:ascii="Nunito Sans" w:hAnsi="Nunito Sans"/>
                <w:noProof/>
                <w:sz w:val="20"/>
                <w:szCs w:val="20"/>
                <w:shd w:val="clear" w:color="auto" w:fill="FFFFFF"/>
              </w:rPr>
              <w:t>Tabla 55: Niveles de Interoperabilidad y Adopción Progresiva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108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6CEAF3B" w14:textId="3ADFC75E">
          <w:pPr>
            <w:pStyle w:val="Tabladeilustraciones"/>
            <w:tabs>
              <w:tab w:val="right" w:leader="dot" w:pos="9514"/>
            </w:tabs>
            <w:rPr>
              <w:rStyle w:val="Hipervnculo"/>
              <w:rFonts w:ascii="Nunito Sans" w:hAnsi="Nunito Sans"/>
              <w:sz w:val="20"/>
              <w:szCs w:val="20"/>
              <w:shd w:val="clear" w:color="auto" w:fill="FFFFFF"/>
            </w:rPr>
          </w:pPr>
          <w:hyperlink w:history="1" w:anchor="_Toc220664227">
            <w:r w:rsidRPr="005D5A52">
              <w:rPr>
                <w:rStyle w:val="Hipervnculo"/>
                <w:rFonts w:ascii="Nunito Sans" w:hAnsi="Nunito Sans"/>
                <w:noProof/>
                <w:sz w:val="20"/>
                <w:szCs w:val="20"/>
                <w:shd w:val="clear" w:color="auto" w:fill="FFFFFF"/>
              </w:rPr>
              <w:t>Tabla 56: Capacidades Objetivo Asociadas al Proyecto P.SEC005</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22545B2" w14:textId="5961EC9E">
          <w:pPr>
            <w:pStyle w:val="Tabladeilustraciones"/>
            <w:tabs>
              <w:tab w:val="right" w:leader="dot" w:pos="9514"/>
            </w:tabs>
            <w:rPr>
              <w:rStyle w:val="Hipervnculo"/>
              <w:rFonts w:ascii="Nunito Sans" w:hAnsi="Nunito Sans"/>
              <w:sz w:val="20"/>
              <w:szCs w:val="20"/>
              <w:shd w:val="clear" w:color="auto" w:fill="FFFFFF"/>
            </w:rPr>
          </w:pPr>
          <w:hyperlink w:history="1" w:anchor="_Toc220664228">
            <w:r w:rsidRPr="005D5A52">
              <w:rPr>
                <w:rStyle w:val="Hipervnculo"/>
                <w:rFonts w:ascii="Nunito Sans" w:hAnsi="Nunito Sans"/>
                <w:noProof/>
                <w:sz w:val="20"/>
                <w:szCs w:val="20"/>
                <w:shd w:val="clear" w:color="auto" w:fill="FFFFFF"/>
              </w:rPr>
              <w:t>Tabla 57: Brechas de Arquitectura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AEFA0A4" w14:textId="74EFD9E0">
          <w:pPr>
            <w:pStyle w:val="Tabladeilustraciones"/>
            <w:tabs>
              <w:tab w:val="right" w:leader="dot" w:pos="9514"/>
            </w:tabs>
            <w:rPr>
              <w:rStyle w:val="Hipervnculo"/>
              <w:rFonts w:ascii="Nunito Sans" w:hAnsi="Nunito Sans"/>
              <w:sz w:val="20"/>
              <w:szCs w:val="20"/>
              <w:shd w:val="clear" w:color="auto" w:fill="FFFFFF"/>
            </w:rPr>
          </w:pPr>
          <w:hyperlink w:history="1" w:anchor="_Toc220664229">
            <w:r w:rsidRPr="005D5A52">
              <w:rPr>
                <w:rStyle w:val="Hipervnculo"/>
                <w:rFonts w:ascii="Nunito Sans" w:hAnsi="Nunito Sans"/>
                <w:noProof/>
                <w:sz w:val="20"/>
                <w:szCs w:val="20"/>
                <w:shd w:val="clear" w:color="auto" w:fill="FFFFFF"/>
              </w:rPr>
              <w:t>Tabla 58: Brechas de Arquitectura de Datos e Información</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_Toc220664229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5F2B1C2" w14:textId="2D2BA3C2">
          <w:pPr>
            <w:pStyle w:val="Tabladeilustraciones"/>
            <w:tabs>
              <w:tab w:val="right" w:leader="dot" w:pos="9514"/>
            </w:tabs>
            <w:rPr>
              <w:rStyle w:val="Hipervnculo"/>
              <w:rFonts w:ascii="Nunito Sans" w:hAnsi="Nunito Sans"/>
              <w:sz w:val="20"/>
              <w:szCs w:val="20"/>
              <w:shd w:val="clear" w:color="auto" w:fill="FFFFFF"/>
            </w:rPr>
          </w:pPr>
          <w:hyperlink w:history="1" w:anchor="_Toc220664230">
            <w:r w:rsidRPr="005D5A52">
              <w:rPr>
                <w:rStyle w:val="Hipervnculo"/>
                <w:rFonts w:ascii="Nunito Sans" w:hAnsi="Nunito Sans"/>
                <w:noProof/>
                <w:sz w:val="20"/>
                <w:szCs w:val="20"/>
                <w:shd w:val="clear" w:color="auto" w:fill="FFFFFF"/>
              </w:rPr>
              <w:t>Tabla 59: Brechas de Sistemas de Información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A9A34D2" w14:textId="7BED6381">
          <w:pPr>
            <w:pStyle w:val="Tabladeilustraciones"/>
            <w:tabs>
              <w:tab w:val="right" w:leader="dot" w:pos="9514"/>
            </w:tabs>
            <w:rPr>
              <w:rStyle w:val="Hipervnculo"/>
              <w:rFonts w:ascii="Nunito Sans" w:hAnsi="Nunito Sans"/>
              <w:sz w:val="20"/>
              <w:szCs w:val="20"/>
              <w:shd w:val="clear" w:color="auto" w:fill="FFFFFF"/>
            </w:rPr>
          </w:pPr>
          <w:hyperlink w:history="1" w:anchor="_Toc220664231">
            <w:r w:rsidRPr="005D5A52">
              <w:rPr>
                <w:rStyle w:val="Hipervnculo"/>
                <w:rFonts w:ascii="Nunito Sans" w:hAnsi="Nunito Sans"/>
                <w:noProof/>
                <w:sz w:val="20"/>
                <w:szCs w:val="20"/>
                <w:shd w:val="clear" w:color="auto" w:fill="FFFFFF"/>
              </w:rPr>
              <w:t>Tabla 60: Brechas de Interoperabilidad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119</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8E931DB" w14:textId="2BA45F6E">
          <w:pPr>
            <w:pStyle w:val="Tabladeilustraciones"/>
            <w:tabs>
              <w:tab w:val="right" w:leader="dot" w:pos="9514"/>
            </w:tabs>
            <w:rPr>
              <w:rStyle w:val="Hipervnculo"/>
              <w:rFonts w:ascii="Nunito Sans" w:hAnsi="Nunito Sans"/>
              <w:sz w:val="20"/>
              <w:szCs w:val="20"/>
              <w:shd w:val="clear" w:color="auto" w:fill="FFFFFF"/>
            </w:rPr>
          </w:pPr>
          <w:hyperlink w:history="1" w:anchor="_Toc220664232">
            <w:r w:rsidRPr="005D5A52">
              <w:rPr>
                <w:rStyle w:val="Hipervnculo"/>
                <w:rFonts w:ascii="Nunito Sans" w:hAnsi="Nunito Sans"/>
                <w:noProof/>
                <w:sz w:val="20"/>
                <w:szCs w:val="20"/>
                <w:shd w:val="clear" w:color="auto" w:fill="FFFFFF"/>
              </w:rPr>
              <w:t>Tabla 61: Brechas de Infraestructura y Servicios Tecnológicos del Sector</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52A8908" w14:textId="4ABD8F05">
          <w:pPr>
            <w:pStyle w:val="Tabladeilustraciones"/>
            <w:tabs>
              <w:tab w:val="right" w:leader="dot" w:pos="9514"/>
            </w:tabs>
            <w:rPr>
              <w:rStyle w:val="Hipervnculo"/>
              <w:rFonts w:ascii="Nunito Sans" w:hAnsi="Nunito Sans"/>
              <w:sz w:val="20"/>
              <w:szCs w:val="20"/>
              <w:shd w:val="clear" w:color="auto" w:fill="FFFFFF"/>
            </w:rPr>
          </w:pPr>
          <w:hyperlink w:history="1" w:anchor="_Toc220664233">
            <w:r w:rsidRPr="005D5A52">
              <w:rPr>
                <w:rStyle w:val="Hipervnculo"/>
                <w:rFonts w:ascii="Nunito Sans" w:hAnsi="Nunito Sans"/>
                <w:noProof/>
                <w:sz w:val="20"/>
                <w:szCs w:val="20"/>
                <w:shd w:val="clear" w:color="auto" w:fill="FFFFFF"/>
              </w:rPr>
              <w:t>Tabla 62: Brechas de Seguridad y Privacidad de la Información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BD7D604" w14:textId="47B8E93E">
          <w:pPr>
            <w:pStyle w:val="Tabladeilustraciones"/>
            <w:tabs>
              <w:tab w:val="right" w:leader="dot" w:pos="9514"/>
            </w:tabs>
            <w:rPr>
              <w:rStyle w:val="Hipervnculo"/>
              <w:rFonts w:ascii="Nunito Sans" w:hAnsi="Nunito Sans"/>
              <w:sz w:val="20"/>
              <w:szCs w:val="20"/>
              <w:shd w:val="clear" w:color="auto" w:fill="FFFFFF"/>
            </w:rPr>
          </w:pPr>
          <w:hyperlink w:history="1" w:anchor="_Toc220664234">
            <w:r w:rsidRPr="005D5A52">
              <w:rPr>
                <w:rStyle w:val="Hipervnculo"/>
                <w:rFonts w:ascii="Nunito Sans" w:hAnsi="Nunito Sans"/>
                <w:noProof/>
                <w:sz w:val="20"/>
                <w:szCs w:val="20"/>
                <w:shd w:val="clear" w:color="auto" w:fill="FFFFFF"/>
              </w:rPr>
              <w:t>Tabla 63: Brechas de Transformación Digital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122</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23A36B1" w14:textId="697D8641">
          <w:pPr>
            <w:pStyle w:val="Tabladeilustraciones"/>
            <w:tabs>
              <w:tab w:val="right" w:leader="dot" w:pos="9514"/>
            </w:tabs>
            <w:rPr>
              <w:rStyle w:val="Hipervnculo"/>
              <w:rFonts w:ascii="Nunito Sans" w:hAnsi="Nunito Sans"/>
              <w:sz w:val="20"/>
              <w:szCs w:val="20"/>
              <w:shd w:val="clear" w:color="auto" w:fill="FFFFFF"/>
            </w:rPr>
          </w:pPr>
          <w:hyperlink w:history="1" w:anchor="_Toc220664235">
            <w:r w:rsidRPr="005D5A52">
              <w:rPr>
                <w:rStyle w:val="Hipervnculo"/>
                <w:rFonts w:ascii="Nunito Sans" w:hAnsi="Nunito Sans"/>
                <w:noProof/>
                <w:sz w:val="20"/>
                <w:szCs w:val="20"/>
                <w:shd w:val="clear" w:color="auto" w:fill="FFFFFF"/>
              </w:rPr>
              <w:t>Tabla 64: Ficha de Proyecto ID P-SEC 001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124</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E50D29C" w14:textId="479AD4E8">
          <w:pPr>
            <w:pStyle w:val="Tabladeilustraciones"/>
            <w:tabs>
              <w:tab w:val="right" w:leader="dot" w:pos="9514"/>
            </w:tabs>
            <w:rPr>
              <w:rStyle w:val="Hipervnculo"/>
              <w:rFonts w:ascii="Nunito Sans" w:hAnsi="Nunito Sans"/>
              <w:sz w:val="20"/>
              <w:szCs w:val="20"/>
              <w:shd w:val="clear" w:color="auto" w:fill="FFFFFF"/>
            </w:rPr>
          </w:pPr>
          <w:hyperlink w:history="1" w:anchor="_Toc220664236">
            <w:r w:rsidRPr="005D5A52">
              <w:rPr>
                <w:rStyle w:val="Hipervnculo"/>
                <w:rFonts w:ascii="Nunito Sans" w:hAnsi="Nunito Sans"/>
                <w:noProof/>
                <w:sz w:val="20"/>
                <w:szCs w:val="20"/>
                <w:shd w:val="clear" w:color="auto" w:fill="FFFFFF"/>
              </w:rPr>
              <w:t>Tabla 65: Ficha de Proyecto ID P-SEC 002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DAC67E4" w14:textId="3E9BBFCE">
          <w:pPr>
            <w:pStyle w:val="Tabladeilustraciones"/>
            <w:tabs>
              <w:tab w:val="right" w:leader="dot" w:pos="9514"/>
            </w:tabs>
            <w:rPr>
              <w:rStyle w:val="Hipervnculo"/>
              <w:rFonts w:ascii="Nunito Sans" w:hAnsi="Nunito Sans"/>
              <w:sz w:val="20"/>
              <w:szCs w:val="20"/>
              <w:shd w:val="clear" w:color="auto" w:fill="FFFFFF"/>
            </w:rPr>
          </w:pPr>
          <w:hyperlink w:history="1" w:anchor="_Toc220664237">
            <w:r w:rsidRPr="005D5A52">
              <w:rPr>
                <w:rStyle w:val="Hipervnculo"/>
                <w:rFonts w:ascii="Nunito Sans" w:hAnsi="Nunito Sans"/>
                <w:noProof/>
                <w:sz w:val="20"/>
                <w:szCs w:val="20"/>
                <w:shd w:val="clear" w:color="auto" w:fill="FFFFFF"/>
              </w:rPr>
              <w:t>Tabla 66: Ficha de proyecto ID P-SEC 003</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125</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A1A6FAA" w14:textId="1E9B96E4">
          <w:pPr>
            <w:pStyle w:val="Tabladeilustraciones"/>
            <w:tabs>
              <w:tab w:val="right" w:leader="dot" w:pos="9514"/>
            </w:tabs>
            <w:rPr>
              <w:rStyle w:val="Hipervnculo"/>
              <w:rFonts w:ascii="Nunito Sans" w:hAnsi="Nunito Sans"/>
              <w:sz w:val="20"/>
              <w:szCs w:val="20"/>
              <w:shd w:val="clear" w:color="auto" w:fill="FFFFFF"/>
            </w:rPr>
          </w:pPr>
          <w:hyperlink w:history="1" w:anchor="_Toc220664238">
            <w:r w:rsidRPr="005D5A52">
              <w:rPr>
                <w:rStyle w:val="Hipervnculo"/>
                <w:rFonts w:ascii="Nunito Sans" w:hAnsi="Nunito Sans"/>
                <w:noProof/>
                <w:sz w:val="20"/>
                <w:szCs w:val="20"/>
                <w:shd w:val="clear" w:color="auto" w:fill="FFFFFF"/>
              </w:rPr>
              <w:t>Tabla 67: Ficha de Proyecto ID P-SEC 004</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33AC4CC" w14:textId="4113A156">
          <w:pPr>
            <w:pStyle w:val="Tabladeilustraciones"/>
            <w:tabs>
              <w:tab w:val="right" w:leader="dot" w:pos="9514"/>
            </w:tabs>
            <w:rPr>
              <w:rStyle w:val="Hipervnculo"/>
              <w:rFonts w:ascii="Nunito Sans" w:hAnsi="Nunito Sans"/>
              <w:sz w:val="20"/>
              <w:szCs w:val="20"/>
              <w:shd w:val="clear" w:color="auto" w:fill="FFFFFF"/>
            </w:rPr>
          </w:pPr>
          <w:hyperlink w:history="1" w:anchor="_Toc220664239">
            <w:r w:rsidRPr="005D5A52">
              <w:rPr>
                <w:rStyle w:val="Hipervnculo"/>
                <w:rFonts w:ascii="Nunito Sans" w:hAnsi="Nunito Sans"/>
                <w:noProof/>
                <w:sz w:val="20"/>
                <w:szCs w:val="20"/>
                <w:shd w:val="clear" w:color="auto" w:fill="FFFFFF"/>
              </w:rPr>
              <w:t>Tabla 68: Ficha de Proyecto ID P-SEC 005</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_Toc220664239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126</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09C7923" w14:textId="77A4ACFE">
          <w:pPr>
            <w:pStyle w:val="Tabladeilustraciones"/>
            <w:tabs>
              <w:tab w:val="right" w:leader="dot" w:pos="9514"/>
            </w:tabs>
            <w:rPr>
              <w:rStyle w:val="Hipervnculo"/>
              <w:rFonts w:ascii="Nunito Sans" w:hAnsi="Nunito Sans"/>
              <w:sz w:val="20"/>
              <w:szCs w:val="20"/>
              <w:shd w:val="clear" w:color="auto" w:fill="FFFFFF"/>
            </w:rPr>
          </w:pPr>
          <w:hyperlink w:history="1" w:anchor="_Toc220664240">
            <w:r w:rsidRPr="005D5A52">
              <w:rPr>
                <w:rStyle w:val="Hipervnculo"/>
                <w:rFonts w:ascii="Nunito Sans" w:hAnsi="Nunito Sans"/>
                <w:noProof/>
                <w:sz w:val="20"/>
                <w:szCs w:val="20"/>
                <w:shd w:val="clear" w:color="auto" w:fill="FFFFFF"/>
              </w:rPr>
              <w:t>Tabla 69: Ficha de Proyecto ID P-SEC 006</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_Toc220664240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127</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1DE001F1" w14:textId="663C4E1F">
          <w:pPr>
            <w:pStyle w:val="Tabladeilustraciones"/>
            <w:tabs>
              <w:tab w:val="right" w:leader="dot" w:pos="9514"/>
            </w:tabs>
            <w:rPr>
              <w:rStyle w:val="Hipervnculo"/>
              <w:rFonts w:ascii="Nunito Sans" w:hAnsi="Nunito Sans"/>
              <w:sz w:val="20"/>
              <w:szCs w:val="20"/>
              <w:shd w:val="clear" w:color="auto" w:fill="FFFFFF"/>
            </w:rPr>
          </w:pPr>
          <w:hyperlink w:history="1" w:anchor="_Toc220664241">
            <w:r w:rsidRPr="005D5A52">
              <w:rPr>
                <w:rStyle w:val="Hipervnculo"/>
                <w:rFonts w:ascii="Nunito Sans" w:hAnsi="Nunito Sans"/>
                <w:noProof/>
                <w:sz w:val="20"/>
                <w:szCs w:val="20"/>
                <w:shd w:val="clear" w:color="auto" w:fill="FFFFFF"/>
              </w:rPr>
              <w:t>Tabla 70: Ficha de Proyecto ID P-SEC 007</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_Toc220664241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128</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35B7464E" w14:textId="07126E2A">
          <w:pPr>
            <w:pStyle w:val="Tabladeilustraciones"/>
            <w:tabs>
              <w:tab w:val="right" w:leader="dot" w:pos="9514"/>
            </w:tabs>
            <w:rPr>
              <w:rStyle w:val="Hipervnculo"/>
              <w:rFonts w:ascii="Nunito Sans" w:hAnsi="Nunito Sans"/>
              <w:sz w:val="20"/>
              <w:szCs w:val="20"/>
              <w:shd w:val="clear" w:color="auto" w:fill="FFFFFF"/>
            </w:rPr>
          </w:pPr>
          <w:hyperlink w:history="1" w:anchor="_Toc220664242">
            <w:r w:rsidRPr="005D5A52">
              <w:rPr>
                <w:rStyle w:val="Hipervnculo"/>
                <w:rFonts w:ascii="Nunito Sans" w:hAnsi="Nunito Sans"/>
                <w:noProof/>
                <w:sz w:val="20"/>
                <w:szCs w:val="20"/>
                <w:shd w:val="clear" w:color="auto" w:fill="FFFFFF"/>
              </w:rPr>
              <w:t>Tabla 71: Ficha de Proyecto ID P-SEC 008</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_Toc220664242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129</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5310EA50" w14:textId="7BD0D4B8">
          <w:pPr>
            <w:pStyle w:val="Tabladeilustraciones"/>
            <w:tabs>
              <w:tab w:val="right" w:leader="dot" w:pos="9514"/>
            </w:tabs>
            <w:rPr>
              <w:rStyle w:val="Hipervnculo"/>
              <w:rFonts w:ascii="Nunito Sans" w:hAnsi="Nunito Sans"/>
              <w:sz w:val="20"/>
              <w:szCs w:val="20"/>
              <w:shd w:val="clear" w:color="auto" w:fill="FFFFFF"/>
            </w:rPr>
          </w:pPr>
          <w:hyperlink w:history="1" w:anchor="_Toc220664243">
            <w:r w:rsidRPr="005D5A52">
              <w:rPr>
                <w:rStyle w:val="Hipervnculo"/>
                <w:rFonts w:ascii="Nunito Sans" w:hAnsi="Nunito Sans"/>
                <w:noProof/>
                <w:sz w:val="20"/>
                <w:szCs w:val="20"/>
                <w:shd w:val="clear" w:color="auto" w:fill="FFFFFF"/>
              </w:rPr>
              <w:t>Tabla 72: Ficha de Proyecto ID P-SEC 009</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_Toc220664243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AF9DFF2" w14:textId="0B9775E0">
          <w:pPr>
            <w:pStyle w:val="Tabladeilustraciones"/>
            <w:tabs>
              <w:tab w:val="right" w:leader="dot" w:pos="9514"/>
            </w:tabs>
            <w:rPr>
              <w:rStyle w:val="Hipervnculo"/>
              <w:rFonts w:ascii="Nunito Sans" w:hAnsi="Nunito Sans"/>
              <w:sz w:val="20"/>
              <w:szCs w:val="20"/>
              <w:shd w:val="clear" w:color="auto" w:fill="FFFFFF"/>
            </w:rPr>
          </w:pPr>
          <w:hyperlink w:history="1" w:anchor="_Toc220664244">
            <w:r w:rsidRPr="005D5A52">
              <w:rPr>
                <w:rStyle w:val="Hipervnculo"/>
                <w:rFonts w:ascii="Nunito Sans" w:hAnsi="Nunito Sans"/>
                <w:noProof/>
                <w:sz w:val="20"/>
                <w:szCs w:val="20"/>
                <w:shd w:val="clear" w:color="auto" w:fill="FFFFFF"/>
              </w:rPr>
              <w:t>Tabla 73: Ficha de Proyecto ID P-SEC 010</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_Toc220664244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130</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6F111B6E" w14:textId="0F0CB19F">
          <w:pPr>
            <w:pStyle w:val="Tabladeilustraciones"/>
            <w:tabs>
              <w:tab w:val="right" w:leader="dot" w:pos="9514"/>
            </w:tabs>
            <w:rPr>
              <w:rStyle w:val="Hipervnculo"/>
              <w:rFonts w:ascii="Nunito Sans" w:hAnsi="Nunito Sans"/>
              <w:sz w:val="20"/>
              <w:szCs w:val="20"/>
              <w:shd w:val="clear" w:color="auto" w:fill="FFFFFF"/>
            </w:rPr>
          </w:pPr>
          <w:hyperlink w:history="1" w:anchor="_Toc220664245">
            <w:r w:rsidRPr="005D5A52">
              <w:rPr>
                <w:rStyle w:val="Hipervnculo"/>
                <w:rFonts w:ascii="Nunito Sans" w:hAnsi="Nunito Sans"/>
                <w:noProof/>
                <w:sz w:val="20"/>
                <w:szCs w:val="20"/>
                <w:shd w:val="clear" w:color="auto" w:fill="FFFFFF"/>
              </w:rPr>
              <w:t>Tabla 74: Ficha de Proyecto ID P-SEC 011</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_Toc220664245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7E5646F7" w14:textId="22A152FB">
          <w:pPr>
            <w:pStyle w:val="Tabladeilustraciones"/>
            <w:tabs>
              <w:tab w:val="right" w:leader="dot" w:pos="9514"/>
            </w:tabs>
            <w:rPr>
              <w:rStyle w:val="Hipervnculo"/>
              <w:rFonts w:ascii="Nunito Sans" w:hAnsi="Nunito Sans"/>
              <w:sz w:val="20"/>
              <w:szCs w:val="20"/>
              <w:shd w:val="clear" w:color="auto" w:fill="FFFFFF"/>
            </w:rPr>
          </w:pPr>
          <w:hyperlink w:history="1" w:anchor="_Toc220664246">
            <w:r w:rsidRPr="005D5A52">
              <w:rPr>
                <w:rStyle w:val="Hipervnculo"/>
                <w:rFonts w:ascii="Nunito Sans" w:hAnsi="Nunito Sans"/>
                <w:noProof/>
                <w:sz w:val="20"/>
                <w:szCs w:val="20"/>
                <w:shd w:val="clear" w:color="auto" w:fill="FFFFFF"/>
              </w:rPr>
              <w:t>Tabla 75: Ficha de Proyecto ID P-SEC 012</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_Toc220664246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131</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4EED633F" w14:textId="6E358368">
          <w:pPr>
            <w:pStyle w:val="Tabladeilustraciones"/>
            <w:tabs>
              <w:tab w:val="right" w:leader="dot" w:pos="9514"/>
            </w:tabs>
            <w:rPr>
              <w:rStyle w:val="Hipervnculo"/>
              <w:rFonts w:ascii="Nunito Sans" w:hAnsi="Nunito Sans"/>
              <w:sz w:val="20"/>
              <w:szCs w:val="20"/>
              <w:shd w:val="clear" w:color="auto" w:fill="FFFFFF"/>
            </w:rPr>
          </w:pPr>
          <w:hyperlink w:history="1" w:anchor="_Toc220664247">
            <w:r w:rsidRPr="005D5A52">
              <w:rPr>
                <w:rStyle w:val="Hipervnculo"/>
                <w:rFonts w:ascii="Nunito Sans" w:hAnsi="Nunito Sans"/>
                <w:noProof/>
                <w:sz w:val="20"/>
                <w:szCs w:val="20"/>
                <w:shd w:val="clear" w:color="auto" w:fill="FFFFFF"/>
              </w:rPr>
              <w:t>Tabla 76: Tablero de Control del Plan Estratégico de Tecnologías de la Información sectorial</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_Toc220664247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133</w:t>
            </w:r>
            <w:r w:rsidRPr="005D5A52">
              <w:rPr>
                <w:rStyle w:val="Hipervnculo"/>
                <w:rFonts w:ascii="Nunito Sans" w:hAnsi="Nunito Sans"/>
                <w:webHidden/>
                <w:sz w:val="20"/>
                <w:szCs w:val="20"/>
                <w:shd w:val="clear" w:color="auto" w:fill="FFFFFF"/>
              </w:rPr>
              <w:fldChar w:fldCharType="end"/>
            </w:r>
          </w:hyperlink>
        </w:p>
        <w:p w:rsidRPr="005D5A52" w:rsidR="005D5A52" w:rsidRDefault="005D5A52" w14:paraId="040548EC" w14:textId="777967CB">
          <w:pPr>
            <w:pStyle w:val="Tabladeilustraciones"/>
            <w:tabs>
              <w:tab w:val="right" w:leader="dot" w:pos="9514"/>
            </w:tabs>
            <w:rPr>
              <w:rStyle w:val="Hipervnculo"/>
              <w:rFonts w:ascii="Nunito Sans" w:hAnsi="Nunito Sans"/>
              <w:sz w:val="20"/>
              <w:szCs w:val="20"/>
              <w:shd w:val="clear" w:color="auto" w:fill="FFFFFF"/>
            </w:rPr>
          </w:pPr>
          <w:hyperlink w:history="1" w:anchor="_Toc220664248">
            <w:r w:rsidRPr="005D5A52">
              <w:rPr>
                <w:rStyle w:val="Hipervnculo"/>
                <w:rFonts w:ascii="Nunito Sans" w:hAnsi="Nunito Sans"/>
                <w:noProof/>
                <w:sz w:val="20"/>
                <w:szCs w:val="20"/>
                <w:shd w:val="clear" w:color="auto" w:fill="FFFFFF"/>
              </w:rPr>
              <w:t>Tabla 77: Esquema Ejecutivo del Plan de Comunicación</w:t>
            </w:r>
            <w:r w:rsidRPr="005D5A52">
              <w:rPr>
                <w:rStyle w:val="Hipervnculo"/>
                <w:rFonts w:ascii="Nunito Sans" w:hAnsi="Nunito Sans"/>
                <w:webHidden/>
                <w:sz w:val="20"/>
                <w:szCs w:val="20"/>
                <w:shd w:val="clear" w:color="auto" w:fill="FFFFFF"/>
              </w:rPr>
              <w:tab/>
            </w:r>
            <w:r w:rsidRPr="005D5A52">
              <w:rPr>
                <w:rStyle w:val="Hipervnculo"/>
                <w:rFonts w:ascii="Nunito Sans" w:hAnsi="Nunito Sans"/>
                <w:webHidden/>
                <w:sz w:val="20"/>
                <w:szCs w:val="20"/>
                <w:shd w:val="clear" w:color="auto" w:fill="FFFFFF"/>
              </w:rPr>
              <w:fldChar w:fldCharType="begin"/>
            </w:r>
            <w:r w:rsidRPr="005D5A52">
              <w:rPr>
                <w:rStyle w:val="Hipervnculo"/>
                <w:rFonts w:ascii="Nunito Sans" w:hAnsi="Nunito Sans"/>
                <w:webHidden/>
                <w:sz w:val="20"/>
                <w:szCs w:val="20"/>
                <w:shd w:val="clear" w:color="auto" w:fill="FFFFFF"/>
              </w:rPr>
              <w:instrText xml:space="preserve"> PAGEREF _Toc220664248 \h </w:instrText>
            </w:r>
            <w:r w:rsidRPr="005D5A52">
              <w:rPr>
                <w:rStyle w:val="Hipervnculo"/>
                <w:rFonts w:ascii="Nunito Sans" w:hAnsi="Nunito Sans"/>
                <w:webHidden/>
                <w:sz w:val="20"/>
                <w:szCs w:val="20"/>
                <w:shd w:val="clear" w:color="auto" w:fill="FFFFFF"/>
              </w:rPr>
            </w:r>
            <w:r w:rsidRPr="005D5A52">
              <w:rPr>
                <w:rStyle w:val="Hipervnculo"/>
                <w:rFonts w:ascii="Nunito Sans" w:hAnsi="Nunito Sans"/>
                <w:webHidden/>
                <w:sz w:val="20"/>
                <w:szCs w:val="20"/>
                <w:shd w:val="clear" w:color="auto" w:fill="FFFFFF"/>
              </w:rPr>
              <w:fldChar w:fldCharType="separate"/>
            </w:r>
            <w:r w:rsidR="00C57F7B">
              <w:rPr>
                <w:rStyle w:val="Hipervnculo"/>
                <w:rFonts w:ascii="Nunito Sans" w:hAnsi="Nunito Sans"/>
                <w:noProof/>
                <w:webHidden/>
                <w:sz w:val="20"/>
                <w:szCs w:val="20"/>
                <w:shd w:val="clear" w:color="auto" w:fill="FFFFFF"/>
              </w:rPr>
              <w:t>136</w:t>
            </w:r>
            <w:r w:rsidRPr="005D5A52">
              <w:rPr>
                <w:rStyle w:val="Hipervnculo"/>
                <w:rFonts w:ascii="Nunito Sans" w:hAnsi="Nunito Sans"/>
                <w:webHidden/>
                <w:sz w:val="20"/>
                <w:szCs w:val="20"/>
                <w:shd w:val="clear" w:color="auto" w:fill="FFFFFF"/>
              </w:rPr>
              <w:fldChar w:fldCharType="end"/>
            </w:r>
          </w:hyperlink>
        </w:p>
        <w:p w:rsidRPr="00C017BD" w:rsidR="00C04A2C" w:rsidP="0008138D" w:rsidRDefault="00C04A2C" w14:paraId="5E5A53BD" w14:textId="59CB41D3">
          <w:pPr>
            <w:pStyle w:val="Tabladeilustraciones"/>
            <w:tabs>
              <w:tab w:val="right" w:leader="dot" w:pos="9350"/>
            </w:tabs>
            <w:rPr>
              <w:rStyle w:val="Hipervnculo"/>
              <w:noProof/>
              <w:shd w:val="clear" w:color="auto" w:fill="FFFFFF"/>
            </w:rPr>
          </w:pPr>
          <w:r w:rsidRPr="00C017BD">
            <w:rPr>
              <w:rStyle w:val="Hipervnculo"/>
              <w:rFonts w:ascii="Nunito Sans" w:hAnsi="Nunito Sans"/>
              <w:noProof/>
              <w:sz w:val="20"/>
              <w:szCs w:val="20"/>
              <w:shd w:val="clear" w:color="auto" w:fill="FFFFFF"/>
            </w:rPr>
            <w:fldChar w:fldCharType="end"/>
          </w:r>
        </w:p>
        <w:p w:rsidRPr="00C017BD" w:rsidR="005E3BD6" w:rsidP="00C017BD" w:rsidRDefault="005E3BD6" w14:paraId="66809018" w14:textId="77777777">
          <w:pPr>
            <w:pStyle w:val="Tabladeilustraciones"/>
            <w:tabs>
              <w:tab w:val="right" w:leader="dot" w:pos="9350"/>
            </w:tabs>
            <w:rPr>
              <w:rStyle w:val="Hipervnculo"/>
              <w:rFonts w:ascii="Nunito Sans" w:hAnsi="Nunito Sans"/>
              <w:noProof/>
              <w:sz w:val="20"/>
              <w:szCs w:val="20"/>
              <w:shd w:val="clear" w:color="auto" w:fill="FFFFFF"/>
            </w:rPr>
          </w:pPr>
          <w:r w:rsidRPr="00C017BD">
            <w:rPr>
              <w:rStyle w:val="Hipervnculo"/>
              <w:rFonts w:ascii="Nunito Sans" w:hAnsi="Nunito Sans"/>
              <w:noProof/>
              <w:sz w:val="20"/>
              <w:szCs w:val="20"/>
              <w:shd w:val="clear" w:color="auto" w:fill="FFFFFF"/>
            </w:rPr>
            <w:br w:type="page"/>
          </w:r>
        </w:p>
        <w:p w:rsidRPr="00DE22CA" w:rsidR="005E3BD6" w:rsidRDefault="00265D18" w14:paraId="6D24C3C1" w14:textId="52EBF7DE">
          <w:pPr>
            <w:pStyle w:val="Ttulo1"/>
            <w:numPr>
              <w:ilvl w:val="0"/>
              <w:numId w:val="20"/>
            </w:numPr>
            <w:jc w:val="center"/>
            <w:rPr>
              <w:i/>
              <w:iCs w:val="0"/>
              <w:szCs w:val="40"/>
            </w:rPr>
          </w:pPr>
          <w:r w:rsidRPr="00DE22CA">
            <w:rPr>
              <w:iCs w:val="0"/>
              <w:szCs w:val="40"/>
            </w:rPr>
            <w:lastRenderedPageBreak/>
            <w:t xml:space="preserve"> </w:t>
          </w:r>
          <w:bookmarkStart w:name="_Toc234234434" w:id="6"/>
          <w:r w:rsidRPr="00DE22CA" w:rsidR="00530E3C">
            <w:rPr>
              <w:iCs w:val="0"/>
              <w:szCs w:val="40"/>
            </w:rPr>
            <w:t>INTRODUCCIÓN</w:t>
          </w:r>
          <w:bookmarkEnd w:id="6"/>
        </w:p>
        <w:p w:rsidRPr="00DC0068" w:rsidR="00DC0068" w:rsidP="00DC0068" w:rsidRDefault="00DC0068" w14:paraId="7208637C" w14:textId="77777777"/>
        <w:p w:rsidRPr="004D5614" w:rsidR="005E3BD6" w:rsidP="004D5614" w:rsidRDefault="005E3BD6" w14:paraId="036C808E" w14:textId="44B26AF3">
          <w:pPr>
            <w:spacing w:after="160" w:line="276" w:lineRule="auto"/>
            <w:jc w:val="both"/>
            <w:rPr>
              <w:rFonts w:ascii="Nunito Sans" w:hAnsi="Nunito Sans" w:eastAsiaTheme="minorHAnsi" w:cstheme="minorBidi"/>
              <w:sz w:val="22"/>
              <w:szCs w:val="22"/>
              <w:lang w:eastAsia="en-US"/>
            </w:rPr>
          </w:pPr>
          <w:r w:rsidRPr="004D5614">
            <w:rPr>
              <w:rFonts w:ascii="Nunito Sans" w:hAnsi="Nunito Sans" w:eastAsiaTheme="minorHAnsi" w:cstheme="minorBidi"/>
              <w:sz w:val="22"/>
              <w:szCs w:val="22"/>
              <w:lang w:eastAsia="en-US"/>
            </w:rPr>
            <w:t>Considerando el rol estratégico que desempeña el sector minero-energético en el desarrollo económico, social y ambiental del país, las entidades que lo conforman trabajan de manera permanente en el fortalecimiento de sus capacidades institucionales y en el aprovechamiento efectivo de la tecnología como una herramienta clave para enfrentar los retos actuales, mejorar la articulación interinstitucional y dar mejores respuestas a las necesidades de la ciudadanía y grupos de interés.</w:t>
          </w:r>
        </w:p>
        <w:p w:rsidRPr="004D5614" w:rsidR="005E3BD6" w:rsidP="004D5614" w:rsidRDefault="005E3BD6" w14:paraId="4D98F821" w14:textId="0FF7B4DC">
          <w:pPr>
            <w:spacing w:after="160" w:line="276" w:lineRule="auto"/>
            <w:jc w:val="both"/>
            <w:rPr>
              <w:rFonts w:ascii="Nunito Sans" w:hAnsi="Nunito Sans" w:eastAsiaTheme="minorHAnsi" w:cstheme="minorBidi"/>
              <w:sz w:val="22"/>
              <w:szCs w:val="22"/>
              <w:lang w:eastAsia="en-US"/>
            </w:rPr>
          </w:pPr>
          <w:r w:rsidRPr="2FC2A464">
            <w:rPr>
              <w:rFonts w:ascii="Nunito Sans" w:hAnsi="Nunito Sans" w:eastAsiaTheme="minorEastAsia" w:cstheme="minorBidi"/>
              <w:sz w:val="22"/>
              <w:szCs w:val="22"/>
              <w:lang w:eastAsia="en-US"/>
            </w:rPr>
            <w:t>El sector atraviesa nuevos retos y transformaciones impulsadas por los avances tecnológicos que exigen soluciones más integrales, ágiles y eficientes. Por ello, resulta necesario contar con un instrumento de planificación que sirva como hoja de ruta para orientar el trabajo de manera coordinada y que, además, marque el punto de partida del proceso de Transformación Digital (TD) e implementación de Tecnologías Emergentes del Sector Minero-Energético.</w:t>
          </w:r>
        </w:p>
        <w:p w:rsidR="08735524" w:rsidP="2FC2A464" w:rsidRDefault="08735524" w14:paraId="152D6FDB" w14:textId="3890674E">
          <w:pPr>
            <w:spacing w:after="160" w:line="276" w:lineRule="auto"/>
            <w:jc w:val="both"/>
          </w:pPr>
          <w:r w:rsidRPr="2FC2A464">
            <w:rPr>
              <w:rFonts w:ascii="Nunito Sans" w:hAnsi="Nunito Sans" w:eastAsia="Nunito Sans" w:cs="Nunito Sans"/>
              <w:sz w:val="22"/>
              <w:szCs w:val="22"/>
            </w:rPr>
            <w:t>En este contexto, el Comité Interinstitucional de Tecnologías de Información y Comunicaciones del Sector Minero Energético, creado mediante la Resolución 40199 de 2023, formuló el Plan Estratégico Sectorial de Tecnologías de la Información (PETI) 2025–2030, dando cumplimiento a su función de coordinar el desarrollo del plan sectorial. Dicho documento fue presentado ante la Comisión Estratégica de TI y de Datos del Sector Minero Energético, como instancia encargada de revisar su coherencia y alineación con los lineamientos establecidos en la Política de Gobierno Digital.</w:t>
          </w:r>
        </w:p>
        <w:p w:rsidRPr="004D5614" w:rsidR="005E3BD6" w:rsidP="004D5614" w:rsidRDefault="005E3BD6" w14:paraId="048C029D" w14:textId="77777777">
          <w:pPr>
            <w:spacing w:after="160" w:line="276" w:lineRule="auto"/>
            <w:jc w:val="both"/>
            <w:rPr>
              <w:rFonts w:ascii="Nunito Sans" w:hAnsi="Nunito Sans" w:eastAsiaTheme="minorHAnsi" w:cstheme="minorBidi"/>
              <w:sz w:val="22"/>
              <w:szCs w:val="22"/>
              <w:lang w:eastAsia="en-US"/>
            </w:rPr>
          </w:pPr>
          <w:r w:rsidRPr="004D5614">
            <w:rPr>
              <w:rFonts w:ascii="Nunito Sans" w:hAnsi="Nunito Sans" w:eastAsiaTheme="minorHAnsi" w:cstheme="minorBidi"/>
              <w:sz w:val="22"/>
              <w:szCs w:val="22"/>
              <w:lang w:eastAsia="en-US"/>
            </w:rPr>
            <w:t xml:space="preserve">El PETI sectorial constituye el instrumento de planeación que define la estrategia de Tecnologías de la Información del sector. En él se Integran los principios orientadores, objetivos estratégicos, indicadores de seguimiento, hoja de ruta tecnológica, mecanismos de comunicación, así como los aspectos operativos, financieros y de gestión de riesgos necesarios para su implementación y sostenibilidad. </w:t>
          </w:r>
          <w:r w:rsidRPr="004D5614">
            <w:rPr>
              <w:rFonts w:ascii="Nunito Sans" w:hAnsi="Nunito Sans" w:eastAsiaTheme="minorHAnsi" w:cstheme="minorBidi"/>
              <w:sz w:val="22"/>
              <w:szCs w:val="22"/>
              <w:lang w:eastAsia="en-US"/>
            </w:rPr>
            <w:tab/>
          </w:r>
        </w:p>
        <w:p w:rsidR="008115B5" w:rsidP="008115B5" w:rsidRDefault="005E3BD6" w14:paraId="7C99A7D8" w14:textId="77777777">
          <w:pPr>
            <w:spacing w:after="160" w:line="276" w:lineRule="auto"/>
            <w:jc w:val="both"/>
            <w:rPr>
              <w:rFonts w:ascii="Nunito Sans" w:hAnsi="Nunito Sans" w:eastAsiaTheme="minorHAnsi" w:cstheme="minorBidi"/>
              <w:sz w:val="22"/>
              <w:szCs w:val="22"/>
              <w:lang w:eastAsia="en-US"/>
            </w:rPr>
          </w:pPr>
          <w:r w:rsidRPr="004D5614">
            <w:rPr>
              <w:rFonts w:ascii="Nunito Sans" w:hAnsi="Nunito Sans" w:eastAsiaTheme="minorHAnsi" w:cstheme="minorBidi"/>
              <w:sz w:val="22"/>
              <w:szCs w:val="22"/>
              <w:lang w:eastAsia="en-US"/>
            </w:rPr>
            <w:t>Este plan sectorial consolida los proyectos e iniciativas tecnológicas que respaldan las funciones del sector y fortalecen la capacidad institucional de cada una de sus entidades. Por esta razón, todo ejercicio de Arquitectura Empresarial desarrollado por las entidades del sector deberá estar articulado con este instrumento, garantizando su coherencia con los lineamientos de la política de Gobierno Digital, el Plan Nacional de Desarrollo, el Plan Estratégico Institucional (PEI), y los compromisos establecidos en materia de transformación digital.</w:t>
          </w:r>
        </w:p>
        <w:p w:rsidRPr="008115B5" w:rsidR="005E3BD6" w:rsidP="008115B5" w:rsidRDefault="005E3BD6" w14:paraId="055A9CA2" w14:textId="11296879">
          <w:pPr>
            <w:spacing w:after="160" w:line="276" w:lineRule="auto"/>
            <w:jc w:val="both"/>
            <w:rPr>
              <w:rFonts w:ascii="Nunito Sans" w:hAnsi="Nunito Sans" w:eastAsiaTheme="minorHAnsi" w:cstheme="minorBidi"/>
              <w:sz w:val="22"/>
              <w:szCs w:val="22"/>
              <w:lang w:eastAsia="en-US"/>
            </w:rPr>
          </w:pPr>
          <w:r w:rsidRPr="004D5614">
            <w:rPr>
              <w:rFonts w:ascii="Nunito Sans" w:hAnsi="Nunito Sans" w:eastAsiaTheme="minorHAnsi" w:cstheme="minorBidi"/>
              <w:sz w:val="22"/>
              <w:szCs w:val="22"/>
              <w:lang w:eastAsia="en-US"/>
            </w:rPr>
            <w:t xml:space="preserve"> </w:t>
          </w:r>
        </w:p>
        <w:p w:rsidRPr="00DE22CA" w:rsidR="005E3BD6" w:rsidRDefault="00265D18" w14:paraId="0037A788" w14:textId="4F97E498">
          <w:pPr>
            <w:pStyle w:val="Ttulo1"/>
            <w:numPr>
              <w:ilvl w:val="0"/>
              <w:numId w:val="20"/>
            </w:numPr>
            <w:jc w:val="center"/>
            <w:rPr>
              <w:i/>
              <w:iCs w:val="0"/>
              <w:szCs w:val="40"/>
              <w:lang w:val="es-ES"/>
            </w:rPr>
          </w:pPr>
          <w:bookmarkStart w:name="_Toc718737846" w:id="7"/>
          <w:r w:rsidRPr="00DE22CA">
            <w:rPr>
              <w:iCs w:val="0"/>
              <w:szCs w:val="40"/>
              <w:lang w:val="es-ES"/>
            </w:rPr>
            <w:lastRenderedPageBreak/>
            <w:t xml:space="preserve"> </w:t>
          </w:r>
          <w:bookmarkStart w:name="_Toc234234435" w:id="8"/>
          <w:r w:rsidRPr="00DE22CA" w:rsidR="00A115CF">
            <w:rPr>
              <w:iCs w:val="0"/>
              <w:szCs w:val="40"/>
              <w:lang w:val="es-ES"/>
            </w:rPr>
            <w:t>ALCANC</w:t>
          </w:r>
          <w:bookmarkEnd w:id="7"/>
          <w:r w:rsidR="008115B5">
            <w:rPr>
              <w:iCs w:val="0"/>
              <w:szCs w:val="40"/>
              <w:lang w:val="es-ES"/>
            </w:rPr>
            <w:t>E</w:t>
          </w:r>
          <w:bookmarkEnd w:id="8"/>
        </w:p>
        <w:p w:rsidRPr="00A115CF" w:rsidR="00A115CF" w:rsidP="00A115CF" w:rsidRDefault="00A115CF" w14:paraId="73EB25D3" w14:textId="77777777">
          <w:pPr>
            <w:rPr>
              <w:lang w:val="es-ES"/>
            </w:rPr>
          </w:pPr>
        </w:p>
        <w:p w:rsidRPr="00C278AB" w:rsidR="00195BCA" w:rsidP="00F0646E" w:rsidRDefault="6737DD5F" w14:paraId="1ACD15BF" w14:textId="0C804A11">
          <w:pPr>
            <w:pStyle w:val="TtuloTDC"/>
            <w:spacing w:before="0" w:after="240" w:line="240" w:lineRule="auto"/>
            <w:jc w:val="both"/>
            <w:outlineLvl w:val="9"/>
            <w:rPr>
              <w:rFonts w:eastAsia="Times New Roman" w:cs="Calibri"/>
              <w:b w:val="0"/>
              <w:bCs w:val="0"/>
              <w:color w:val="auto"/>
              <w:sz w:val="22"/>
              <w:szCs w:val="22"/>
              <w:lang w:val="es-CO"/>
            </w:rPr>
          </w:pPr>
          <w:r w:rsidRPr="4E60D266">
            <w:rPr>
              <w:rFonts w:eastAsia="Times New Roman" w:cs="Calibri"/>
              <w:b w:val="0"/>
              <w:bCs w:val="0"/>
              <w:color w:val="auto"/>
              <w:sz w:val="22"/>
              <w:szCs w:val="22"/>
              <w:lang w:val="es-CO"/>
            </w:rPr>
            <w:t>El alcance de este PETI del sector minero-energético para el periodo 2025–2030 comprende al Ministerio de Minas y Energía y a sus seis entidades adscritas, de conformidad con el Título 1 del Decreto 1073 de 2015:</w:t>
          </w:r>
        </w:p>
        <w:p w:rsidRPr="00C278AB" w:rsidR="002F6479" w:rsidRDefault="26BA8B1F" w14:paraId="3BCE4CA2" w14:textId="1C588297">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Ministerio de Minas y Energía – MME </w:t>
          </w:r>
          <w:r w:rsidRPr="4E60D266">
            <w:rPr>
              <w:rFonts w:ascii="Nunito Sans" w:hAnsi="Nunito Sans" w:cs="Calibri"/>
              <w:b/>
              <w:bCs/>
              <w:i/>
              <w:iCs/>
              <w:sz w:val="22"/>
              <w:szCs w:val="22"/>
            </w:rPr>
            <w:t>(Entidad cabeza de sector)</w:t>
          </w:r>
        </w:p>
        <w:p w:rsidRPr="00C278AB" w:rsidR="002F6479" w:rsidRDefault="26BA8B1F" w14:paraId="745EBAD1" w14:textId="07C58D6B">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Agencia Nacional de Hidrocarburos – ANH </w:t>
          </w:r>
          <w:r w:rsidRPr="4E60D266">
            <w:rPr>
              <w:rFonts w:ascii="Nunito Sans" w:hAnsi="Nunito Sans" w:cs="Calibri"/>
              <w:b/>
              <w:bCs/>
              <w:i/>
              <w:iCs/>
              <w:sz w:val="22"/>
              <w:szCs w:val="22"/>
            </w:rPr>
            <w:t>(Entidad adscrita)</w:t>
          </w:r>
        </w:p>
        <w:p w:rsidRPr="00C278AB" w:rsidR="002F6479" w:rsidRDefault="26BA8B1F" w14:paraId="7131C734" w14:textId="5D9079B1">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Agencia Nacional de Minería – ANM </w:t>
          </w:r>
          <w:r w:rsidRPr="4E60D266">
            <w:rPr>
              <w:rFonts w:ascii="Nunito Sans" w:hAnsi="Nunito Sans" w:cs="Calibri"/>
              <w:b/>
              <w:bCs/>
              <w:i/>
              <w:iCs/>
              <w:sz w:val="22"/>
              <w:szCs w:val="22"/>
            </w:rPr>
            <w:t>(Entidad adscrita)</w:t>
          </w:r>
        </w:p>
        <w:p w:rsidRPr="00C278AB" w:rsidR="002F6479" w:rsidRDefault="26BA8B1F" w14:paraId="1DB409A8" w14:textId="1FCFC5C8">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Comisión de Regulación de Energía y Gas – CREG </w:t>
          </w:r>
          <w:r w:rsidRPr="4E60D266">
            <w:rPr>
              <w:rFonts w:ascii="Nunito Sans" w:hAnsi="Nunito Sans" w:cs="Calibri"/>
              <w:b/>
              <w:bCs/>
              <w:i/>
              <w:iCs/>
              <w:sz w:val="22"/>
              <w:szCs w:val="22"/>
            </w:rPr>
            <w:t>(Entidad adscrita)</w:t>
          </w:r>
        </w:p>
        <w:p w:rsidRPr="00C278AB" w:rsidR="002F6479" w:rsidRDefault="26BA8B1F" w14:paraId="1EE33DF0" w14:textId="0C504BBE">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Instituto de Planificación y Promoción de Soluciones Energéticas para las Zonas No Interconectadas – IPSE </w:t>
          </w:r>
          <w:r w:rsidRPr="4E60D266">
            <w:rPr>
              <w:rFonts w:ascii="Nunito Sans" w:hAnsi="Nunito Sans" w:cs="Calibri"/>
              <w:b/>
              <w:bCs/>
              <w:i/>
              <w:iCs/>
              <w:sz w:val="22"/>
              <w:szCs w:val="22"/>
            </w:rPr>
            <w:t>(Entidad adscrita)</w:t>
          </w:r>
        </w:p>
        <w:p w:rsidRPr="00C278AB" w:rsidR="002F6479" w:rsidRDefault="26BA8B1F" w14:paraId="06863B03" w14:textId="77777777">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Servicio Geológico Colombiano – SGC </w:t>
          </w:r>
          <w:r w:rsidRPr="4E60D266">
            <w:rPr>
              <w:rFonts w:ascii="Nunito Sans" w:hAnsi="Nunito Sans" w:cs="Calibri"/>
              <w:b/>
              <w:bCs/>
              <w:i/>
              <w:iCs/>
              <w:sz w:val="22"/>
              <w:szCs w:val="22"/>
            </w:rPr>
            <w:t>(Entidad adscrita)</w:t>
          </w:r>
        </w:p>
        <w:p w:rsidRPr="00EE66F3" w:rsidR="00864240" w:rsidRDefault="26BA8B1F" w14:paraId="2EAD9FE5" w14:textId="3ECC4CAB">
          <w:pPr>
            <w:pStyle w:val="Prrafodelista"/>
            <w:numPr>
              <w:ilvl w:val="0"/>
              <w:numId w:val="33"/>
            </w:numPr>
            <w:spacing w:line="360" w:lineRule="auto"/>
            <w:jc w:val="both"/>
            <w:rPr>
              <w:rFonts w:ascii="Nunito Sans" w:hAnsi="Nunito Sans" w:cs="Calibri"/>
              <w:b/>
              <w:bCs/>
              <w:sz w:val="22"/>
              <w:szCs w:val="22"/>
            </w:rPr>
          </w:pPr>
          <w:r w:rsidRPr="4E60D266">
            <w:rPr>
              <w:rFonts w:ascii="Nunito Sans" w:hAnsi="Nunito Sans" w:cs="Calibri"/>
              <w:b/>
              <w:bCs/>
              <w:sz w:val="22"/>
              <w:szCs w:val="22"/>
            </w:rPr>
            <w:t xml:space="preserve">Unidad de Planeación Minero-Energética – UPME </w:t>
          </w:r>
          <w:r w:rsidRPr="4E60D266">
            <w:rPr>
              <w:rFonts w:ascii="Nunito Sans" w:hAnsi="Nunito Sans" w:cs="Calibri"/>
              <w:b/>
              <w:bCs/>
              <w:i/>
              <w:iCs/>
              <w:sz w:val="22"/>
              <w:szCs w:val="22"/>
            </w:rPr>
            <w:t>(Entidad adscrita)</w:t>
          </w:r>
        </w:p>
        <w:p w:rsidR="00864240" w:rsidP="00F0646E" w:rsidRDefault="59481D64" w14:paraId="68E74A64" w14:textId="375E0E13">
          <w:pPr>
            <w:jc w:val="both"/>
            <w:rPr>
              <w:rFonts w:ascii="Nunito Sans" w:hAnsi="Nunito Sans" w:cs="Calibri"/>
              <w:sz w:val="22"/>
              <w:szCs w:val="22"/>
            </w:rPr>
          </w:pPr>
          <w:r w:rsidRPr="2FC2A464">
            <w:rPr>
              <w:rFonts w:ascii="Nunito Sans" w:hAnsi="Nunito Sans" w:cs="Calibri"/>
              <w:sz w:val="22"/>
              <w:szCs w:val="22"/>
            </w:rPr>
            <w:t>No obstante</w:t>
          </w:r>
          <w:r w:rsidRPr="2FC2A464" w:rsidR="538EF342">
            <w:rPr>
              <w:rFonts w:ascii="Nunito Sans" w:hAnsi="Nunito Sans" w:cs="Calibri"/>
              <w:sz w:val="22"/>
              <w:szCs w:val="22"/>
            </w:rPr>
            <w:t xml:space="preserve">, el alcance del presente plan se extiende al </w:t>
          </w:r>
          <w:r w:rsidRPr="2FC2A464" w:rsidR="538EF342">
            <w:rPr>
              <w:rFonts w:ascii="Nunito Sans" w:hAnsi="Nunito Sans" w:cs="Calibri"/>
              <w:b/>
              <w:bCs/>
              <w:sz w:val="22"/>
              <w:szCs w:val="22"/>
            </w:rPr>
            <w:t>Fondo de Energías No Convencionales y Gestión Eficiente de la Energía (FENOGE)</w:t>
          </w:r>
          <w:r w:rsidRPr="2FC2A464" w:rsidR="538EF342">
            <w:rPr>
              <w:rFonts w:ascii="Nunito Sans" w:hAnsi="Nunito Sans" w:cs="Calibri"/>
              <w:sz w:val="22"/>
              <w:szCs w:val="22"/>
            </w:rPr>
            <w:t xml:space="preserve">. </w:t>
          </w:r>
          <w:r w:rsidRPr="2FC2A464" w:rsidR="681C7B2D">
            <w:rPr>
              <w:rFonts w:ascii="Nunito Sans" w:hAnsi="Nunito Sans" w:cs="Calibri"/>
              <w:sz w:val="22"/>
              <w:szCs w:val="22"/>
            </w:rPr>
            <w:t>Que,</w:t>
          </w:r>
          <w:r w:rsidRPr="2FC2A464" w:rsidR="2A0E0104">
            <w:rPr>
              <w:rFonts w:ascii="Nunito Sans" w:hAnsi="Nunito Sans" w:cs="Calibri"/>
              <w:sz w:val="22"/>
              <w:szCs w:val="22"/>
            </w:rPr>
            <w:t xml:space="preserve"> si</w:t>
          </w:r>
          <w:r w:rsidRPr="2FC2A464" w:rsidR="538EF342">
            <w:rPr>
              <w:rFonts w:ascii="Nunito Sans" w:hAnsi="Nunito Sans" w:cs="Calibri"/>
              <w:sz w:val="22"/>
              <w:szCs w:val="22"/>
            </w:rPr>
            <w:t xml:space="preserve"> bien el FENOGE se constituye como un patrimonio autónomo y no como una entidad adscrita, sus lineamientos, infraestructura y gobernanza de tecnologías de la información </w:t>
          </w:r>
          <w:r w:rsidRPr="2FC2A464" w:rsidR="2DC693B5">
            <w:rPr>
              <w:rFonts w:ascii="Nunito Sans" w:hAnsi="Nunito Sans" w:cs="Calibri"/>
              <w:sz w:val="22"/>
              <w:szCs w:val="22"/>
            </w:rPr>
            <w:t>dependen</w:t>
          </w:r>
          <w:r w:rsidRPr="2FC2A464" w:rsidR="538EF342">
            <w:rPr>
              <w:rFonts w:ascii="Nunito Sans" w:hAnsi="Nunito Sans" w:cs="Calibri"/>
              <w:sz w:val="22"/>
              <w:szCs w:val="22"/>
            </w:rPr>
            <w:t xml:space="preserve"> de manera transversal con la estrategia digital del sector.</w:t>
          </w:r>
        </w:p>
        <w:p w:rsidRPr="00864240" w:rsidR="008115B5" w:rsidP="00860BFB" w:rsidRDefault="008115B5" w14:paraId="2CD6C247" w14:textId="77777777">
          <w:pPr>
            <w:jc w:val="both"/>
            <w:rPr>
              <w:rFonts w:ascii="Nunito Sans" w:hAnsi="Nunito Sans" w:cs="Calibri"/>
              <w:sz w:val="22"/>
              <w:szCs w:val="22"/>
            </w:rPr>
          </w:pPr>
        </w:p>
        <w:p w:rsidRPr="00DE22CA" w:rsidR="005E3BD6" w:rsidRDefault="00265D18" w14:paraId="1672BF03" w14:textId="70E8348E">
          <w:pPr>
            <w:pStyle w:val="Ttulo1"/>
            <w:numPr>
              <w:ilvl w:val="0"/>
              <w:numId w:val="20"/>
            </w:numPr>
            <w:jc w:val="center"/>
            <w:rPr>
              <w:i/>
              <w:iCs w:val="0"/>
              <w:szCs w:val="40"/>
              <w:lang w:val="es-ES"/>
            </w:rPr>
          </w:pPr>
          <w:bookmarkStart w:name="_Toc2077592511" w:id="9"/>
          <w:r w:rsidRPr="00DE22CA">
            <w:rPr>
              <w:iCs w:val="0"/>
              <w:szCs w:val="40"/>
              <w:lang w:val="es-ES"/>
            </w:rPr>
            <w:t xml:space="preserve"> </w:t>
          </w:r>
          <w:bookmarkStart w:name="_Toc234234436" w:id="10"/>
          <w:r w:rsidRPr="00DE22CA" w:rsidR="00923FB4">
            <w:rPr>
              <w:iCs w:val="0"/>
              <w:szCs w:val="40"/>
              <w:lang w:val="es-ES"/>
            </w:rPr>
            <w:t>METODOLOGÍA</w:t>
          </w:r>
          <w:bookmarkEnd w:id="9"/>
          <w:bookmarkEnd w:id="10"/>
        </w:p>
        <w:p w:rsidRPr="00EF13E5" w:rsidR="00EF13E5" w:rsidP="00EF13E5" w:rsidRDefault="00EF13E5" w14:paraId="761E6759" w14:textId="77777777">
          <w:pPr>
            <w:rPr>
              <w:rFonts w:eastAsiaTheme="minorEastAsia"/>
              <w:lang w:val="es-ES"/>
            </w:rPr>
          </w:pPr>
        </w:p>
        <w:p w:rsidRPr="00EF13E5" w:rsidR="005E3BD6" w:rsidP="005E3BD6" w:rsidRDefault="005E3BD6" w14:paraId="4B169807" w14:textId="77777777">
          <w:pPr>
            <w:jc w:val="both"/>
            <w:rPr>
              <w:rFonts w:ascii="Nunito Sans" w:hAnsi="Nunito Sans" w:eastAsiaTheme="minorHAnsi" w:cstheme="minorBidi"/>
              <w:sz w:val="22"/>
              <w:szCs w:val="22"/>
              <w:lang w:eastAsia="en-US"/>
            </w:rPr>
          </w:pPr>
          <w:r w:rsidRPr="00EF13E5">
            <w:rPr>
              <w:rFonts w:ascii="Nunito Sans" w:hAnsi="Nunito Sans" w:eastAsiaTheme="minorHAnsi" w:cstheme="minorBidi"/>
              <w:sz w:val="22"/>
              <w:szCs w:val="22"/>
              <w:lang w:eastAsia="en-US"/>
            </w:rPr>
            <w:t>La formulación del PETI Sectorial se desarrolló en cuatro fases metodológicas que orientaron su construcción:</w:t>
          </w:r>
        </w:p>
        <w:p w:rsidRPr="00EA07CC" w:rsidR="00EA07CC" w:rsidP="00EA07CC" w:rsidRDefault="00EA07CC" w14:paraId="6D5F12BA" w14:textId="000907F4">
          <w:pPr>
            <w:pStyle w:val="Descripcin"/>
            <w:keepNext/>
            <w:jc w:val="center"/>
            <w:rPr>
              <w:rStyle w:val="normaltextrun"/>
              <w:rFonts w:ascii="Nunito Sans" w:hAnsi="Nunito Sans"/>
              <w:b/>
              <w:bCs/>
              <w:color w:val="212745"/>
              <w:shd w:val="clear" w:color="auto" w:fill="FFFFFF"/>
            </w:rPr>
          </w:pPr>
          <w:bookmarkStart w:name="_Toc220664385" w:id="11"/>
          <w:r w:rsidRPr="00EA07CC">
            <w:rPr>
              <w:rStyle w:val="normaltextrun"/>
              <w:rFonts w:ascii="Nunito Sans" w:hAnsi="Nunito Sans"/>
              <w:b/>
              <w:bCs/>
              <w:color w:val="212745"/>
              <w:shd w:val="clear" w:color="auto" w:fill="FFFFFF"/>
            </w:rPr>
            <w:t xml:space="preserve">Ilustración </w:t>
          </w:r>
          <w:r w:rsidRPr="00EA07CC">
            <w:rPr>
              <w:rStyle w:val="normaltextrun"/>
              <w:rFonts w:ascii="Nunito Sans" w:hAnsi="Nunito Sans"/>
              <w:b/>
              <w:bCs/>
              <w:color w:val="212745"/>
              <w:shd w:val="clear" w:color="auto" w:fill="FFFFFF"/>
            </w:rPr>
            <w:fldChar w:fldCharType="begin"/>
          </w:r>
          <w:r w:rsidRPr="00EA07CC">
            <w:rPr>
              <w:rStyle w:val="normaltextrun"/>
              <w:rFonts w:ascii="Nunito Sans" w:hAnsi="Nunito Sans"/>
              <w:b/>
              <w:bCs/>
              <w:color w:val="212745"/>
              <w:shd w:val="clear" w:color="auto" w:fill="FFFFFF"/>
            </w:rPr>
            <w:instrText xml:space="preserve"> SEQ Ilustración \* ARABIC </w:instrText>
          </w:r>
          <w:r w:rsidRPr="00EA07CC">
            <w:rPr>
              <w:rStyle w:val="normaltextrun"/>
              <w:rFonts w:ascii="Nunito Sans" w:hAnsi="Nunito Sans"/>
              <w:b/>
              <w:bCs/>
              <w:color w:val="212745"/>
              <w:shd w:val="clear" w:color="auto" w:fill="FFFFFF"/>
            </w:rPr>
            <w:fldChar w:fldCharType="separate"/>
          </w:r>
          <w:r w:rsidR="00C57F7B">
            <w:rPr>
              <w:rStyle w:val="normaltextrun"/>
              <w:rFonts w:ascii="Nunito Sans" w:hAnsi="Nunito Sans"/>
              <w:b/>
              <w:bCs/>
              <w:noProof/>
              <w:color w:val="212745"/>
              <w:shd w:val="clear" w:color="auto" w:fill="FFFFFF"/>
            </w:rPr>
            <w:t>1</w:t>
          </w:r>
          <w:r w:rsidRPr="00EA07CC">
            <w:rPr>
              <w:rStyle w:val="normaltextrun"/>
              <w:rFonts w:ascii="Nunito Sans" w:hAnsi="Nunito Sans"/>
              <w:b/>
              <w:bCs/>
              <w:color w:val="212745"/>
              <w:shd w:val="clear" w:color="auto" w:fill="FFFFFF"/>
            </w:rPr>
            <w:fldChar w:fldCharType="end"/>
          </w:r>
          <w:r w:rsidRPr="00EA07CC">
            <w:rPr>
              <w:rStyle w:val="normaltextrun"/>
              <w:rFonts w:ascii="Nunito Sans" w:hAnsi="Nunito Sans"/>
              <w:b/>
              <w:bCs/>
              <w:color w:val="212745"/>
              <w:shd w:val="clear" w:color="auto" w:fill="FFFFFF"/>
            </w:rPr>
            <w:t xml:space="preserve">: </w:t>
          </w:r>
          <w:r w:rsidRPr="00EF5DE4">
            <w:rPr>
              <w:rStyle w:val="normaltextrun"/>
              <w:rFonts w:ascii="Nunito Sans" w:hAnsi="Nunito Sans"/>
              <w:b/>
              <w:bCs/>
              <w:color w:val="212745"/>
              <w:shd w:val="clear" w:color="auto" w:fill="FFFFFF"/>
            </w:rPr>
            <w:t>Fases del PETI</w:t>
          </w:r>
          <w:bookmarkEnd w:id="11"/>
        </w:p>
        <w:p w:rsidR="005E3BD6" w:rsidP="005E3BD6" w:rsidRDefault="005E3BD6" w14:paraId="095B71A0" w14:textId="77777777">
          <w:pPr>
            <w:spacing w:before="100" w:beforeAutospacing="1" w:after="100" w:afterAutospacing="1"/>
            <w:ind w:firstLine="426"/>
            <w:jc w:val="both"/>
            <w:rPr>
              <w:rFonts w:ascii="Nunito Sans" w:hAnsi="Nunito Sans" w:cs="Calibri"/>
              <w:sz w:val="22"/>
              <w:szCs w:val="22"/>
            </w:rPr>
          </w:pPr>
          <w:r w:rsidRPr="007E3FC8">
            <w:rPr>
              <w:rFonts w:ascii="Nunito Sans" w:hAnsi="Nunito Sans" w:cs="Calibri"/>
              <w:noProof/>
              <w:sz w:val="22"/>
              <w:szCs w:val="22"/>
            </w:rPr>
            <w:drawing>
              <wp:inline distT="0" distB="0" distL="0" distR="0" wp14:anchorId="56A1253E" wp14:editId="6B560AA1">
                <wp:extent cx="5486400" cy="804416"/>
                <wp:effectExtent l="12700" t="0" r="12700" b="0"/>
                <wp:docPr id="1369830130" name="Diagrama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Pr="00EF5DE4" w:rsidR="005E3BD6" w:rsidP="005E3BD6" w:rsidRDefault="005E3BD6" w14:paraId="1422AA92"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EF13E5" w:rsidR="005E3BD6" w:rsidP="00EF13E5" w:rsidRDefault="005E3BD6" w14:paraId="10F6534C" w14:textId="77777777">
          <w:pPr>
            <w:spacing w:after="160" w:line="276" w:lineRule="auto"/>
            <w:jc w:val="both"/>
            <w:rPr>
              <w:rFonts w:ascii="Nunito Sans" w:hAnsi="Nunito Sans" w:eastAsiaTheme="minorHAnsi" w:cstheme="minorBidi"/>
              <w:sz w:val="22"/>
              <w:szCs w:val="22"/>
              <w:lang w:eastAsia="en-US"/>
            </w:rPr>
          </w:pPr>
          <w:r w:rsidRPr="00122996">
            <w:rPr>
              <w:rFonts w:ascii="Nunito Sans" w:hAnsi="Nunito Sans" w:eastAsiaTheme="minorHAnsi" w:cstheme="minorBidi"/>
              <w:sz w:val="22"/>
              <w:szCs w:val="22"/>
              <w:lang w:eastAsia="en-US"/>
            </w:rPr>
            <w:t>En</w:t>
          </w:r>
          <w:r w:rsidRPr="00EF13E5">
            <w:rPr>
              <w:rFonts w:ascii="Nunito Sans" w:hAnsi="Nunito Sans" w:eastAsiaTheme="minorHAnsi" w:cstheme="minorBidi"/>
              <w:sz w:val="22"/>
              <w:szCs w:val="22"/>
              <w:lang w:eastAsia="en-US"/>
            </w:rPr>
            <w:t xml:space="preserve"> la primera fase, denominada Comprender, se identificaron los actores clave del sector, se recopiló información sobre el contexto institucional y de Tecnologías de la Información, y se definió la metodología que guiaría la recolección y el análisis de dicha información.</w:t>
          </w:r>
        </w:p>
        <w:p w:rsidRPr="00EF13E5" w:rsidR="005E3BD6" w:rsidP="00EF13E5" w:rsidRDefault="005E3BD6" w14:paraId="54E63D2F" w14:textId="77777777">
          <w:pPr>
            <w:spacing w:after="160" w:line="276" w:lineRule="auto"/>
            <w:jc w:val="both"/>
            <w:rPr>
              <w:rFonts w:ascii="Nunito Sans" w:hAnsi="Nunito Sans" w:eastAsiaTheme="minorHAnsi" w:cstheme="minorBidi"/>
              <w:sz w:val="22"/>
              <w:szCs w:val="22"/>
              <w:lang w:eastAsia="en-US"/>
            </w:rPr>
          </w:pPr>
          <w:r w:rsidRPr="00EF13E5">
            <w:rPr>
              <w:rFonts w:ascii="Nunito Sans" w:hAnsi="Nunito Sans" w:eastAsiaTheme="minorHAnsi" w:cstheme="minorBidi"/>
              <w:sz w:val="22"/>
              <w:szCs w:val="22"/>
              <w:lang w:eastAsia="en-US"/>
            </w:rPr>
            <w:lastRenderedPageBreak/>
            <w:t>En la segunda fase, Analizar, se llevó a cabo un diagnóstico sobre la situación actual de las entidades en materia de gestión de TI. Esto incluyó la construcción de una línea base, la identificación de capacidades tecnológicas, procesos y plataformas disponibles, así como las principales brechas y oportunidades de mejora. Esta información fue clave para orientar la formulación del plan.</w:t>
          </w:r>
        </w:p>
        <w:p w:rsidRPr="00EF13E5" w:rsidR="005E3BD6" w:rsidP="00EF13E5" w:rsidRDefault="005E3BD6" w14:paraId="1FC62538" w14:textId="77777777">
          <w:pPr>
            <w:spacing w:after="160" w:line="276" w:lineRule="auto"/>
            <w:jc w:val="both"/>
            <w:rPr>
              <w:rFonts w:ascii="Nunito Sans" w:hAnsi="Nunito Sans" w:eastAsiaTheme="minorHAnsi" w:cstheme="minorBidi"/>
              <w:sz w:val="22"/>
              <w:szCs w:val="22"/>
              <w:lang w:eastAsia="en-US"/>
            </w:rPr>
          </w:pPr>
          <w:r w:rsidRPr="00EF13E5">
            <w:rPr>
              <w:rFonts w:ascii="Nunito Sans" w:hAnsi="Nunito Sans" w:eastAsiaTheme="minorHAnsi" w:cstheme="minorBidi"/>
              <w:sz w:val="22"/>
              <w:szCs w:val="22"/>
              <w:lang w:eastAsia="en-US"/>
            </w:rPr>
            <w:t>En la tercera fase, Construir, se definió la visión tecnológica compartida para el sector, los objetivos estratégicos, las líneas de acción y las iniciativas priorizadas. Con base en estos elementos, se construyó el portafolio de proyectos y el roadmap sectorial, que orientará la implementación progresiva de soluciones tecnológicas entre 2025 y 2030.</w:t>
          </w:r>
        </w:p>
        <w:p w:rsidRPr="00EF13E5" w:rsidR="005E3BD6" w:rsidP="00EF13E5" w:rsidRDefault="005E3BD6" w14:paraId="0F8E9376" w14:textId="77777777">
          <w:pPr>
            <w:spacing w:after="160" w:line="276" w:lineRule="auto"/>
            <w:jc w:val="both"/>
            <w:rPr>
              <w:rFonts w:ascii="Nunito Sans" w:hAnsi="Nunito Sans" w:eastAsiaTheme="minorHAnsi" w:cstheme="minorBidi"/>
              <w:sz w:val="22"/>
              <w:szCs w:val="22"/>
              <w:lang w:eastAsia="en-US"/>
            </w:rPr>
          </w:pPr>
          <w:r w:rsidRPr="00EF13E5">
            <w:rPr>
              <w:rFonts w:ascii="Nunito Sans" w:hAnsi="Nunito Sans" w:eastAsiaTheme="minorHAnsi" w:cstheme="minorBidi"/>
              <w:sz w:val="22"/>
              <w:szCs w:val="22"/>
              <w:lang w:eastAsia="en-US"/>
            </w:rPr>
            <w:t>En la cuarta fase, Presentar, se realizó la validación, aprobación y publicación del documento por parte de la Comisión Estratégica de TI y de Datos del Sector Minero-Energético. Asimismo, se estableció un modelo de monitoreo que permitirá hacer seguimiento a la ejecución del plan, garantizar su actualización periódica y asegurar su alineación con los lineamientos de Gobierno Digital y los objetivos sectoriales.</w:t>
          </w:r>
        </w:p>
        <w:p w:rsidRPr="00DE22CA" w:rsidR="005E3BD6" w:rsidRDefault="00265D18" w14:paraId="6BBBDF98" w14:textId="17353289">
          <w:pPr>
            <w:pStyle w:val="Ttulo1"/>
            <w:numPr>
              <w:ilvl w:val="0"/>
              <w:numId w:val="20"/>
            </w:numPr>
            <w:jc w:val="center"/>
            <w:rPr>
              <w:i/>
              <w:iCs w:val="0"/>
              <w:szCs w:val="40"/>
              <w:lang w:val="es-ES"/>
            </w:rPr>
          </w:pPr>
          <w:bookmarkStart w:name="_Toc1145909369" w:id="12"/>
          <w:r w:rsidRPr="00DE22CA">
            <w:rPr>
              <w:iCs w:val="0"/>
              <w:szCs w:val="40"/>
              <w:lang w:val="es-ES"/>
            </w:rPr>
            <w:t xml:space="preserve"> </w:t>
          </w:r>
          <w:bookmarkStart w:name="_Toc234234437" w:id="13"/>
          <w:r w:rsidRPr="00DE22CA" w:rsidR="00923FB4">
            <w:rPr>
              <w:iCs w:val="0"/>
              <w:szCs w:val="40"/>
              <w:lang w:val="es-ES"/>
            </w:rPr>
            <w:t>NORMATIVIDAD</w:t>
          </w:r>
          <w:bookmarkEnd w:id="12"/>
          <w:bookmarkEnd w:id="13"/>
        </w:p>
        <w:p w:rsidR="00923FB4" w:rsidP="00923FB4" w:rsidRDefault="00923FB4" w14:paraId="379EA7CE" w14:textId="77777777">
          <w:pPr>
            <w:rPr>
              <w:rFonts w:eastAsiaTheme="minorEastAsia"/>
              <w:lang w:val="es-ES"/>
            </w:rPr>
          </w:pPr>
        </w:p>
        <w:p w:rsidRPr="007013CF" w:rsidR="007013CF" w:rsidP="007013CF" w:rsidRDefault="005B6DE4" w14:paraId="43C43967" w14:textId="6CF67C67">
          <w:pPr>
            <w:spacing w:after="160" w:line="276" w:lineRule="auto"/>
            <w:jc w:val="both"/>
            <w:rPr>
              <w:rFonts w:ascii="Nunito Sans" w:hAnsi="Nunito Sans" w:eastAsia="Nunito Sans"/>
              <w:color w:val="000000"/>
              <w:sz w:val="22"/>
              <w:szCs w:val="22"/>
              <w:shd w:val="clear" w:color="auto" w:fill="FFFFFF"/>
            </w:rPr>
          </w:pPr>
          <w:r>
            <w:rPr>
              <w:rStyle w:val="normaltextrun"/>
              <w:rFonts w:ascii="Nunito Sans" w:hAnsi="Nunito Sans"/>
              <w:color w:val="000000"/>
              <w:sz w:val="22"/>
              <w:szCs w:val="22"/>
              <w:shd w:val="clear" w:color="auto" w:fill="FFFFFF"/>
            </w:rPr>
            <w:t>La formulación del PETI Sectorial se fundamenta en un marco normativo solido que orienta el diseño y ejecución, integrando las Normas Nacionales aplicables, el Marco de Planeación y TIC, la Normativa de Gobierno Digital y Datos, y la Normativa específica del sector Minero-Energético. Esta información se detalla en el Anexo </w:t>
          </w:r>
          <w:r w:rsidR="00F372AD">
            <w:rPr>
              <w:rStyle w:val="normaltextrun"/>
              <w:rFonts w:ascii="Nunito Sans" w:hAnsi="Nunito Sans"/>
              <w:color w:val="000000"/>
              <w:sz w:val="22"/>
              <w:szCs w:val="22"/>
              <w:shd w:val="clear" w:color="auto" w:fill="FFFFFF"/>
            </w:rPr>
            <w:t>1</w:t>
          </w:r>
          <w:r>
            <w:rPr>
              <w:rStyle w:val="normaltextrun"/>
              <w:rFonts w:ascii="Nunito Sans" w:hAnsi="Nunito Sans"/>
              <w:color w:val="000000"/>
              <w:sz w:val="22"/>
              <w:szCs w:val="22"/>
              <w:shd w:val="clear" w:color="auto" w:fill="FFFFFF"/>
            </w:rPr>
            <w:t xml:space="preserve"> - Normograma Sectorial.</w:t>
          </w:r>
          <w:r>
            <w:rPr>
              <w:rStyle w:val="eop"/>
              <w:rFonts w:ascii="Nunito Sans" w:hAnsi="Nunito Sans" w:eastAsia="Nunito Sans"/>
              <w:color w:val="000000"/>
              <w:sz w:val="22"/>
              <w:szCs w:val="22"/>
              <w:shd w:val="clear" w:color="auto" w:fill="FFFFFF"/>
            </w:rPr>
            <w:t> </w:t>
          </w:r>
        </w:p>
        <w:p w:rsidRPr="00DE22CA" w:rsidR="005E3BD6" w:rsidRDefault="000E1AAB" w14:paraId="50854EA5" w14:textId="2FA0111D">
          <w:pPr>
            <w:pStyle w:val="Ttulo1"/>
            <w:numPr>
              <w:ilvl w:val="0"/>
              <w:numId w:val="20"/>
            </w:numPr>
            <w:jc w:val="center"/>
            <w:rPr>
              <w:i/>
              <w:iCs w:val="0"/>
              <w:szCs w:val="40"/>
              <w:lang w:val="es-ES"/>
            </w:rPr>
          </w:pPr>
          <w:bookmarkStart w:name="_Toc1127299343" w:id="14"/>
          <w:bookmarkStart w:name="_Toc437805233" w:id="15"/>
          <w:bookmarkStart w:name="_Toc234234438" w:id="16"/>
          <w:r w:rsidRPr="00DE22CA">
            <w:rPr>
              <w:iCs w:val="0"/>
              <w:szCs w:val="40"/>
              <w:lang w:val="es-ES"/>
            </w:rPr>
            <w:t>CONTEXTO ESTRATÉGICO</w:t>
          </w:r>
          <w:bookmarkEnd w:id="14"/>
          <w:bookmarkEnd w:id="15"/>
          <w:bookmarkEnd w:id="16"/>
          <w:r w:rsidRPr="00DE22CA">
            <w:rPr>
              <w:iCs w:val="0"/>
              <w:szCs w:val="40"/>
              <w:lang w:val="es-ES"/>
            </w:rPr>
            <w:t xml:space="preserve"> </w:t>
          </w:r>
        </w:p>
        <w:p w:rsidRPr="000E1AAB" w:rsidR="000E1AAB" w:rsidP="000E1AAB" w:rsidRDefault="000E1AAB" w14:paraId="2798606E" w14:textId="77777777">
          <w:pPr>
            <w:rPr>
              <w:rFonts w:eastAsiaTheme="minorEastAsia"/>
              <w:lang w:val="es-ES"/>
            </w:rPr>
          </w:pPr>
        </w:p>
        <w:p w:rsidRPr="00F85164" w:rsidR="005E3BD6" w:rsidP="005E3BD6" w:rsidRDefault="005534FC" w14:paraId="252701D6" w14:textId="11D4B372">
          <w:pPr>
            <w:jc w:val="center"/>
            <w:rPr>
              <w:rFonts w:ascii="Nunito Sans" w:hAnsi="Nunito Sans" w:cs="Calibri"/>
              <w:b/>
              <w:bCs/>
              <w:sz w:val="18"/>
              <w:szCs w:val="18"/>
            </w:rPr>
          </w:pPr>
          <w:bookmarkStart w:name="_Toc220664172" w:id="17"/>
          <w:r w:rsidRPr="005534FC">
            <w:rPr>
              <w:rFonts w:ascii="Nunito Sans" w:hAnsi="Nunito Sans" w:cs="Calibri"/>
              <w:b/>
              <w:bCs/>
              <w:sz w:val="18"/>
              <w:szCs w:val="18"/>
            </w:rPr>
            <w:t xml:space="preserve">Tabla </w:t>
          </w:r>
          <w:r w:rsidRPr="005534FC">
            <w:rPr>
              <w:rFonts w:ascii="Nunito Sans" w:hAnsi="Nunito Sans" w:cs="Calibri"/>
              <w:b/>
              <w:bCs/>
              <w:sz w:val="18"/>
              <w:szCs w:val="18"/>
            </w:rPr>
            <w:fldChar w:fldCharType="begin"/>
          </w:r>
          <w:r w:rsidRPr="005534FC">
            <w:rPr>
              <w:rFonts w:ascii="Nunito Sans" w:hAnsi="Nunito Sans" w:cs="Calibri"/>
              <w:b/>
              <w:bCs/>
              <w:sz w:val="18"/>
              <w:szCs w:val="18"/>
            </w:rPr>
            <w:instrText xml:space="preserve"> SEQ Tabla \* ARABIC </w:instrText>
          </w:r>
          <w:r w:rsidRPr="005534FC">
            <w:rPr>
              <w:rFonts w:ascii="Nunito Sans" w:hAnsi="Nunito Sans" w:cs="Calibri"/>
              <w:b/>
              <w:bCs/>
              <w:sz w:val="18"/>
              <w:szCs w:val="18"/>
            </w:rPr>
            <w:fldChar w:fldCharType="separate"/>
          </w:r>
          <w:r w:rsidR="00C57F7B">
            <w:rPr>
              <w:rFonts w:ascii="Nunito Sans" w:hAnsi="Nunito Sans" w:cs="Calibri"/>
              <w:b/>
              <w:bCs/>
              <w:noProof/>
              <w:sz w:val="18"/>
              <w:szCs w:val="18"/>
            </w:rPr>
            <w:t>1</w:t>
          </w:r>
          <w:r w:rsidRPr="005534FC">
            <w:rPr>
              <w:rFonts w:ascii="Nunito Sans" w:hAnsi="Nunito Sans" w:cs="Calibri"/>
              <w:b/>
              <w:bCs/>
              <w:sz w:val="18"/>
              <w:szCs w:val="18"/>
            </w:rPr>
            <w:fldChar w:fldCharType="end"/>
          </w:r>
          <w:r>
            <w:rPr>
              <w:rFonts w:ascii="Nunito Sans" w:hAnsi="Nunito Sans" w:cs="Calibri"/>
              <w:b/>
              <w:bCs/>
              <w:sz w:val="18"/>
              <w:szCs w:val="18"/>
            </w:rPr>
            <w:t xml:space="preserve">: </w:t>
          </w:r>
          <w:r w:rsidR="005E3BD6">
            <w:rPr>
              <w:rFonts w:ascii="Nunito Sans" w:hAnsi="Nunito Sans" w:cs="Calibri"/>
              <w:b/>
              <w:bCs/>
              <w:sz w:val="18"/>
              <w:szCs w:val="18"/>
            </w:rPr>
            <w:t>Contexto Estratégico</w:t>
          </w:r>
          <w:bookmarkEnd w:id="17"/>
          <w:r w:rsidR="005E3BD6">
            <w:rPr>
              <w:rFonts w:ascii="Nunito Sans" w:hAnsi="Nunito Sans" w:cs="Calibri"/>
              <w:b/>
              <w:bCs/>
              <w:sz w:val="18"/>
              <w:szCs w:val="18"/>
            </w:rPr>
            <w:t xml:space="preserve"> </w:t>
          </w:r>
        </w:p>
        <w:tbl>
          <w:tblPr>
            <w:tblStyle w:val="Tabladecuadrcula4-nfasis51"/>
            <w:tblW w:w="9067" w:type="dxa"/>
            <w:jc w:val="center"/>
            <w:tblBorders>
              <w:top w:val="single" w:color="E4B33B" w:sz="4" w:space="0"/>
              <w:left w:val="single" w:color="E4B33B" w:sz="4" w:space="0"/>
              <w:bottom w:val="single" w:color="E4B33B" w:sz="4" w:space="0"/>
              <w:right w:val="single" w:color="E4B33B" w:sz="4" w:space="0"/>
              <w:insideH w:val="single" w:color="E4B33B" w:sz="4" w:space="0"/>
              <w:insideV w:val="single" w:color="E4B33B" w:sz="4" w:space="0"/>
            </w:tblBorders>
            <w:tblLook w:val="04A0" w:firstRow="1" w:lastRow="0" w:firstColumn="1" w:lastColumn="0" w:noHBand="0" w:noVBand="1"/>
          </w:tblPr>
          <w:tblGrid>
            <w:gridCol w:w="2405"/>
            <w:gridCol w:w="3544"/>
            <w:gridCol w:w="3118"/>
          </w:tblGrid>
          <w:tr w:rsidRPr="007E3FC8" w:rsidR="005E3BD6" w:rsidTr="2FC2A464" w14:paraId="49D6B06D" w14:textId="77777777">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405" w:type="dxa"/>
                <w:tcBorders>
                  <w:top w:val="none" w:color="auto" w:sz="0" w:space="0"/>
                  <w:left w:val="none" w:color="auto" w:sz="0" w:space="0"/>
                  <w:bottom w:val="none" w:color="auto" w:sz="0" w:space="0"/>
                  <w:right w:val="none" w:color="auto" w:sz="0" w:space="0"/>
                </w:tcBorders>
                <w:shd w:val="clear" w:color="auto" w:fill="EDB600"/>
                <w:vAlign w:val="center"/>
              </w:tcPr>
              <w:p w:rsidRPr="007E3FC8" w:rsidR="005E3BD6" w:rsidP="00B4771C" w:rsidRDefault="005E3BD6" w14:paraId="647E25D0" w14:textId="77777777">
                <w:pPr>
                  <w:jc w:val="center"/>
                  <w:rPr>
                    <w:rFonts w:ascii="Nunito Sans" w:hAnsi="Nunito Sans" w:cs="Calibri"/>
                    <w:sz w:val="18"/>
                    <w:szCs w:val="18"/>
                  </w:rPr>
                </w:pPr>
                <w:r w:rsidRPr="007E3FC8">
                  <w:rPr>
                    <w:rFonts w:ascii="Nunito Sans" w:hAnsi="Nunito Sans" w:cs="Calibri"/>
                    <w:sz w:val="18"/>
                    <w:szCs w:val="18"/>
                  </w:rPr>
                  <w:t>FUENTE</w:t>
                </w:r>
              </w:p>
            </w:tc>
            <w:tc>
              <w:tcPr>
                <w:tcW w:w="3544" w:type="dxa"/>
                <w:tcBorders>
                  <w:top w:val="none" w:color="auto" w:sz="0" w:space="0"/>
                  <w:left w:val="none" w:color="auto" w:sz="0" w:space="0"/>
                  <w:bottom w:val="none" w:color="auto" w:sz="0" w:space="0"/>
                  <w:right w:val="none" w:color="auto" w:sz="0" w:space="0"/>
                </w:tcBorders>
                <w:shd w:val="clear" w:color="auto" w:fill="EDB600"/>
                <w:vAlign w:val="center"/>
              </w:tcPr>
              <w:p w:rsidRPr="007E3FC8" w:rsidR="005E3BD6" w:rsidP="00B4771C" w:rsidRDefault="005E3BD6" w14:paraId="567D89CF" w14:textId="77777777">
                <w:pPr>
                  <w:jc w:val="center"/>
                  <w:cnfStyle w:val="100000000000" w:firstRow="1" w:lastRow="0" w:firstColumn="0" w:lastColumn="0" w:oddVBand="0" w:evenVBand="0" w:oddHBand="0" w:evenHBand="0" w:firstRowFirstColumn="0" w:firstRowLastColumn="0" w:lastRowFirstColumn="0" w:lastRowLastColumn="0"/>
                  <w:rPr>
                    <w:rFonts w:ascii="Nunito Sans" w:hAnsi="Nunito Sans" w:cs="Calibri"/>
                    <w:sz w:val="18"/>
                    <w:szCs w:val="18"/>
                  </w:rPr>
                </w:pPr>
                <w:r w:rsidRPr="007E3FC8">
                  <w:rPr>
                    <w:rFonts w:ascii="Nunito Sans" w:hAnsi="Nunito Sans" w:cs="Calibri"/>
                    <w:sz w:val="18"/>
                    <w:szCs w:val="18"/>
                  </w:rPr>
                  <w:t>MOTIVADOR</w:t>
                </w:r>
              </w:p>
            </w:tc>
            <w:tc>
              <w:tcPr>
                <w:tcW w:w="3118" w:type="dxa"/>
                <w:tcBorders>
                  <w:top w:val="none" w:color="auto" w:sz="0" w:space="0"/>
                  <w:left w:val="none" w:color="auto" w:sz="0" w:space="0"/>
                  <w:bottom w:val="none" w:color="auto" w:sz="0" w:space="0"/>
                  <w:right w:val="none" w:color="auto" w:sz="0" w:space="0"/>
                </w:tcBorders>
                <w:shd w:val="clear" w:color="auto" w:fill="EDB600"/>
              </w:tcPr>
              <w:p w:rsidRPr="007E3FC8" w:rsidR="005E3BD6" w:rsidP="00B4771C" w:rsidRDefault="005E3BD6" w14:paraId="291C9D99" w14:textId="77777777">
                <w:pPr>
                  <w:jc w:val="center"/>
                  <w:cnfStyle w:val="100000000000" w:firstRow="1" w:lastRow="0" w:firstColumn="0" w:lastColumn="0" w:oddVBand="0" w:evenVBand="0" w:oddHBand="0" w:evenHBand="0" w:firstRowFirstColumn="0" w:firstRowLastColumn="0" w:lastRowFirstColumn="0" w:lastRowLastColumn="0"/>
                  <w:rPr>
                    <w:rFonts w:ascii="Nunito Sans" w:hAnsi="Nunito Sans" w:cs="Calibri"/>
                    <w:sz w:val="18"/>
                    <w:szCs w:val="18"/>
                  </w:rPr>
                </w:pPr>
                <w:r w:rsidRPr="007E3FC8">
                  <w:rPr>
                    <w:rFonts w:ascii="Nunito Sans" w:hAnsi="Nunito Sans" w:cs="Calibri"/>
                    <w:sz w:val="18"/>
                    <w:szCs w:val="18"/>
                  </w:rPr>
                  <w:t>AUTOR</w:t>
                </w:r>
              </w:p>
            </w:tc>
          </w:tr>
          <w:tr w:rsidRPr="007E3FC8" w:rsidR="005E3BD6" w:rsidTr="2FC2A464" w14:paraId="2BC8B04F"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5" w:type="dxa"/>
                <w:shd w:val="clear" w:color="auto" w:fill="FFFFFF" w:themeFill="background1"/>
                <w:vAlign w:val="center"/>
              </w:tcPr>
              <w:p w:rsidRPr="007E3FC8" w:rsidR="005E3BD6" w:rsidP="00B4771C" w:rsidRDefault="005E3BD6" w14:paraId="4C3B2821" w14:textId="77777777">
                <w:pPr>
                  <w:rPr>
                    <w:rFonts w:ascii="Nunito Sans" w:hAnsi="Nunito Sans" w:cs="Calibri"/>
                    <w:sz w:val="18"/>
                    <w:szCs w:val="18"/>
                  </w:rPr>
                </w:pPr>
                <w:r w:rsidRPr="007E3FC8">
                  <w:rPr>
                    <w:rFonts w:ascii="Nunito Sans" w:hAnsi="Nunito Sans" w:cs="Calibri"/>
                    <w:sz w:val="18"/>
                    <w:szCs w:val="18"/>
                  </w:rPr>
                  <w:t>Estrategia Nacional</w:t>
                </w:r>
              </w:p>
            </w:tc>
            <w:tc>
              <w:tcPr>
                <w:tcW w:w="3544" w:type="dxa"/>
                <w:shd w:val="clear" w:color="auto" w:fill="FFFFFF" w:themeFill="background1"/>
                <w:vAlign w:val="center"/>
              </w:tcPr>
              <w:p w:rsidRPr="00EE66F3" w:rsidR="005E3BD6" w:rsidRDefault="1F325162" w14:paraId="147F4E5C" w14:textId="36EC3A0B">
                <w:pPr>
                  <w:pStyle w:val="Prrafodelista"/>
                  <w:numPr>
                    <w:ilvl w:val="0"/>
                    <w:numId w:val="40"/>
                  </w:numPr>
                  <w:ind w:left="325" w:hanging="283"/>
                  <w:cnfStyle w:val="000000100000" w:firstRow="0" w:lastRow="0" w:firstColumn="0" w:lastColumn="0" w:oddVBand="0" w:evenVBand="0" w:oddHBand="1" w:evenHBand="0" w:firstRowFirstColumn="0" w:firstRowLastColumn="0" w:lastRowFirstColumn="0" w:lastRowLastColumn="0"/>
                  <w:rPr>
                    <w:rFonts w:ascii="Nunito Sans" w:hAnsi="Nunito Sans" w:eastAsiaTheme="minorHAnsi"/>
                    <w:sz w:val="18"/>
                    <w:szCs w:val="18"/>
                    <w:lang w:eastAsia="en-US"/>
                  </w:rPr>
                </w:pPr>
                <w:r w:rsidRPr="00EE66F3">
                  <w:rPr>
                    <w:rFonts w:ascii="Nunito Sans" w:hAnsi="Nunito Sans" w:eastAsiaTheme="minorEastAsia"/>
                    <w:sz w:val="18"/>
                    <w:szCs w:val="18"/>
                    <w:lang w:eastAsia="en-US"/>
                  </w:rPr>
                  <w:t xml:space="preserve">Plan Nacional de Desarrollo </w:t>
                </w:r>
                <w:r w:rsidRPr="00EE66F3" w:rsidR="006322E0">
                  <w:rPr>
                    <w:rStyle w:val="Refdenotaalpie"/>
                    <w:rFonts w:ascii="Nunito Sans" w:hAnsi="Nunito Sans" w:cs="Calibri" w:eastAsiaTheme="minorEastAsia"/>
                    <w:sz w:val="18"/>
                    <w:szCs w:val="18"/>
                    <w:lang w:eastAsia="en-US"/>
                  </w:rPr>
                  <w:footnoteReference w:id="2"/>
                </w:r>
              </w:p>
            </w:tc>
            <w:tc>
              <w:tcPr>
                <w:tcW w:w="3118" w:type="dxa"/>
                <w:shd w:val="clear" w:color="auto" w:fill="FFFFFF" w:themeFill="background1"/>
                <w:vAlign w:val="center"/>
              </w:tcPr>
              <w:p w:rsidRPr="00EE66F3" w:rsidR="005E3BD6" w:rsidRDefault="005E3BD6" w14:paraId="72EDE720" w14:textId="77777777">
                <w:pPr>
                  <w:pStyle w:val="Prrafodelista"/>
                  <w:numPr>
                    <w:ilvl w:val="0"/>
                    <w:numId w:val="1"/>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EE66F3">
                  <w:rPr>
                    <w:rFonts w:ascii="Nunito Sans" w:hAnsi="Nunito Sans" w:cs="Calibri" w:eastAsiaTheme="minorHAnsi"/>
                    <w:sz w:val="18"/>
                    <w:szCs w:val="18"/>
                    <w:lang w:eastAsia="en-US"/>
                  </w:rPr>
                  <w:t xml:space="preserve">Gobierno Nacional </w:t>
                </w:r>
              </w:p>
            </w:tc>
          </w:tr>
          <w:tr w:rsidRPr="007E3FC8" w:rsidR="005E3BD6" w:rsidTr="2FC2A464" w14:paraId="7CF279F4" w14:textId="77777777">
            <w:trPr>
              <w:trHeight w:val="578"/>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rsidRPr="007E3FC8" w:rsidR="005E3BD6" w:rsidP="00B4771C" w:rsidRDefault="005E3BD6" w14:paraId="4D209FF0" w14:textId="77777777">
                <w:pPr>
                  <w:jc w:val="both"/>
                  <w:rPr>
                    <w:rFonts w:ascii="Nunito Sans" w:hAnsi="Nunito Sans" w:cs="Calibri"/>
                    <w:sz w:val="18"/>
                    <w:szCs w:val="18"/>
                  </w:rPr>
                </w:pPr>
                <w:r w:rsidRPr="007E3FC8">
                  <w:rPr>
                    <w:rFonts w:ascii="Nunito Sans" w:hAnsi="Nunito Sans" w:cs="Calibri"/>
                    <w:sz w:val="18"/>
                    <w:szCs w:val="18"/>
                  </w:rPr>
                  <w:t>Estrategia Nivel Central</w:t>
                </w:r>
              </w:p>
            </w:tc>
            <w:tc>
              <w:tcPr>
                <w:tcW w:w="3544" w:type="dxa"/>
                <w:vAlign w:val="center"/>
              </w:tcPr>
              <w:p w:rsidRPr="00EE66F3" w:rsidR="005E3BD6" w:rsidRDefault="1F325162" w14:paraId="77A4A0D6" w14:textId="5E77F300">
                <w:pPr>
                  <w:pStyle w:val="Prrafodelista"/>
                  <w:numPr>
                    <w:ilvl w:val="0"/>
                    <w:numId w:val="1"/>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lang w:eastAsia="en-US"/>
                  </w:rPr>
                </w:pPr>
                <w:r w:rsidRPr="00EE66F3">
                  <w:rPr>
                    <w:rFonts w:ascii="Nunito Sans" w:hAnsi="Nunito Sans" w:cs="Calibri" w:eastAsiaTheme="minorEastAsia"/>
                    <w:sz w:val="18"/>
                    <w:szCs w:val="18"/>
                    <w:lang w:eastAsia="en-US"/>
                  </w:rPr>
                  <w:t>Estrategia Nacional Digital de Colombia.</w:t>
                </w:r>
                <w:r w:rsidRPr="00EE66F3" w:rsidR="008725E3">
                  <w:rPr>
                    <w:rStyle w:val="Refdenotaalpie"/>
                    <w:rFonts w:ascii="Nunito Sans" w:hAnsi="Nunito Sans" w:cs="Calibri" w:eastAsiaTheme="minorEastAsia"/>
                    <w:sz w:val="18"/>
                    <w:szCs w:val="18"/>
                    <w:lang w:eastAsia="en-US"/>
                  </w:rPr>
                  <w:footnoteReference w:id="3"/>
                </w:r>
              </w:p>
              <w:p w:rsidRPr="00EE66F3" w:rsidR="005E3BD6" w:rsidRDefault="1F325162" w14:paraId="0497ACC1" w14:textId="62ECA630">
                <w:pPr>
                  <w:pStyle w:val="Prrafodelista"/>
                  <w:numPr>
                    <w:ilvl w:val="0"/>
                    <w:numId w:val="1"/>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lang w:eastAsia="en-US"/>
                  </w:rPr>
                </w:pPr>
                <w:r w:rsidRPr="00EE66F3">
                  <w:rPr>
                    <w:rFonts w:ascii="Nunito Sans" w:hAnsi="Nunito Sans" w:cs="Calibri" w:eastAsiaTheme="minorEastAsia"/>
                    <w:sz w:val="18"/>
                    <w:szCs w:val="18"/>
                    <w:lang w:eastAsia="en-US"/>
                  </w:rPr>
                  <w:t>Plan Estratégico Institucional de Tecnologías de la Información</w:t>
                </w:r>
                <w:r w:rsidRPr="00EE66F3" w:rsidR="001F2429">
                  <w:rPr>
                    <w:rStyle w:val="Refdenotaalpie"/>
                    <w:rFonts w:ascii="Nunito Sans" w:hAnsi="Nunito Sans" w:cs="Calibri" w:eastAsiaTheme="minorEastAsia"/>
                    <w:sz w:val="18"/>
                    <w:szCs w:val="18"/>
                    <w:lang w:eastAsia="en-US"/>
                  </w:rPr>
                  <w:footnoteReference w:id="4"/>
                </w:r>
              </w:p>
              <w:p w:rsidR="00EE66F3" w:rsidRDefault="1F325162" w14:paraId="5637907A" w14:textId="77777777">
                <w:pPr>
                  <w:pStyle w:val="Prrafodelista"/>
                  <w:numPr>
                    <w:ilvl w:val="0"/>
                    <w:numId w:val="1"/>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lang w:eastAsia="en-US"/>
                  </w:rPr>
                </w:pPr>
                <w:r w:rsidRPr="00EE66F3">
                  <w:rPr>
                    <w:rFonts w:ascii="Nunito Sans" w:hAnsi="Nunito Sans" w:cs="Calibri" w:eastAsiaTheme="minorEastAsia"/>
                    <w:sz w:val="18"/>
                    <w:szCs w:val="18"/>
                    <w:lang w:eastAsia="en-US"/>
                  </w:rPr>
                  <w:t>CONPES 4075 – Política de Transición Energética</w:t>
                </w:r>
                <w:r w:rsidRPr="00EE66F3" w:rsidR="00ED7F55">
                  <w:rPr>
                    <w:rStyle w:val="Refdenotaalpie"/>
                    <w:rFonts w:ascii="Nunito Sans" w:hAnsi="Nunito Sans" w:cs="Calibri" w:eastAsiaTheme="minorEastAsia"/>
                    <w:sz w:val="18"/>
                    <w:szCs w:val="18"/>
                    <w:lang w:eastAsia="en-US"/>
                  </w:rPr>
                  <w:footnoteReference w:id="5"/>
                </w:r>
              </w:p>
              <w:p w:rsidRPr="00EE66F3" w:rsidR="005E3BD6" w:rsidRDefault="1F325162" w14:paraId="0D565666" w14:textId="38D4C934">
                <w:pPr>
                  <w:pStyle w:val="Prrafodelista"/>
                  <w:numPr>
                    <w:ilvl w:val="0"/>
                    <w:numId w:val="1"/>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lang w:eastAsia="en-US"/>
                  </w:rPr>
                </w:pPr>
                <w:r w:rsidRPr="00EE66F3">
                  <w:rPr>
                    <w:rFonts w:ascii="Nunito Sans" w:hAnsi="Nunito Sans" w:cs="Calibri" w:eastAsiaTheme="minorEastAsia"/>
                    <w:sz w:val="18"/>
                    <w:szCs w:val="18"/>
                    <w:lang w:eastAsia="en-US"/>
                  </w:rPr>
                  <w:lastRenderedPageBreak/>
                  <w:t xml:space="preserve">CONPES 4144 - </w:t>
                </w:r>
                <w:r w:rsidRPr="00EE66F3">
                  <w:rPr>
                    <w:rFonts w:ascii="Nunito Sans" w:hAnsi="Nunito Sans" w:cs="Calibri"/>
                    <w:sz w:val="18"/>
                    <w:szCs w:val="18"/>
                  </w:rPr>
                  <w:t>Política Nacional de Inteligencia Artificial</w:t>
                </w:r>
                <w:r w:rsidRPr="00EE66F3" w:rsidR="00C543C5">
                  <w:rPr>
                    <w:rStyle w:val="Refdenotaalpie"/>
                    <w:rFonts w:ascii="Nunito Sans" w:hAnsi="Nunito Sans" w:cs="Calibri" w:eastAsiaTheme="minorEastAsia"/>
                    <w:sz w:val="18"/>
                    <w:szCs w:val="18"/>
                    <w:lang w:eastAsia="en-US"/>
                  </w:rPr>
                  <w:footnoteReference w:id="6"/>
                </w:r>
              </w:p>
            </w:tc>
            <w:tc>
              <w:tcPr>
                <w:tcW w:w="3118" w:type="dxa"/>
                <w:vAlign w:val="center"/>
              </w:tcPr>
              <w:p w:rsidRPr="00EE66F3" w:rsidR="005F7B4E" w:rsidRDefault="005F7B4E" w14:paraId="6279CA38" w14:textId="2DB91697">
                <w:pPr>
                  <w:pStyle w:val="Prrafodelista"/>
                  <w:numPr>
                    <w:ilvl w:val="0"/>
                    <w:numId w:val="4"/>
                  </w:numPr>
                  <w:ind w:left="314"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00EE66F3">
                  <w:rPr>
                    <w:rFonts w:ascii="Nunito Sans" w:hAnsi="Nunito Sans" w:cs="Calibri" w:eastAsiaTheme="minorHAnsi"/>
                    <w:sz w:val="18"/>
                    <w:szCs w:val="18"/>
                    <w:lang w:eastAsia="en-US"/>
                  </w:rPr>
                  <w:lastRenderedPageBreak/>
                  <w:t>Ministerio de Tecnologías de la Información y las Comunicaciones</w:t>
                </w:r>
              </w:p>
              <w:p w:rsidRPr="00EE66F3" w:rsidR="005E3BD6" w:rsidRDefault="005E3BD6" w14:paraId="38DF95B0" w14:textId="77777777">
                <w:pPr>
                  <w:pStyle w:val="Prrafodelista"/>
                  <w:numPr>
                    <w:ilvl w:val="0"/>
                    <w:numId w:val="4"/>
                  </w:numPr>
                  <w:ind w:left="314"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00EE66F3">
                  <w:rPr>
                    <w:rFonts w:ascii="Nunito Sans" w:hAnsi="Nunito Sans" w:cs="Calibri" w:eastAsiaTheme="minorHAnsi"/>
                    <w:sz w:val="18"/>
                    <w:szCs w:val="18"/>
                    <w:lang w:eastAsia="en-US"/>
                  </w:rPr>
                  <w:t xml:space="preserve">Ministerio de Minas y Energía </w:t>
                </w:r>
              </w:p>
              <w:p w:rsidRPr="00EE66F3" w:rsidR="00E9092C" w:rsidRDefault="00E9092C" w14:paraId="443D40F9" w14:textId="47AEBFAE">
                <w:pPr>
                  <w:pStyle w:val="Prrafodelista"/>
                  <w:numPr>
                    <w:ilvl w:val="0"/>
                    <w:numId w:val="4"/>
                  </w:numPr>
                  <w:ind w:left="314"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00EE66F3">
                  <w:rPr>
                    <w:rFonts w:ascii="Nunito Sans" w:hAnsi="Nunito Sans" w:cs="Calibri" w:eastAsiaTheme="minorHAnsi"/>
                    <w:sz w:val="18"/>
                    <w:szCs w:val="18"/>
                    <w:lang w:eastAsia="en-US"/>
                  </w:rPr>
                  <w:t xml:space="preserve">Departamento Nacional de Planeación Ministerio del Trabajo Ministerio de Minas y </w:t>
                </w:r>
                <w:r w:rsidRPr="00EE66F3">
                  <w:rPr>
                    <w:rFonts w:ascii="Nunito Sans" w:hAnsi="Nunito Sans" w:cs="Calibri" w:eastAsiaTheme="minorHAnsi"/>
                    <w:sz w:val="18"/>
                    <w:szCs w:val="18"/>
                    <w:lang w:eastAsia="en-US"/>
                  </w:rPr>
                  <w:lastRenderedPageBreak/>
                  <w:t>Energía Ministerio de Comercio Industria y Turismo Ministerio de Ambiente y Desarrollo Sostenible Ministerio de Transporte Ministerio de Ciencia, Tecnología e Innovación</w:t>
                </w:r>
              </w:p>
            </w:tc>
          </w:tr>
          <w:tr w:rsidRPr="007E3FC8" w:rsidR="005E3BD6" w:rsidTr="2FC2A464" w14:paraId="23B769EB" w14:textId="7777777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05" w:type="dxa"/>
                <w:shd w:val="clear" w:color="auto" w:fill="FFFFFF" w:themeFill="background1"/>
                <w:vAlign w:val="center"/>
              </w:tcPr>
              <w:p w:rsidRPr="007E3FC8" w:rsidR="005E3BD6" w:rsidP="00B4771C" w:rsidRDefault="005E3BD6" w14:paraId="7D3D7C40" w14:textId="77777777">
                <w:pPr>
                  <w:jc w:val="both"/>
                  <w:rPr>
                    <w:rFonts w:ascii="Nunito Sans" w:hAnsi="Nunito Sans" w:cs="Calibri"/>
                    <w:sz w:val="18"/>
                    <w:szCs w:val="18"/>
                  </w:rPr>
                </w:pPr>
                <w:r w:rsidRPr="007E3FC8">
                  <w:rPr>
                    <w:rFonts w:ascii="Nunito Sans" w:hAnsi="Nunito Sans" w:cs="Calibri"/>
                    <w:sz w:val="18"/>
                    <w:szCs w:val="18"/>
                  </w:rPr>
                  <w:lastRenderedPageBreak/>
                  <w:t xml:space="preserve">Estrategia Sectorial </w:t>
                </w:r>
              </w:p>
            </w:tc>
            <w:tc>
              <w:tcPr>
                <w:tcW w:w="3544" w:type="dxa"/>
                <w:shd w:val="clear" w:color="auto" w:fill="FFFFFF" w:themeFill="background1"/>
                <w:vAlign w:val="center"/>
              </w:tcPr>
              <w:p w:rsidRPr="00EF4BD5" w:rsidR="005E3BD6" w:rsidRDefault="005E3BD6" w14:paraId="3AD491C5" w14:textId="25F11D78">
                <w:pPr>
                  <w:pStyle w:val="Prrafodelista"/>
                  <w:numPr>
                    <w:ilvl w:val="0"/>
                    <w:numId w:val="41"/>
                  </w:numPr>
                  <w:ind w:left="325"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EF4BD5">
                  <w:rPr>
                    <w:rFonts w:ascii="Nunito Sans" w:hAnsi="Nunito Sans" w:cs="Calibri" w:eastAsiaTheme="minorHAnsi"/>
                    <w:sz w:val="18"/>
                    <w:szCs w:val="18"/>
                    <w:lang w:eastAsia="en-US"/>
                  </w:rPr>
                  <w:t>Plan Estratégico Institucional de Tecnologías de la Información Sectorial</w:t>
                </w:r>
                <w:r w:rsidRPr="00EF4BD5" w:rsidR="00E825D8">
                  <w:rPr>
                    <w:rFonts w:ascii="Nunito Sans" w:hAnsi="Nunito Sans" w:cs="Calibri" w:eastAsiaTheme="minorHAnsi"/>
                    <w:sz w:val="18"/>
                    <w:szCs w:val="18"/>
                    <w:lang w:eastAsia="en-US"/>
                  </w:rPr>
                  <w:t xml:space="preserve"> (este documento)</w:t>
                </w:r>
              </w:p>
              <w:p w:rsidRPr="007E3FC8" w:rsidR="005E3BD6" w:rsidRDefault="1F325162" w14:paraId="07E90969" w14:textId="017F115E">
                <w:pPr>
                  <w:pStyle w:val="Prrafodelista"/>
                  <w:numPr>
                    <w:ilvl w:val="0"/>
                    <w:numId w:val="41"/>
                  </w:numPr>
                  <w:ind w:left="325"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4E60D266">
                  <w:rPr>
                    <w:rFonts w:ascii="Nunito Sans" w:hAnsi="Nunito Sans" w:cs="Calibri" w:eastAsiaTheme="minorEastAsia"/>
                    <w:sz w:val="18"/>
                    <w:szCs w:val="18"/>
                    <w:lang w:eastAsia="en-US"/>
                  </w:rPr>
                  <w:t>Plan de Seguridad y Privacidad de la información</w:t>
                </w:r>
                <w:r w:rsidRPr="4E60D266" w:rsidR="001763D4">
                  <w:rPr>
                    <w:rStyle w:val="Refdenotaalpie"/>
                    <w:rFonts w:ascii="Nunito Sans" w:hAnsi="Nunito Sans" w:cs="Calibri" w:eastAsiaTheme="minorEastAsia"/>
                    <w:sz w:val="18"/>
                    <w:szCs w:val="18"/>
                    <w:lang w:eastAsia="en-US"/>
                  </w:rPr>
                  <w:footnoteReference w:id="7"/>
                </w:r>
              </w:p>
              <w:p w:rsidRPr="007E3FC8" w:rsidR="005E3BD6" w:rsidRDefault="1F325162" w14:paraId="121AC8A1" w14:textId="79765FED">
                <w:pPr>
                  <w:pStyle w:val="Prrafodelista"/>
                  <w:numPr>
                    <w:ilvl w:val="0"/>
                    <w:numId w:val="41"/>
                  </w:numPr>
                  <w:ind w:left="325"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4E60D266">
                  <w:rPr>
                    <w:rFonts w:ascii="Nunito Sans" w:hAnsi="Nunito Sans" w:cs="Calibri" w:eastAsiaTheme="minorEastAsia"/>
                    <w:sz w:val="18"/>
                    <w:szCs w:val="18"/>
                    <w:lang w:eastAsia="en-US"/>
                  </w:rPr>
                  <w:t>Plan Tratamiento de Riesgos de Seguridad y Privacidad de la Información</w:t>
                </w:r>
                <w:r w:rsidRPr="4E60D266" w:rsidR="002348BF">
                  <w:rPr>
                    <w:rStyle w:val="Refdenotaalpie"/>
                    <w:rFonts w:ascii="Nunito Sans" w:hAnsi="Nunito Sans" w:cs="Calibri" w:eastAsiaTheme="minorEastAsia"/>
                    <w:sz w:val="18"/>
                    <w:szCs w:val="18"/>
                    <w:lang w:eastAsia="en-US"/>
                  </w:rPr>
                  <w:footnoteReference w:id="8"/>
                </w:r>
              </w:p>
            </w:tc>
            <w:tc>
              <w:tcPr>
                <w:tcW w:w="3118" w:type="dxa"/>
                <w:shd w:val="clear" w:color="auto" w:fill="FFFFFF" w:themeFill="background1"/>
                <w:vAlign w:val="center"/>
              </w:tcPr>
              <w:p w:rsidRPr="007E3FC8" w:rsidR="005E3BD6" w:rsidRDefault="005E3BD6" w14:paraId="288F86E8" w14:textId="77777777">
                <w:pPr>
                  <w:pStyle w:val="Prrafodelista"/>
                  <w:numPr>
                    <w:ilvl w:val="0"/>
                    <w:numId w:val="2"/>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Agencia Nacional de Hidrocarburos – ANH</w:t>
                </w:r>
              </w:p>
              <w:p w:rsidRPr="007E3FC8" w:rsidR="005E3BD6" w:rsidRDefault="005E3BD6" w14:paraId="25373186" w14:textId="77777777">
                <w:pPr>
                  <w:pStyle w:val="Prrafodelista"/>
                  <w:numPr>
                    <w:ilvl w:val="0"/>
                    <w:numId w:val="2"/>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Agencia Nacional de Minería – ANM</w:t>
                </w:r>
              </w:p>
              <w:p w:rsidRPr="007E3FC8" w:rsidR="005E3BD6" w:rsidRDefault="005E3BD6" w14:paraId="5173A0D8" w14:textId="77777777">
                <w:pPr>
                  <w:pStyle w:val="Prrafodelista"/>
                  <w:numPr>
                    <w:ilvl w:val="0"/>
                    <w:numId w:val="2"/>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Comisión de Regulación de Energía y Gas – CREG</w:t>
                </w:r>
              </w:p>
              <w:p w:rsidRPr="007E3FC8" w:rsidR="005E3BD6" w:rsidRDefault="005E3BD6" w14:paraId="5BEE5D07" w14:textId="77777777">
                <w:pPr>
                  <w:pStyle w:val="Prrafodelista"/>
                  <w:numPr>
                    <w:ilvl w:val="0"/>
                    <w:numId w:val="2"/>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Instituto de Planificación y Promoción de Soluciones Energéticas para las Zonas No Interconectadas – IPSE</w:t>
                </w:r>
              </w:p>
              <w:p w:rsidRPr="007E3FC8" w:rsidR="005E3BD6" w:rsidRDefault="005E3BD6" w14:paraId="6273B839" w14:textId="77777777">
                <w:pPr>
                  <w:pStyle w:val="Prrafodelista"/>
                  <w:numPr>
                    <w:ilvl w:val="0"/>
                    <w:numId w:val="2"/>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Servicio Geológico Colombiano – SGC</w:t>
                </w:r>
              </w:p>
              <w:p w:rsidRPr="007E3FC8" w:rsidR="005E3BD6" w:rsidRDefault="005E3BD6" w14:paraId="0C6F4504" w14:textId="77777777">
                <w:pPr>
                  <w:pStyle w:val="Prrafodelista"/>
                  <w:numPr>
                    <w:ilvl w:val="0"/>
                    <w:numId w:val="2"/>
                  </w:numPr>
                  <w:ind w:left="319" w:hanging="283"/>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Unidad de Planeación Minero-Energética – UPME</w:t>
                </w:r>
              </w:p>
            </w:tc>
          </w:tr>
          <w:tr w:rsidRPr="007E3FC8" w:rsidR="005E3BD6" w:rsidTr="2FC2A464" w14:paraId="06AD8D13" w14:textId="77777777">
            <w:trPr>
              <w:trHeight w:val="1160"/>
              <w:jc w:val="center"/>
            </w:trPr>
            <w:tc>
              <w:tcPr>
                <w:cnfStyle w:val="001000000000" w:firstRow="0" w:lastRow="0" w:firstColumn="1" w:lastColumn="0" w:oddVBand="0" w:evenVBand="0" w:oddHBand="0" w:evenHBand="0" w:firstRowFirstColumn="0" w:firstRowLastColumn="0" w:lastRowFirstColumn="0" w:lastRowLastColumn="0"/>
                <w:tcW w:w="2405" w:type="dxa"/>
                <w:vAlign w:val="center"/>
              </w:tcPr>
              <w:p w:rsidRPr="007E3FC8" w:rsidR="005E3BD6" w:rsidP="00B4771C" w:rsidRDefault="005E3BD6" w14:paraId="4E673071" w14:textId="77777777">
                <w:pPr>
                  <w:jc w:val="both"/>
                  <w:rPr>
                    <w:rFonts w:ascii="Nunito Sans" w:hAnsi="Nunito Sans" w:cs="Calibri"/>
                    <w:sz w:val="18"/>
                    <w:szCs w:val="18"/>
                  </w:rPr>
                </w:pPr>
                <w:r w:rsidRPr="007E3FC8">
                  <w:rPr>
                    <w:rFonts w:ascii="Nunito Sans" w:hAnsi="Nunito Sans" w:cs="Calibri"/>
                    <w:sz w:val="18"/>
                    <w:szCs w:val="18"/>
                  </w:rPr>
                  <w:t>Lineamientos y Políticas</w:t>
                </w:r>
              </w:p>
            </w:tc>
            <w:tc>
              <w:tcPr>
                <w:tcW w:w="3544" w:type="dxa"/>
                <w:vAlign w:val="center"/>
              </w:tcPr>
              <w:p w:rsidRPr="00EF4BD5" w:rsidR="005E3BD6" w:rsidRDefault="005E3BD6" w14:paraId="67BA313F" w14:textId="77777777">
                <w:pPr>
                  <w:pStyle w:val="Prrafodelista"/>
                  <w:numPr>
                    <w:ilvl w:val="0"/>
                    <w:numId w:val="42"/>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00EF4BD5">
                  <w:rPr>
                    <w:rFonts w:ascii="Nunito Sans" w:hAnsi="Nunito Sans" w:cs="Calibri" w:eastAsiaTheme="minorHAnsi"/>
                    <w:sz w:val="18"/>
                    <w:szCs w:val="18"/>
                    <w:lang w:eastAsia="en-US"/>
                  </w:rPr>
                  <w:t>Transformación Digital</w:t>
                </w:r>
              </w:p>
              <w:p w:rsidRPr="007E3FC8" w:rsidR="005E3BD6" w:rsidRDefault="1F325162" w14:paraId="6D0021B0" w14:textId="1541F57C">
                <w:pPr>
                  <w:pStyle w:val="Prrafodelista"/>
                  <w:numPr>
                    <w:ilvl w:val="0"/>
                    <w:numId w:val="42"/>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4E60D266">
                  <w:rPr>
                    <w:rFonts w:ascii="Nunito Sans" w:hAnsi="Nunito Sans" w:cs="Calibri" w:eastAsiaTheme="minorEastAsia"/>
                    <w:sz w:val="18"/>
                    <w:szCs w:val="18"/>
                    <w:lang w:eastAsia="en-US"/>
                  </w:rPr>
                  <w:t>Política de Gobierno Digital</w:t>
                </w:r>
                <w:r w:rsidRPr="4E60D266" w:rsidR="00FA4E5A">
                  <w:rPr>
                    <w:rStyle w:val="Refdenotaalpie"/>
                    <w:rFonts w:ascii="Nunito Sans" w:hAnsi="Nunito Sans" w:cs="Calibri" w:eastAsiaTheme="minorEastAsia"/>
                    <w:sz w:val="18"/>
                    <w:szCs w:val="18"/>
                    <w:lang w:eastAsia="en-US"/>
                  </w:rPr>
                  <w:footnoteReference w:id="9"/>
                </w:r>
              </w:p>
              <w:p w:rsidRPr="007E3FC8" w:rsidR="005E3BD6" w:rsidRDefault="1F325162" w14:paraId="39195B0B" w14:textId="1BABCD9E">
                <w:pPr>
                  <w:pStyle w:val="Prrafodelista"/>
                  <w:numPr>
                    <w:ilvl w:val="0"/>
                    <w:numId w:val="42"/>
                  </w:numPr>
                  <w:ind w:left="325"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4E60D266">
                  <w:rPr>
                    <w:rFonts w:ascii="Nunito Sans" w:hAnsi="Nunito Sans" w:cs="Calibri" w:eastAsiaTheme="minorEastAsia"/>
                    <w:sz w:val="18"/>
                    <w:szCs w:val="18"/>
                    <w:lang w:eastAsia="en-US"/>
                  </w:rPr>
                  <w:t>Modelo Integrado de Planeación y Gestión</w:t>
                </w:r>
                <w:r w:rsidRPr="4E60D266" w:rsidR="001675BA">
                  <w:rPr>
                    <w:rStyle w:val="Refdenotaalpie"/>
                    <w:rFonts w:ascii="Nunito Sans" w:hAnsi="Nunito Sans" w:cs="Calibri" w:eastAsiaTheme="minorEastAsia"/>
                    <w:sz w:val="18"/>
                    <w:szCs w:val="18"/>
                    <w:lang w:eastAsia="en-US"/>
                  </w:rPr>
                  <w:footnoteReference w:id="10"/>
                </w:r>
              </w:p>
            </w:tc>
            <w:tc>
              <w:tcPr>
                <w:tcW w:w="3118" w:type="dxa"/>
                <w:vAlign w:val="center"/>
              </w:tcPr>
              <w:p w:rsidRPr="007E3FC8" w:rsidR="005E3BD6" w:rsidRDefault="005E3BD6" w14:paraId="1CC68373" w14:textId="77777777">
                <w:pPr>
                  <w:pStyle w:val="Prrafodelista"/>
                  <w:numPr>
                    <w:ilvl w:val="0"/>
                    <w:numId w:val="3"/>
                  </w:numPr>
                  <w:ind w:left="319" w:hanging="283"/>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HAnsi"/>
                    <w:sz w:val="18"/>
                    <w:szCs w:val="18"/>
                    <w:lang w:eastAsia="en-US"/>
                  </w:rPr>
                </w:pPr>
                <w:r w:rsidRPr="007E3FC8">
                  <w:rPr>
                    <w:rFonts w:ascii="Nunito Sans" w:hAnsi="Nunito Sans" w:cs="Calibri" w:eastAsiaTheme="minorHAnsi"/>
                    <w:sz w:val="18"/>
                    <w:szCs w:val="18"/>
                    <w:lang w:eastAsia="en-US"/>
                  </w:rPr>
                  <w:t>Superintendencia de Servicios Públicos Domiciliarios</w:t>
                </w:r>
              </w:p>
            </w:tc>
          </w:tr>
        </w:tbl>
        <w:p w:rsidRPr="00F85164" w:rsidR="005E3BD6" w:rsidP="005E3BD6" w:rsidRDefault="005E3BD6" w14:paraId="4B09D184"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52B796F5" w14:textId="77777777">
          <w:pPr>
            <w:jc w:val="both"/>
            <w:rPr>
              <w:rFonts w:ascii="Nunito Sans" w:hAnsi="Nunito Sans" w:cs="Calibri" w:eastAsiaTheme="minorHAnsi"/>
              <w:sz w:val="22"/>
              <w:szCs w:val="22"/>
              <w:lang w:val="es-ES"/>
            </w:rPr>
          </w:pPr>
        </w:p>
        <w:p w:rsidRPr="00DD53CD" w:rsidR="0034359E" w:rsidRDefault="005E3BD6" w14:paraId="07C8AFC1" w14:textId="1737B1F4">
          <w:pPr>
            <w:pStyle w:val="Ttulo2"/>
            <w:numPr>
              <w:ilvl w:val="1"/>
              <w:numId w:val="34"/>
            </w:numPr>
            <w:rPr>
              <w:i/>
            </w:rPr>
          </w:pPr>
          <w:bookmarkStart w:name="_Toc237027905" w:id="18"/>
          <w:bookmarkStart w:name="_Toc1952678258" w:id="19"/>
          <w:bookmarkStart w:name="_Toc234234439" w:id="20"/>
          <w:r w:rsidRPr="00DD53CD">
            <w:t>Gobierno Nacional</w:t>
          </w:r>
          <w:bookmarkEnd w:id="18"/>
          <w:bookmarkEnd w:id="19"/>
          <w:bookmarkEnd w:id="20"/>
        </w:p>
        <w:p w:rsidRPr="005C3EC3" w:rsidR="005E3BD6" w:rsidP="005E3BD6" w:rsidRDefault="005A4F8D" w14:paraId="40CF9F58" w14:textId="2C56E656">
          <w:pPr>
            <w:ind w:left="360" w:hanging="360"/>
            <w:jc w:val="center"/>
            <w:rPr>
              <w:rFonts w:ascii="Nunito Sans" w:hAnsi="Nunito Sans" w:cs="Calibri"/>
              <w:b/>
              <w:bCs/>
              <w:sz w:val="18"/>
              <w:szCs w:val="18"/>
            </w:rPr>
          </w:pPr>
          <w:bookmarkStart w:name="_Toc220664173" w:id="21"/>
          <w:r w:rsidRPr="005A4F8D">
            <w:rPr>
              <w:rFonts w:ascii="Nunito Sans" w:hAnsi="Nunito Sans" w:cs="Calibri"/>
              <w:b/>
              <w:bCs/>
              <w:sz w:val="18"/>
              <w:szCs w:val="18"/>
            </w:rPr>
            <w:t xml:space="preserve">Tabla </w:t>
          </w:r>
          <w:r w:rsidRPr="005A4F8D">
            <w:rPr>
              <w:rFonts w:ascii="Nunito Sans" w:hAnsi="Nunito Sans" w:cs="Calibri"/>
              <w:b/>
              <w:bCs/>
              <w:sz w:val="18"/>
              <w:szCs w:val="18"/>
            </w:rPr>
            <w:fldChar w:fldCharType="begin"/>
          </w:r>
          <w:r w:rsidRPr="005A4F8D">
            <w:rPr>
              <w:rFonts w:ascii="Nunito Sans" w:hAnsi="Nunito Sans" w:cs="Calibri"/>
              <w:b/>
              <w:bCs/>
              <w:sz w:val="18"/>
              <w:szCs w:val="18"/>
            </w:rPr>
            <w:instrText xml:space="preserve"> SEQ Tabla \* ARABIC </w:instrText>
          </w:r>
          <w:r w:rsidRPr="005A4F8D">
            <w:rPr>
              <w:rFonts w:ascii="Nunito Sans" w:hAnsi="Nunito Sans" w:cs="Calibri"/>
              <w:b/>
              <w:bCs/>
              <w:sz w:val="18"/>
              <w:szCs w:val="18"/>
            </w:rPr>
            <w:fldChar w:fldCharType="separate"/>
          </w:r>
          <w:r w:rsidR="00C57F7B">
            <w:rPr>
              <w:rFonts w:ascii="Nunito Sans" w:hAnsi="Nunito Sans" w:cs="Calibri"/>
              <w:b/>
              <w:bCs/>
              <w:noProof/>
              <w:sz w:val="18"/>
              <w:szCs w:val="18"/>
            </w:rPr>
            <w:t>2</w:t>
          </w:r>
          <w:r w:rsidRPr="005A4F8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del Gobierno Nacional</w:t>
          </w:r>
          <w:bookmarkEnd w:id="21"/>
        </w:p>
        <w:tbl>
          <w:tblPr>
            <w:tblStyle w:val="Tablaconcuadrcula"/>
            <w:tblW w:w="8788" w:type="dxa"/>
            <w:tblInd w:w="421" w:type="dxa"/>
            <w:tblBorders>
              <w:top w:val="single" w:color="E4B33B" w:sz="4" w:space="0"/>
              <w:left w:val="single" w:color="E4B33B" w:sz="4" w:space="0"/>
              <w:bottom w:val="single" w:color="E4B33B" w:sz="4" w:space="0"/>
              <w:right w:val="single" w:color="E4B33B" w:sz="4" w:space="0"/>
              <w:insideH w:val="single" w:color="E4B33B" w:sz="4" w:space="0"/>
              <w:insideV w:val="single" w:color="E4B33B" w:sz="4" w:space="0"/>
            </w:tblBorders>
            <w:tblLook w:val="04A0" w:firstRow="1" w:lastRow="0" w:firstColumn="1" w:lastColumn="0" w:noHBand="0" w:noVBand="1"/>
          </w:tblPr>
          <w:tblGrid>
            <w:gridCol w:w="1984"/>
            <w:gridCol w:w="6804"/>
          </w:tblGrid>
          <w:tr w:rsidRPr="007E3FC8" w:rsidR="005E3BD6" w:rsidTr="000A2080" w14:paraId="3F11BAE8" w14:textId="77777777">
            <w:tc>
              <w:tcPr>
                <w:tcW w:w="1984" w:type="dxa"/>
                <w:shd w:val="clear" w:color="auto" w:fill="E1AF3B"/>
                <w:vAlign w:val="center"/>
              </w:tcPr>
              <w:p w:rsidRPr="00BC11AC" w:rsidR="005E3BD6" w:rsidP="00B4771C" w:rsidRDefault="005E3BD6" w14:paraId="7820C3AA" w14:textId="77777777">
                <w:pPr>
                  <w:pStyle w:val="Prrafodelista"/>
                  <w:rPr>
                    <w:rFonts w:ascii="Nunito Sans" w:hAnsi="Nunito Sans" w:cs="Calibri"/>
                    <w:b/>
                    <w:bCs/>
                    <w:color w:val="FFFFFF" w:themeColor="background1"/>
                    <w:sz w:val="18"/>
                    <w:szCs w:val="18"/>
                  </w:rPr>
                </w:pPr>
                <w:r w:rsidRPr="00BC11AC">
                  <w:rPr>
                    <w:rFonts w:ascii="Nunito Sans" w:hAnsi="Nunito Sans" w:cs="Calibri"/>
                    <w:b/>
                    <w:bCs/>
                    <w:color w:val="FFFFFF" w:themeColor="background1"/>
                    <w:sz w:val="18"/>
                    <w:szCs w:val="18"/>
                  </w:rPr>
                  <w:t>Plan Nacional de Desarrollo</w:t>
                </w:r>
              </w:p>
            </w:tc>
            <w:tc>
              <w:tcPr>
                <w:tcW w:w="6804" w:type="dxa"/>
                <w:vAlign w:val="center"/>
              </w:tcPr>
              <w:p w:rsidRPr="002343A9" w:rsidR="005E3BD6" w:rsidP="00B4771C" w:rsidRDefault="005E3BD6" w14:paraId="1BFF42A7" w14:textId="77777777">
                <w:pPr>
                  <w:pStyle w:val="Prrafodelista"/>
                  <w:rPr>
                    <w:rFonts w:ascii="Nunito Sans" w:hAnsi="Nunito Sans" w:cs="Calibri"/>
                    <w:sz w:val="18"/>
                    <w:szCs w:val="18"/>
                  </w:rPr>
                </w:pPr>
                <w:r w:rsidRPr="002343A9">
                  <w:rPr>
                    <w:rFonts w:ascii="Nunito Sans" w:hAnsi="Nunito Sans" w:cs="Calibri"/>
                    <w:sz w:val="18"/>
                    <w:szCs w:val="18"/>
                  </w:rPr>
                  <w:t>Plan Nacional de Desarrollo 2022-2026</w:t>
                </w:r>
              </w:p>
              <w:p w:rsidRPr="00CA226B" w:rsidR="005E3BD6" w:rsidP="00B4771C" w:rsidRDefault="005E3BD6" w14:paraId="2AACB7BE" w14:textId="77777777">
                <w:pPr>
                  <w:pStyle w:val="Prrafodelista"/>
                  <w:rPr>
                    <w:rFonts w:ascii="Nunito Sans" w:hAnsi="Nunito Sans" w:cs="Calibri"/>
                    <w:color w:val="E1AF3B"/>
                    <w:sz w:val="18"/>
                    <w:szCs w:val="18"/>
                  </w:rPr>
                </w:pPr>
                <w:hyperlink w:history="1" r:id="rId25">
                  <w:r w:rsidRPr="00CA226B">
                    <w:rPr>
                      <w:rStyle w:val="Hipervnculo"/>
                      <w:rFonts w:ascii="Nunito Sans" w:hAnsi="Nunito Sans" w:cs="Calibri"/>
                      <w:color w:val="E1AF3B"/>
                      <w:sz w:val="18"/>
                      <w:szCs w:val="18"/>
                    </w:rPr>
                    <w:t>Link del Plan Nacional de Desarrollo</w:t>
                  </w:r>
                </w:hyperlink>
              </w:p>
            </w:tc>
          </w:tr>
          <w:tr w:rsidRPr="007E3FC8" w:rsidR="005E3BD6" w:rsidTr="000A2080" w14:paraId="4116A59E" w14:textId="77777777">
            <w:tc>
              <w:tcPr>
                <w:tcW w:w="1984" w:type="dxa"/>
                <w:shd w:val="clear" w:color="auto" w:fill="E1AF3B"/>
                <w:vAlign w:val="center"/>
              </w:tcPr>
              <w:p w:rsidRPr="00BC11AC" w:rsidR="005E3BD6" w:rsidP="00B4771C" w:rsidRDefault="005E3BD6" w14:paraId="263C29AE" w14:textId="77777777">
                <w:pPr>
                  <w:pStyle w:val="Prrafodelista"/>
                  <w:rPr>
                    <w:rFonts w:ascii="Nunito Sans" w:hAnsi="Nunito Sans" w:cs="Calibri"/>
                    <w:b/>
                    <w:bCs/>
                    <w:color w:val="FFFFFF" w:themeColor="background1"/>
                    <w:sz w:val="18"/>
                    <w:szCs w:val="18"/>
                  </w:rPr>
                </w:pPr>
                <w:r w:rsidRPr="00BC11AC">
                  <w:rPr>
                    <w:rFonts w:ascii="Nunito Sans" w:hAnsi="Nunito Sans" w:cs="Calibri"/>
                    <w:b/>
                    <w:bCs/>
                    <w:color w:val="FFFFFF" w:themeColor="background1"/>
                    <w:sz w:val="18"/>
                    <w:szCs w:val="18"/>
                  </w:rPr>
                  <w:t>Decreto Único Reglamentario del Sector Administrativo de Minas y Energía"</w:t>
                </w:r>
              </w:p>
            </w:tc>
            <w:tc>
              <w:tcPr>
                <w:tcW w:w="6804" w:type="dxa"/>
                <w:vAlign w:val="center"/>
              </w:tcPr>
              <w:p w:rsidRPr="002343A9" w:rsidR="005E3BD6" w:rsidP="00B4771C" w:rsidRDefault="005E3BD6" w14:paraId="6D17B20E" w14:textId="77777777">
                <w:pPr>
                  <w:pStyle w:val="Prrafodelista"/>
                  <w:rPr>
                    <w:rFonts w:ascii="Nunito Sans" w:hAnsi="Nunito Sans" w:cs="Calibri"/>
                    <w:sz w:val="18"/>
                    <w:szCs w:val="18"/>
                  </w:rPr>
                </w:pPr>
                <w:r w:rsidRPr="00CA226B">
                  <w:rPr>
                    <w:rStyle w:val="Hipervnculo"/>
                    <w:rFonts w:ascii="Nunito Sans" w:hAnsi="Nunito Sans" w:cs="Calibri"/>
                    <w:color w:val="E1AF3B"/>
                    <w:sz w:val="18"/>
                    <w:szCs w:val="18"/>
                  </w:rPr>
                  <w:t>https://www.funcionpublica.gov.co/eva/gestornormativo/norma.php?i=77887</w:t>
                </w:r>
              </w:p>
            </w:tc>
          </w:tr>
        </w:tbl>
        <w:p w:rsidRPr="002343A9" w:rsidR="005E3BD6" w:rsidP="005E3BD6" w:rsidRDefault="005E3BD6" w14:paraId="1CDC72D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502E9725" w14:textId="77777777">
          <w:pPr>
            <w:ind w:left="360" w:hanging="360"/>
            <w:jc w:val="both"/>
            <w:rPr>
              <w:rFonts w:ascii="Nunito Sans" w:hAnsi="Nunito Sans" w:cs="Calibri"/>
              <w:b/>
              <w:bCs/>
              <w:color w:val="E1AF3B"/>
              <w:sz w:val="22"/>
              <w:szCs w:val="22"/>
            </w:rPr>
          </w:pPr>
        </w:p>
        <w:p w:rsidRPr="001740E4" w:rsidR="0034359E" w:rsidRDefault="005E3BD6" w14:paraId="70E7C46A" w14:textId="28608614">
          <w:pPr>
            <w:pStyle w:val="Ttulo2"/>
            <w:numPr>
              <w:ilvl w:val="1"/>
              <w:numId w:val="34"/>
            </w:numPr>
            <w:rPr>
              <w:i/>
            </w:rPr>
          </w:pPr>
          <w:bookmarkStart w:name="_Toc807823785" w:id="22"/>
          <w:bookmarkStart w:name="_Toc234234440" w:id="23"/>
          <w:r w:rsidRPr="001740E4">
            <w:lastRenderedPageBreak/>
            <w:t>Estrategia Central - Ministerio de Minas y Energía</w:t>
          </w:r>
          <w:bookmarkEnd w:id="22"/>
          <w:bookmarkEnd w:id="23"/>
        </w:p>
        <w:p w:rsidRPr="00230578" w:rsidR="005E3BD6" w:rsidP="00F7128D" w:rsidRDefault="005E3BD6" w14:paraId="2D3BAE32" w14:textId="77777777">
          <w:pPr>
            <w:jc w:val="both"/>
            <w:rPr>
              <w:rFonts w:ascii="Nunito Sans" w:hAnsi="Nunito Sans" w:eastAsia="Nunito Sans" w:cs="Nunito Sans"/>
              <w:sz w:val="22"/>
              <w:szCs w:val="22"/>
              <w:lang w:eastAsia="en-US"/>
            </w:rPr>
          </w:pPr>
          <w:r w:rsidRPr="00230578">
            <w:rPr>
              <w:rFonts w:ascii="Nunito Sans" w:hAnsi="Nunito Sans" w:eastAsia="Nunito Sans" w:cs="Nunito Sans"/>
              <w:sz w:val="22"/>
              <w:szCs w:val="22"/>
              <w:lang w:eastAsia="en-US"/>
            </w:rPr>
            <w:t>El Ministerio de Minas y Energía de Colombia es la entidad del Gobierno Nacional encargada de formular, coordinar y evaluar las políticas públicas relacionadas con la exploración, explotación, producción, generación, transmisión, distribución y uso de los recursos mineros y energéticos del país, en concordancia con los principios de sostenibilidad, desarrollo económico y bienestar social.</w:t>
          </w:r>
        </w:p>
        <w:p w:rsidR="005E3BD6" w:rsidP="005E3BD6" w:rsidRDefault="005E3BD6" w14:paraId="659670EE" w14:textId="77777777">
          <w:pPr>
            <w:ind w:left="360"/>
            <w:jc w:val="both"/>
            <w:rPr>
              <w:rFonts w:ascii="Nunito Sans" w:hAnsi="Nunito Sans" w:cs="Calibri"/>
              <w:color w:val="4B4B4B"/>
              <w:sz w:val="22"/>
              <w:szCs w:val="22"/>
            </w:rPr>
          </w:pPr>
        </w:p>
        <w:p w:rsidR="00230578" w:rsidP="005E3BD6" w:rsidRDefault="00230578" w14:paraId="1F319D4C" w14:textId="77777777">
          <w:pPr>
            <w:ind w:left="360" w:hanging="360"/>
            <w:jc w:val="center"/>
            <w:rPr>
              <w:rFonts w:ascii="Nunito Sans" w:hAnsi="Nunito Sans" w:cs="Calibri"/>
              <w:b/>
              <w:bCs/>
              <w:sz w:val="18"/>
              <w:szCs w:val="18"/>
            </w:rPr>
          </w:pPr>
        </w:p>
        <w:p w:rsidRPr="005C3EC3" w:rsidR="005E3BD6" w:rsidP="005E3BD6" w:rsidRDefault="00DF04B7" w14:paraId="57774036" w14:textId="47AEAC06">
          <w:pPr>
            <w:ind w:left="360" w:hanging="360"/>
            <w:jc w:val="center"/>
            <w:rPr>
              <w:rFonts w:ascii="Nunito Sans" w:hAnsi="Nunito Sans" w:cs="Calibri"/>
              <w:b/>
              <w:bCs/>
              <w:sz w:val="18"/>
              <w:szCs w:val="18"/>
            </w:rPr>
          </w:pPr>
          <w:bookmarkStart w:name="_Toc220664174" w:id="24"/>
          <w:r w:rsidRPr="00DF04B7">
            <w:rPr>
              <w:rFonts w:ascii="Nunito Sans" w:hAnsi="Nunito Sans" w:cs="Calibri"/>
              <w:b/>
              <w:bCs/>
              <w:sz w:val="18"/>
              <w:szCs w:val="18"/>
            </w:rPr>
            <w:t xml:space="preserve">Tabla </w:t>
          </w:r>
          <w:r w:rsidRPr="00DF04B7">
            <w:rPr>
              <w:rFonts w:ascii="Nunito Sans" w:hAnsi="Nunito Sans" w:cs="Calibri"/>
              <w:b/>
              <w:bCs/>
              <w:sz w:val="18"/>
              <w:szCs w:val="18"/>
            </w:rPr>
            <w:fldChar w:fldCharType="begin"/>
          </w:r>
          <w:r w:rsidRPr="00DF04B7">
            <w:rPr>
              <w:rFonts w:ascii="Nunito Sans" w:hAnsi="Nunito Sans" w:cs="Calibri"/>
              <w:b/>
              <w:bCs/>
              <w:sz w:val="18"/>
              <w:szCs w:val="18"/>
            </w:rPr>
            <w:instrText xml:space="preserve"> SEQ Tabla \* ARABIC </w:instrText>
          </w:r>
          <w:r w:rsidRPr="00DF04B7">
            <w:rPr>
              <w:rFonts w:ascii="Nunito Sans" w:hAnsi="Nunito Sans" w:cs="Calibri"/>
              <w:b/>
              <w:bCs/>
              <w:sz w:val="18"/>
              <w:szCs w:val="18"/>
            </w:rPr>
            <w:fldChar w:fldCharType="separate"/>
          </w:r>
          <w:r w:rsidR="00C57F7B">
            <w:rPr>
              <w:rFonts w:ascii="Nunito Sans" w:hAnsi="Nunito Sans" w:cs="Calibri"/>
              <w:b/>
              <w:bCs/>
              <w:noProof/>
              <w:sz w:val="18"/>
              <w:szCs w:val="18"/>
            </w:rPr>
            <w:t>3</w:t>
          </w:r>
          <w:r w:rsidRPr="00DF04B7">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del Ministerio de Minas y Energía</w:t>
          </w:r>
          <w:bookmarkEnd w:id="24"/>
        </w:p>
        <w:tbl>
          <w:tblPr>
            <w:tblStyle w:val="Tablaconcuadrcula"/>
            <w:tblW w:w="8711" w:type="dxa"/>
            <w:tblInd w:w="421" w:type="dxa"/>
            <w:tblBorders>
              <w:top w:val="single" w:color="E4B33B" w:sz="4" w:space="0"/>
              <w:left w:val="single" w:color="E4B33B" w:sz="4" w:space="0"/>
              <w:bottom w:val="single" w:color="E4B33B" w:sz="4" w:space="0"/>
              <w:right w:val="single" w:color="E4B33B" w:sz="4" w:space="0"/>
              <w:insideH w:val="single" w:color="E4B33B" w:sz="4" w:space="0"/>
              <w:insideV w:val="single" w:color="E4B33B" w:sz="4" w:space="0"/>
            </w:tblBorders>
            <w:tblLook w:val="04A0" w:firstRow="1" w:lastRow="0" w:firstColumn="1" w:lastColumn="0" w:noHBand="0" w:noVBand="1"/>
          </w:tblPr>
          <w:tblGrid>
            <w:gridCol w:w="1984"/>
            <w:gridCol w:w="6727"/>
          </w:tblGrid>
          <w:tr w:rsidRPr="007E3FC8" w:rsidR="005E3BD6" w:rsidTr="00777797" w14:paraId="703A3957" w14:textId="77777777">
            <w:trPr>
              <w:trHeight w:val="43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14E74B16"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Decreto de Creación</w:t>
                </w:r>
              </w:p>
            </w:tc>
            <w:tc>
              <w:tcPr>
                <w:tcW w:w="6727" w:type="dxa"/>
                <w:tcBorders>
                  <w:left w:val="single" w:color="FFFFFF" w:themeColor="background1" w:sz="4" w:space="0"/>
                </w:tcBorders>
                <w:vAlign w:val="center"/>
              </w:tcPr>
              <w:p w:rsidRPr="00DC2862" w:rsidR="005E3BD6" w:rsidP="009F6F29" w:rsidRDefault="005E3BD6" w14:paraId="08383AF3" w14:textId="77777777">
                <w:pPr>
                  <w:pStyle w:val="Prrafodelista"/>
                  <w:rPr>
                    <w:rFonts w:ascii="Nunito Sans" w:hAnsi="Nunito Sans" w:cs="Calibri"/>
                    <w:b/>
                    <w:bCs/>
                    <w:color w:val="EDB600"/>
                    <w:sz w:val="18"/>
                    <w:szCs w:val="18"/>
                  </w:rPr>
                </w:pPr>
                <w:hyperlink w:history="1" r:id="rId26">
                  <w:r w:rsidRPr="00DC2862">
                    <w:rPr>
                      <w:rStyle w:val="Hipervnculo"/>
                      <w:rFonts w:ascii="Nunito Sans" w:hAnsi="Nunito Sans" w:cs="Calibri"/>
                      <w:color w:val="EDB600"/>
                      <w:sz w:val="18"/>
                      <w:szCs w:val="18"/>
                      <w:shd w:val="clear" w:color="auto" w:fill="FFFFFF"/>
                    </w:rPr>
                    <w:t>Decreto 1073 de 2015</w:t>
                  </w:r>
                </w:hyperlink>
              </w:p>
            </w:tc>
          </w:tr>
          <w:tr w:rsidRPr="007E3FC8" w:rsidR="005E3BD6" w:rsidTr="00777797" w14:paraId="0ADFCC12" w14:textId="77777777">
            <w:trPr>
              <w:trHeight w:val="39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04B6C03C"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Página Web</w:t>
                </w:r>
              </w:p>
            </w:tc>
            <w:tc>
              <w:tcPr>
                <w:tcW w:w="6727" w:type="dxa"/>
                <w:tcBorders>
                  <w:left w:val="single" w:color="FFFFFF" w:themeColor="background1" w:sz="4" w:space="0"/>
                </w:tcBorders>
                <w:vAlign w:val="center"/>
              </w:tcPr>
              <w:p w:rsidRPr="00DC2862" w:rsidR="005E3BD6" w:rsidP="009F6F29" w:rsidRDefault="005E3BD6" w14:paraId="71F97A90" w14:textId="77777777">
                <w:pPr>
                  <w:pStyle w:val="Prrafodelista"/>
                  <w:rPr>
                    <w:rFonts w:ascii="Nunito Sans" w:hAnsi="Nunito Sans" w:cs="Calibri"/>
                    <w:color w:val="EDB600"/>
                    <w:sz w:val="18"/>
                    <w:szCs w:val="18"/>
                  </w:rPr>
                </w:pPr>
                <w:hyperlink w:history="1" r:id="rId27">
                  <w:r w:rsidRPr="00DC2862">
                    <w:rPr>
                      <w:rStyle w:val="Hipervnculo"/>
                      <w:rFonts w:ascii="Nunito Sans" w:hAnsi="Nunito Sans" w:cs="Calibri"/>
                      <w:color w:val="EDB600"/>
                      <w:sz w:val="18"/>
                      <w:szCs w:val="18"/>
                    </w:rPr>
                    <w:t>https://www.minenergia.gov.co/es</w:t>
                  </w:r>
                </w:hyperlink>
              </w:p>
            </w:tc>
          </w:tr>
          <w:tr w:rsidRPr="007E3FC8" w:rsidR="005E3BD6" w:rsidTr="00777797" w14:paraId="77C21861" w14:textId="77777777">
            <w:trPr>
              <w:trHeight w:val="71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46A4756D"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Misión</w:t>
                </w:r>
              </w:p>
            </w:tc>
            <w:tc>
              <w:tcPr>
                <w:tcW w:w="6727" w:type="dxa"/>
                <w:tcBorders>
                  <w:left w:val="single" w:color="FFFFFF" w:themeColor="background1" w:sz="4" w:space="0"/>
                </w:tcBorders>
                <w:vAlign w:val="center"/>
              </w:tcPr>
              <w:p w:rsidRPr="00DC2862" w:rsidR="005E3BD6" w:rsidP="00F93CA5" w:rsidRDefault="005E3BD6" w14:paraId="2E39BADA" w14:textId="77777777">
                <w:pPr>
                  <w:pStyle w:val="Prrafodelista"/>
                  <w:jc w:val="both"/>
                  <w:rPr>
                    <w:rFonts w:ascii="Nunito Sans" w:hAnsi="Nunito Sans" w:cs="Calibri" w:eastAsiaTheme="minorHAnsi"/>
                    <w:color w:val="000000" w:themeColor="text1"/>
                    <w:sz w:val="18"/>
                    <w:szCs w:val="18"/>
                    <w:lang w:val="es-ES" w:eastAsia="en-US"/>
                  </w:rPr>
                </w:pPr>
                <w:r w:rsidRPr="00DC2862">
                  <w:rPr>
                    <w:rFonts w:ascii="Nunito Sans" w:hAnsi="Nunito Sans" w:cs="Calibri" w:eastAsiaTheme="minorHAnsi"/>
                    <w:color w:val="000000" w:themeColor="text1"/>
                    <w:sz w:val="18"/>
                    <w:szCs w:val="18"/>
                    <w:lang w:val="es-ES" w:eastAsia="en-US"/>
                  </w:rPr>
                  <w:t>Formular y adoptar políticas dirigidas al aprovechamiento sostenible de los recursos mineros y energéticos para contribuir al desarrollo económico y social del país.</w:t>
                </w:r>
              </w:p>
            </w:tc>
          </w:tr>
          <w:tr w:rsidRPr="007E3FC8" w:rsidR="005E3BD6" w:rsidTr="00777797" w14:paraId="72BF5A7F" w14:textId="77777777">
            <w:trPr>
              <w:trHeight w:val="693"/>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6C2E439C"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Visión</w:t>
                </w:r>
              </w:p>
            </w:tc>
            <w:tc>
              <w:tcPr>
                <w:tcW w:w="6727" w:type="dxa"/>
                <w:tcBorders>
                  <w:left w:val="single" w:color="FFFFFF" w:themeColor="background1" w:sz="4" w:space="0"/>
                </w:tcBorders>
                <w:vAlign w:val="center"/>
              </w:tcPr>
              <w:p w:rsidRPr="00DC2862" w:rsidR="005E3BD6" w:rsidP="00F93CA5" w:rsidRDefault="005E3BD6" w14:paraId="45E4B9F9" w14:textId="77777777">
                <w:pPr>
                  <w:pStyle w:val="NormalWeb"/>
                  <w:shd w:val="clear" w:color="auto" w:fill="FFFFFF"/>
                  <w:spacing w:beforeAutospacing="0"/>
                  <w:jc w:val="both"/>
                  <w:rPr>
                    <w:rFonts w:ascii="Nunito Sans" w:hAnsi="Nunito Sans" w:cs="Calibri"/>
                    <w:color w:val="000000" w:themeColor="text1"/>
                    <w:sz w:val="18"/>
                    <w:szCs w:val="18"/>
                  </w:rPr>
                </w:pPr>
                <w:r w:rsidRPr="00DC2862">
                  <w:rPr>
                    <w:rFonts w:ascii="Nunito Sans" w:hAnsi="Nunito Sans" w:cs="Calibri"/>
                    <w:color w:val="000000" w:themeColor="text1"/>
                    <w:sz w:val="18"/>
                    <w:szCs w:val="18"/>
                  </w:rPr>
                  <w:t>El Ministerio de Minas y Energía será reconocido por la formulación de políticas que garanticen el desarrollo y aprovechamiento eficiente de los recursos mineros y energéticos en Colombia, su explotación, abastecimiento y exportación de sus excedentes, trabajando con eficiencia, innovación, calidad en su gestión y promoción de la responsabilidad social y ambiental.</w:t>
                </w:r>
              </w:p>
            </w:tc>
          </w:tr>
          <w:tr w:rsidRPr="007E3FC8" w:rsidR="005E3BD6" w:rsidTr="00777797" w14:paraId="72953847" w14:textId="77777777">
            <w:trPr>
              <w:trHeight w:val="67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31FFC08F" w14:textId="1C52E1B0">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Objetivo</w:t>
                </w:r>
              </w:p>
            </w:tc>
            <w:tc>
              <w:tcPr>
                <w:tcW w:w="6727" w:type="dxa"/>
                <w:tcBorders>
                  <w:left w:val="single" w:color="FFFFFF" w:themeColor="background1" w:sz="4" w:space="0"/>
                </w:tcBorders>
                <w:vAlign w:val="center"/>
              </w:tcPr>
              <w:p w:rsidRPr="00DC2862" w:rsidR="005E3BD6" w:rsidP="00F93CA5" w:rsidRDefault="005C4E67" w14:paraId="4529E078" w14:textId="7A596C2A">
                <w:pPr>
                  <w:pStyle w:val="NormalWeb"/>
                  <w:spacing w:beforeAutospacing="0" w:afterAutospacing="0"/>
                  <w:jc w:val="both"/>
                  <w:rPr>
                    <w:rFonts w:ascii="Nunito Sans" w:hAnsi="Nunito Sans" w:cs="Calibri"/>
                    <w:color w:val="000000" w:themeColor="text1"/>
                    <w:sz w:val="18"/>
                    <w:szCs w:val="18"/>
                  </w:rPr>
                </w:pPr>
                <w:r w:rsidRPr="00DC2862">
                  <w:rPr>
                    <w:rFonts w:ascii="Nunito Sans" w:hAnsi="Nunito Sans" w:cs="Calibri"/>
                    <w:color w:val="000000" w:themeColor="text1"/>
                    <w:sz w:val="18"/>
                    <w:szCs w:val="18"/>
                  </w:rPr>
                  <w:t>Fortalecer el desempeño institucional del Ministerio mediante la implementación y mejora continua del Sistema Integrado de Gestión, asegurando el cumplimiento de los requisitos legales y compromisos en calidad, seguridad y salud en el trabajo, medio ambiente y MIPG, promoviendo el uso eficiente de los recursos, la gestión integral de riesgos, la satisfacción de los grupos de valor, la toma de conciencia organizacional y el fortalecimiento de la gestión del conocimiento, la información, la innovación y la protección de los datos.</w:t>
                </w:r>
              </w:p>
            </w:tc>
          </w:tr>
          <w:tr w:rsidRPr="007E3FC8" w:rsidR="005E3BD6" w:rsidTr="00777797" w14:paraId="6703D557" w14:textId="77777777">
            <w:trPr>
              <w:trHeight w:val="85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0558238E"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Estratégico Institucional</w:t>
                </w:r>
              </w:p>
            </w:tc>
            <w:tc>
              <w:tcPr>
                <w:tcW w:w="6727" w:type="dxa"/>
                <w:tcBorders>
                  <w:left w:val="single" w:color="FFFFFF" w:themeColor="background1" w:sz="4" w:space="0"/>
                </w:tcBorders>
                <w:vAlign w:val="center"/>
              </w:tcPr>
              <w:p w:rsidRPr="00DC2862" w:rsidR="005E3BD6" w:rsidP="009F6F29" w:rsidRDefault="005E3BD6" w14:paraId="2158AE05" w14:textId="77777777">
                <w:pPr>
                  <w:rPr>
                    <w:rFonts w:ascii="Nunito Sans" w:hAnsi="Nunito Sans" w:cs="Calibri"/>
                    <w:sz w:val="18"/>
                    <w:szCs w:val="18"/>
                  </w:rPr>
                </w:pPr>
                <w:r w:rsidRPr="00DC2862">
                  <w:rPr>
                    <w:rFonts w:ascii="Nunito Sans" w:hAnsi="Nunito Sans" w:cs="Calibri"/>
                    <w:sz w:val="18"/>
                    <w:szCs w:val="18"/>
                  </w:rPr>
                  <w:t>Plan Estratégico de Minas y Energía | 2023 – 2026</w:t>
                </w:r>
              </w:p>
              <w:p w:rsidRPr="00DC2862" w:rsidR="005E3BD6" w:rsidP="009F6F29" w:rsidRDefault="005E3BD6" w14:paraId="6218A877" w14:textId="77777777">
                <w:pPr>
                  <w:rPr>
                    <w:rFonts w:ascii="Nunito Sans" w:hAnsi="Nunito Sans" w:cs="Calibri"/>
                    <w:sz w:val="18"/>
                    <w:szCs w:val="18"/>
                  </w:rPr>
                </w:pPr>
                <w:hyperlink w:history="1" r:id="rId28">
                  <w:r w:rsidRPr="00DC2862">
                    <w:rPr>
                      <w:rStyle w:val="Hipervnculo"/>
                      <w:rFonts w:ascii="Nunito Sans" w:hAnsi="Nunito Sans" w:cs="Calibri"/>
                      <w:color w:val="EDB600"/>
                      <w:sz w:val="18"/>
                      <w:szCs w:val="18"/>
                    </w:rPr>
                    <w:t>Link del Plan Estratégico Institucional</w:t>
                  </w:r>
                </w:hyperlink>
              </w:p>
            </w:tc>
          </w:tr>
          <w:tr w:rsidRPr="007E3FC8" w:rsidR="005E3BD6" w:rsidTr="00777797" w14:paraId="4A18E378"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191C4AF7" w14:textId="2C7641CB">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Estratégico de Tecnologías de la Información</w:t>
                </w:r>
              </w:p>
            </w:tc>
            <w:tc>
              <w:tcPr>
                <w:tcW w:w="6727" w:type="dxa"/>
                <w:tcBorders>
                  <w:left w:val="single" w:color="FFFFFF" w:themeColor="background1" w:sz="4" w:space="0"/>
                </w:tcBorders>
                <w:vAlign w:val="center"/>
              </w:tcPr>
              <w:p w:rsidRPr="00DC2862" w:rsidR="005E3BD6" w:rsidP="009F6F29" w:rsidRDefault="005E3BD6" w14:paraId="6D74AFD5" w14:textId="77777777">
                <w:pPr>
                  <w:ind w:right="-114"/>
                  <w:rPr>
                    <w:rFonts w:ascii="Nunito Sans" w:hAnsi="Nunito Sans" w:cs="Calibri"/>
                    <w:sz w:val="18"/>
                    <w:szCs w:val="18"/>
                  </w:rPr>
                </w:pPr>
                <w:r w:rsidRPr="00DC2862">
                  <w:rPr>
                    <w:rFonts w:ascii="Nunito Sans" w:hAnsi="Nunito Sans" w:cs="Calibri"/>
                    <w:sz w:val="18"/>
                    <w:szCs w:val="18"/>
                  </w:rPr>
                  <w:t>Plan Estratégico de Tecnologías de Información | 2024 – 2027</w:t>
                </w:r>
              </w:p>
              <w:p w:rsidRPr="00DC2862" w:rsidR="005E3BD6" w:rsidP="009F6F29" w:rsidRDefault="005E3BD6" w14:paraId="308A70DF" w14:textId="4FC6D94B">
                <w:pPr>
                  <w:ind w:right="-114"/>
                  <w:rPr>
                    <w:rFonts w:ascii="Nunito Sans" w:hAnsi="Nunito Sans" w:cs="Calibri"/>
                    <w:sz w:val="18"/>
                    <w:szCs w:val="18"/>
                  </w:rPr>
                </w:pPr>
                <w:hyperlink w:history="1" r:id="rId29">
                  <w:r w:rsidRPr="00DC2862">
                    <w:rPr>
                      <w:rStyle w:val="Hipervnculo"/>
                      <w:rFonts w:ascii="Nunito Sans" w:hAnsi="Nunito Sans" w:cs="Calibri"/>
                      <w:color w:val="EDB600"/>
                      <w:sz w:val="18"/>
                      <w:szCs w:val="18"/>
                    </w:rPr>
                    <w:t>Link de Plan Estratégico de Tecnologías de Información</w:t>
                  </w:r>
                </w:hyperlink>
              </w:p>
            </w:tc>
          </w:tr>
          <w:tr w:rsidRPr="007E3FC8" w:rsidR="005E3BD6" w:rsidTr="00777797" w14:paraId="1FB4BD12"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37DB3EDF"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de Seguridad y Privacidad de la información</w:t>
                </w:r>
              </w:p>
            </w:tc>
            <w:tc>
              <w:tcPr>
                <w:tcW w:w="6727" w:type="dxa"/>
                <w:tcBorders>
                  <w:left w:val="single" w:color="FFFFFF" w:themeColor="background1" w:sz="4" w:space="0"/>
                </w:tcBorders>
                <w:vAlign w:val="center"/>
              </w:tcPr>
              <w:p w:rsidRPr="00DC2862" w:rsidR="005E3BD6" w:rsidP="009F6F29" w:rsidRDefault="005E3BD6" w14:paraId="7107C767" w14:textId="77777777">
                <w:pPr>
                  <w:rPr>
                    <w:rFonts w:ascii="Nunito Sans" w:hAnsi="Nunito Sans" w:cs="Calibri"/>
                    <w:sz w:val="18"/>
                    <w:szCs w:val="18"/>
                  </w:rPr>
                </w:pPr>
                <w:r w:rsidRPr="00DC2862">
                  <w:rPr>
                    <w:rFonts w:ascii="Nunito Sans" w:hAnsi="Nunito Sans" w:cs="Calibri"/>
                    <w:sz w:val="18"/>
                    <w:szCs w:val="18"/>
                  </w:rPr>
                  <w:t>Plan de Seguridad y Privacidad de la Información - 2025</w:t>
                </w:r>
              </w:p>
              <w:p w:rsidRPr="00DC2862" w:rsidR="005E3BD6" w:rsidP="009F6F29" w:rsidRDefault="005E3BD6" w14:paraId="5279A4D1" w14:textId="77777777">
                <w:pPr>
                  <w:rPr>
                    <w:rFonts w:ascii="Nunito Sans" w:hAnsi="Nunito Sans" w:cs="Calibri"/>
                    <w:sz w:val="18"/>
                    <w:szCs w:val="18"/>
                  </w:rPr>
                </w:pPr>
                <w:hyperlink w:history="1" r:id="rId30">
                  <w:r w:rsidRPr="00DC2862">
                    <w:rPr>
                      <w:rStyle w:val="Hipervnculo"/>
                      <w:rFonts w:ascii="Nunito Sans" w:hAnsi="Nunito Sans" w:cs="Calibri"/>
                      <w:color w:val="EDB600"/>
                      <w:sz w:val="18"/>
                      <w:szCs w:val="18"/>
                    </w:rPr>
                    <w:t>Link de Plan de Seguridad y Privacidad de la Información</w:t>
                  </w:r>
                </w:hyperlink>
              </w:p>
            </w:tc>
          </w:tr>
          <w:tr w:rsidRPr="007E3FC8" w:rsidR="005E3BD6" w:rsidTr="00777797" w14:paraId="07F1504E"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1A52EC" w:rsidRDefault="005E3BD6" w14:paraId="73C61887"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Tratamiento de Riesgos de Seguridad y Privacidad de la Información</w:t>
                </w:r>
              </w:p>
            </w:tc>
            <w:tc>
              <w:tcPr>
                <w:tcW w:w="6727" w:type="dxa"/>
                <w:tcBorders>
                  <w:left w:val="single" w:color="FFFFFF" w:themeColor="background1" w:sz="4" w:space="0"/>
                </w:tcBorders>
                <w:vAlign w:val="center"/>
              </w:tcPr>
              <w:p w:rsidRPr="00DC2862" w:rsidR="005E3BD6" w:rsidP="009F6F29" w:rsidRDefault="005E3BD6" w14:paraId="11A7EDB4" w14:textId="77777777">
                <w:pPr>
                  <w:rPr>
                    <w:rFonts w:ascii="Nunito Sans" w:hAnsi="Nunito Sans" w:cs="Calibri"/>
                    <w:color w:val="000000" w:themeColor="text1"/>
                    <w:sz w:val="18"/>
                    <w:szCs w:val="18"/>
                  </w:rPr>
                </w:pPr>
                <w:r w:rsidRPr="00DC2862">
                  <w:rPr>
                    <w:rFonts w:ascii="Nunito Sans" w:hAnsi="Nunito Sans" w:cs="Calibri"/>
                    <w:color w:val="000000" w:themeColor="text1"/>
                    <w:sz w:val="18"/>
                    <w:szCs w:val="18"/>
                  </w:rPr>
                  <w:t>Plan de Tratamiento de Riesgos de Seguridad de la Información - 2025</w:t>
                </w:r>
              </w:p>
              <w:p w:rsidRPr="00DC2862" w:rsidR="005E3BD6" w:rsidP="009F6F29" w:rsidRDefault="005E3BD6" w14:paraId="7256D333" w14:textId="77777777">
                <w:pPr>
                  <w:rPr>
                    <w:rFonts w:ascii="Nunito Sans" w:hAnsi="Nunito Sans" w:cs="Calibri"/>
                    <w:sz w:val="18"/>
                    <w:szCs w:val="18"/>
                  </w:rPr>
                </w:pPr>
                <w:hyperlink w:history="1" r:id="rId31">
                  <w:r w:rsidRPr="00DC2862">
                    <w:rPr>
                      <w:rStyle w:val="Hipervnculo"/>
                      <w:rFonts w:ascii="Nunito Sans" w:hAnsi="Nunito Sans" w:cs="Calibri"/>
                      <w:color w:val="EDB600"/>
                      <w:sz w:val="18"/>
                      <w:szCs w:val="18"/>
                    </w:rPr>
                    <w:t>Link del Plan de Riesgos de Seguridad y Privacidad de la Información</w:t>
                  </w:r>
                </w:hyperlink>
              </w:p>
            </w:tc>
          </w:tr>
          <w:tr w:rsidRPr="007E3FC8" w:rsidR="005E3BD6" w:rsidTr="00F37CC6" w14:paraId="1FD4566C" w14:textId="77777777">
            <w:trPr>
              <w:trHeight w:val="50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F93CA5" w:rsidRDefault="005E3BD6" w14:paraId="4FA26EB7" w14:textId="1A8AF634">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Mapa de procesos</w:t>
                </w:r>
              </w:p>
            </w:tc>
            <w:tc>
              <w:tcPr>
                <w:tcW w:w="6727" w:type="dxa"/>
                <w:tcBorders>
                  <w:left w:val="single" w:color="FFFFFF" w:themeColor="background1" w:sz="4" w:space="0"/>
                </w:tcBorders>
                <w:vAlign w:val="center"/>
              </w:tcPr>
              <w:p w:rsidRPr="00DC2862" w:rsidR="005E3BD6" w:rsidP="00F93CA5" w:rsidRDefault="005E3BD6" w14:paraId="22FEB0E0" w14:textId="0CCBB584">
                <w:pPr>
                  <w:ind w:left="360" w:hanging="360"/>
                  <w:rPr>
                    <w:rFonts w:ascii="Nunito Sans" w:hAnsi="Nunito Sans" w:cs="Calibri"/>
                    <w:sz w:val="18"/>
                    <w:szCs w:val="18"/>
                  </w:rPr>
                </w:pPr>
                <w:r w:rsidRPr="00DC2862">
                  <w:rPr>
                    <w:rFonts w:ascii="Nunito Sans" w:hAnsi="Nunito Sans" w:cs="Calibri"/>
                    <w:sz w:val="18"/>
                    <w:szCs w:val="18"/>
                  </w:rPr>
                  <w:fldChar w:fldCharType="begin"/>
                </w:r>
                <w:r w:rsidRPr="00DC2862">
                  <w:rPr>
                    <w:rFonts w:ascii="Nunito Sans" w:hAnsi="Nunito Sans" w:cs="Calibri"/>
                    <w:sz w:val="18"/>
                    <w:szCs w:val="18"/>
                  </w:rPr>
                  <w:instrText xml:space="preserve"> INCLUDEPICTURE "https://www.minenergia.gov.co/documents/11024/mapaProcesos-MME-2023.jpg" \* MERGEFORMATINET </w:instrText>
                </w:r>
                <w:r w:rsidRPr="00DC2862">
                  <w:rPr>
                    <w:rFonts w:ascii="Nunito Sans" w:hAnsi="Nunito Sans" w:cs="Calibri"/>
                    <w:sz w:val="18"/>
                    <w:szCs w:val="18"/>
                  </w:rPr>
                  <w:fldChar w:fldCharType="end"/>
                </w:r>
                <w:hyperlink r:id="rId32">
                  <w:r w:rsidRPr="00DC2862">
                    <w:rPr>
                      <w:rStyle w:val="Hipervnculo"/>
                      <w:rFonts w:ascii="Nunito Sans" w:hAnsi="Nunito Sans" w:cs="Calibri"/>
                      <w:color w:val="EDB600"/>
                      <w:sz w:val="18"/>
                      <w:szCs w:val="18"/>
                    </w:rPr>
                    <w:t>Link de Mapa de Procesos</w:t>
                  </w:r>
                </w:hyperlink>
              </w:p>
            </w:tc>
          </w:tr>
        </w:tbl>
        <w:p w:rsidRPr="007E3FC8" w:rsidR="005E3BD6" w:rsidP="005E3BD6" w:rsidRDefault="005E3BD6" w14:paraId="300426EE"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2A564D0E" w14:textId="77777777">
          <w:pPr>
            <w:jc w:val="both"/>
            <w:rPr>
              <w:rFonts w:ascii="Nunito Sans" w:hAnsi="Nunito Sans" w:cs="Calibri"/>
              <w:b/>
              <w:bCs/>
              <w:color w:val="E1AF3B"/>
              <w:sz w:val="22"/>
              <w:szCs w:val="22"/>
            </w:rPr>
          </w:pPr>
        </w:p>
        <w:p w:rsidRPr="00901416" w:rsidR="00AA11F4" w:rsidRDefault="005E3BD6" w14:paraId="270F0B2D" w14:textId="77777777">
          <w:pPr>
            <w:pStyle w:val="Ttulo2"/>
            <w:numPr>
              <w:ilvl w:val="1"/>
              <w:numId w:val="34"/>
            </w:numPr>
            <w:rPr>
              <w:i/>
            </w:rPr>
          </w:pPr>
          <w:bookmarkStart w:name="_Toc16598127" w:id="25"/>
          <w:bookmarkStart w:name="_Toc234234441" w:id="26"/>
          <w:r w:rsidRPr="00901416">
            <w:lastRenderedPageBreak/>
            <w:t>Estrategia Sectorial</w:t>
          </w:r>
          <w:bookmarkEnd w:id="25"/>
          <w:bookmarkEnd w:id="26"/>
        </w:p>
        <w:p w:rsidRPr="00901416" w:rsidR="005E3BD6" w:rsidRDefault="005E3BD6" w14:paraId="24C210EA" w14:textId="11F5A198">
          <w:pPr>
            <w:pStyle w:val="Ttulo3"/>
            <w:numPr>
              <w:ilvl w:val="2"/>
              <w:numId w:val="34"/>
            </w:numPr>
            <w:ind w:left="1134" w:hanging="708"/>
            <w:rPr>
              <w:i/>
              <w:lang w:eastAsia="en-US"/>
            </w:rPr>
          </w:pPr>
          <w:bookmarkStart w:name="_Toc234234442" w:id="27"/>
          <w:r w:rsidRPr="00901416">
            <w:rPr>
              <w:lang w:eastAsia="en-US"/>
            </w:rPr>
            <w:t>Fondo de Energías no Convencionales y Gestión Eficiente de la Energía (FENOGE)</w:t>
          </w:r>
          <w:bookmarkEnd w:id="27"/>
        </w:p>
        <w:p w:rsidRPr="007E3FC8" w:rsidR="005E3BD6" w:rsidP="005E3BD6" w:rsidRDefault="005E3BD6" w14:paraId="440F96BB" w14:textId="77777777">
          <w:pPr>
            <w:jc w:val="both"/>
            <w:rPr>
              <w:rFonts w:ascii="Nunito Sans" w:hAnsi="Nunito Sans" w:cs="Calibri"/>
              <w:sz w:val="22"/>
              <w:szCs w:val="22"/>
            </w:rPr>
          </w:pPr>
        </w:p>
        <w:p w:rsidRPr="005C3EC3" w:rsidR="005E3BD6" w:rsidP="005E3BD6" w:rsidRDefault="00DF04B7" w14:paraId="251666D7" w14:textId="0DEB31BF">
          <w:pPr>
            <w:ind w:left="360" w:hanging="360"/>
            <w:jc w:val="center"/>
            <w:rPr>
              <w:rFonts w:ascii="Nunito Sans" w:hAnsi="Nunito Sans" w:cs="Calibri"/>
              <w:b/>
              <w:bCs/>
              <w:sz w:val="18"/>
              <w:szCs w:val="18"/>
            </w:rPr>
          </w:pPr>
          <w:bookmarkStart w:name="_Toc220664175" w:id="28"/>
          <w:r w:rsidRPr="00DF04B7">
            <w:rPr>
              <w:rFonts w:ascii="Nunito Sans" w:hAnsi="Nunito Sans" w:cs="Calibri"/>
              <w:b/>
              <w:bCs/>
              <w:sz w:val="18"/>
              <w:szCs w:val="18"/>
            </w:rPr>
            <w:t xml:space="preserve">Tabla </w:t>
          </w:r>
          <w:r w:rsidRPr="00DF04B7">
            <w:rPr>
              <w:rFonts w:ascii="Nunito Sans" w:hAnsi="Nunito Sans" w:cs="Calibri"/>
              <w:b/>
              <w:bCs/>
              <w:sz w:val="18"/>
              <w:szCs w:val="18"/>
            </w:rPr>
            <w:fldChar w:fldCharType="begin"/>
          </w:r>
          <w:r w:rsidRPr="00DF04B7">
            <w:rPr>
              <w:rFonts w:ascii="Nunito Sans" w:hAnsi="Nunito Sans" w:cs="Calibri"/>
              <w:b/>
              <w:bCs/>
              <w:sz w:val="18"/>
              <w:szCs w:val="18"/>
            </w:rPr>
            <w:instrText xml:space="preserve"> SEQ Tabla \* ARABIC </w:instrText>
          </w:r>
          <w:r w:rsidRPr="00DF04B7">
            <w:rPr>
              <w:rFonts w:ascii="Nunito Sans" w:hAnsi="Nunito Sans" w:cs="Calibri"/>
              <w:b/>
              <w:bCs/>
              <w:sz w:val="18"/>
              <w:szCs w:val="18"/>
            </w:rPr>
            <w:fldChar w:fldCharType="separate"/>
          </w:r>
          <w:r w:rsidR="00C57F7B">
            <w:rPr>
              <w:rFonts w:ascii="Nunito Sans" w:hAnsi="Nunito Sans" w:cs="Calibri"/>
              <w:b/>
              <w:bCs/>
              <w:noProof/>
              <w:sz w:val="18"/>
              <w:szCs w:val="18"/>
            </w:rPr>
            <w:t>4</w:t>
          </w:r>
          <w:r w:rsidRPr="00DF04B7">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 FENOGE</w:t>
          </w:r>
          <w:bookmarkEnd w:id="28"/>
        </w:p>
        <w:tbl>
          <w:tblPr>
            <w:tblStyle w:val="Tablaconcuadrcula"/>
            <w:tblW w:w="8788" w:type="dxa"/>
            <w:tblInd w:w="421" w:type="dxa"/>
            <w:tblBorders>
              <w:top w:val="single" w:color="D9D9D9" w:themeColor="background1" w:themeShade="D9" w:sz="4" w:space="0"/>
              <w:left w:val="single" w:color="D9D9D9" w:themeColor="background1" w:themeShade="D9" w:sz="4" w:space="0"/>
              <w:bottom w:val="single" w:color="D9D9D9" w:themeColor="background1" w:themeShade="D9" w:sz="4" w:space="0"/>
              <w:right w:val="single" w:color="D9D9D9" w:themeColor="background1" w:themeShade="D9" w:sz="4" w:space="0"/>
              <w:insideH w:val="single" w:color="D9D9D9" w:themeColor="background1" w:themeShade="D9" w:sz="4" w:space="0"/>
              <w:insideV w:val="single" w:color="D9D9D9" w:themeColor="background1" w:themeShade="D9" w:sz="4" w:space="0"/>
            </w:tblBorders>
            <w:tblLook w:val="04A0" w:firstRow="1" w:lastRow="0" w:firstColumn="1" w:lastColumn="0" w:noHBand="0" w:noVBand="1"/>
          </w:tblPr>
          <w:tblGrid>
            <w:gridCol w:w="1984"/>
            <w:gridCol w:w="6804"/>
          </w:tblGrid>
          <w:tr w:rsidRPr="007E3FC8" w:rsidR="005E3BD6" w:rsidTr="000A2080" w14:paraId="2A23A901" w14:textId="77777777">
            <w:trPr>
              <w:trHeight w:val="45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677416F3"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Decreto de Creación</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B4771C" w:rsidRDefault="005E3BD6" w14:paraId="6BA1681A" w14:textId="77777777">
                <w:pPr>
                  <w:pStyle w:val="Prrafodelista"/>
                  <w:rPr>
                    <w:rFonts w:ascii="Nunito Sans" w:hAnsi="Nunito Sans" w:cs="Calibri"/>
                    <w:color w:val="EDB600"/>
                    <w:sz w:val="18"/>
                    <w:szCs w:val="18"/>
                  </w:rPr>
                </w:pPr>
                <w:hyperlink w:history="1" r:id="rId33">
                  <w:r w:rsidRPr="00DC2862">
                    <w:rPr>
                      <w:rStyle w:val="Hipervnculo"/>
                      <w:rFonts w:ascii="Nunito Sans" w:hAnsi="Nunito Sans" w:cs="Calibri"/>
                      <w:color w:val="EDB600"/>
                      <w:sz w:val="18"/>
                      <w:szCs w:val="18"/>
                    </w:rPr>
                    <w:t>Decreto 1543 de 2017</w:t>
                  </w:r>
                </w:hyperlink>
              </w:p>
            </w:tc>
          </w:tr>
          <w:tr w:rsidRPr="007E3FC8" w:rsidR="005E3BD6" w:rsidTr="000A2080" w14:paraId="12264D2A" w14:textId="77777777">
            <w:trPr>
              <w:trHeight w:val="41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35175312"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Página Web</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B4771C" w:rsidRDefault="005E3BD6" w14:paraId="5ADAACDC" w14:textId="77777777">
                <w:pPr>
                  <w:pStyle w:val="Prrafodelista"/>
                  <w:rPr>
                    <w:rFonts w:ascii="Nunito Sans" w:hAnsi="Nunito Sans" w:cs="Calibri"/>
                    <w:color w:val="EDB600"/>
                    <w:sz w:val="18"/>
                    <w:szCs w:val="18"/>
                  </w:rPr>
                </w:pPr>
                <w:hyperlink w:history="1" r:id="rId34">
                  <w:r w:rsidRPr="00DC2862">
                    <w:rPr>
                      <w:rStyle w:val="Hipervnculo"/>
                      <w:rFonts w:ascii="Nunito Sans" w:hAnsi="Nunito Sans" w:cs="Calibri"/>
                      <w:color w:val="EDB600"/>
                      <w:sz w:val="18"/>
                      <w:szCs w:val="18"/>
                    </w:rPr>
                    <w:t>https://fenoge.gov.co/</w:t>
                  </w:r>
                </w:hyperlink>
              </w:p>
            </w:tc>
          </w:tr>
          <w:tr w:rsidRPr="007E3FC8" w:rsidR="005E3BD6" w:rsidTr="000A2080" w14:paraId="3F0396C9" w14:textId="77777777">
            <w:trPr>
              <w:trHeight w:val="689"/>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626B048B"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Misión</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896653" w:rsidRDefault="005E3BD6" w14:paraId="3E9A42DB" w14:textId="77777777">
                <w:pPr>
                  <w:pStyle w:val="Prrafodelista"/>
                  <w:jc w:val="both"/>
                  <w:rPr>
                    <w:rFonts w:ascii="Nunito Sans" w:hAnsi="Nunito Sans" w:cs="Calibri" w:eastAsiaTheme="minorHAnsi"/>
                    <w:color w:val="000000" w:themeColor="text1"/>
                    <w:sz w:val="18"/>
                    <w:szCs w:val="18"/>
                    <w:lang w:val="es-ES" w:eastAsia="en-US"/>
                  </w:rPr>
                </w:pPr>
                <w:r w:rsidRPr="00DC2862">
                  <w:rPr>
                    <w:rFonts w:ascii="Nunito Sans" w:hAnsi="Nunito Sans" w:cs="Calibri" w:eastAsiaTheme="minorHAnsi"/>
                    <w:color w:val="000000" w:themeColor="text1"/>
                    <w:sz w:val="18"/>
                    <w:szCs w:val="18"/>
                    <w:lang w:val="es-ES" w:eastAsia="en-US"/>
                  </w:rPr>
                  <w:t>Dinamizar el mercado de Eficiencia Energética y Fuentes No Convencionales de Energía con el fin de incrementar la competitividad en Colombia.</w:t>
                </w:r>
              </w:p>
            </w:tc>
          </w:tr>
          <w:tr w:rsidRPr="007E3FC8" w:rsidR="005E3BD6" w:rsidTr="000A2080" w14:paraId="02680F0F" w14:textId="77777777">
            <w:trPr>
              <w:trHeight w:val="55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07BC84F3"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Visión</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896653" w:rsidRDefault="005E3BD6" w14:paraId="66450F47" w14:textId="77777777">
                <w:pPr>
                  <w:pStyle w:val="NormalWeb"/>
                  <w:shd w:val="clear" w:color="auto" w:fill="FFFFFF"/>
                  <w:spacing w:beforeAutospacing="0"/>
                  <w:jc w:val="both"/>
                  <w:rPr>
                    <w:rFonts w:ascii="Nunito Sans" w:hAnsi="Nunito Sans" w:cs="Calibri"/>
                    <w:color w:val="000000" w:themeColor="text1"/>
                    <w:sz w:val="18"/>
                    <w:szCs w:val="18"/>
                  </w:rPr>
                </w:pPr>
                <w:r w:rsidRPr="00DC2862">
                  <w:rPr>
                    <w:rFonts w:ascii="Nunito Sans" w:hAnsi="Nunito Sans" w:cs="Calibri"/>
                    <w:color w:val="000000" w:themeColor="text1"/>
                    <w:sz w:val="18"/>
                    <w:szCs w:val="18"/>
                  </w:rPr>
                  <w:t>Para el año 2030, FENOGE será reconocido como el acelerador de la transformación energética a través del desarrollo del mercado de Eficiencia Energética y Fuentes No Convencionales de Energía.</w:t>
                </w:r>
              </w:p>
            </w:tc>
          </w:tr>
          <w:tr w:rsidRPr="007E3FC8" w:rsidR="005E3BD6" w:rsidTr="000A2080" w14:paraId="60BA7880"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6D165404" w14:textId="16102D7A">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Objetivo</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896653" w:rsidRDefault="00203C1E" w14:paraId="60776DC1" w14:textId="07B2705D">
                <w:pPr>
                  <w:jc w:val="both"/>
                  <w:rPr>
                    <w:rFonts w:ascii="Nunito Sans" w:hAnsi="Nunito Sans" w:cs="Calibri"/>
                    <w:color w:val="000000" w:themeColor="text1"/>
                    <w:sz w:val="18"/>
                    <w:szCs w:val="18"/>
                  </w:rPr>
                </w:pPr>
                <w:r w:rsidRPr="00DC2862">
                  <w:rPr>
                    <w:rFonts w:ascii="Nunito Sans" w:hAnsi="Nunito Sans" w:cs="Calibri"/>
                    <w:color w:val="000000" w:themeColor="text1"/>
                    <w:sz w:val="18"/>
                    <w:szCs w:val="18"/>
                  </w:rPr>
                  <w:t>Promover y financiar iniciativas de energías renovables, eficiencia energética, hidrógeno verde y reducción de emisiones, fortaleciendo la seguridad energética mediante la articulación de actores y mecanismos de cooperación, e incorporando procesos de seguimiento y evaluación para asegurar su impacto y sostenibilidad.</w:t>
                </w:r>
              </w:p>
            </w:tc>
          </w:tr>
          <w:tr w:rsidRPr="007E3FC8" w:rsidR="005E3BD6" w:rsidTr="000A2080" w14:paraId="1C6747AC"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1D559B28"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Estratégico Institucional</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B4771C" w:rsidRDefault="005E3BD6" w14:paraId="782E1EFA" w14:textId="77777777">
                <w:pPr>
                  <w:rPr>
                    <w:rFonts w:ascii="Nunito Sans" w:hAnsi="Nunito Sans" w:cs="Calibri"/>
                    <w:sz w:val="18"/>
                    <w:szCs w:val="18"/>
                  </w:rPr>
                </w:pPr>
                <w:r w:rsidRPr="00DC2862">
                  <w:rPr>
                    <w:rFonts w:ascii="Nunito Sans" w:hAnsi="Nunito Sans" w:cs="Calibri"/>
                    <w:sz w:val="18"/>
                    <w:szCs w:val="18"/>
                  </w:rPr>
                  <w:t>-</w:t>
                </w:r>
              </w:p>
            </w:tc>
          </w:tr>
          <w:tr w:rsidRPr="007E3FC8" w:rsidR="005E3BD6" w:rsidTr="000A2080" w14:paraId="496846B6"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413545DC"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 xml:space="preserve">Plan Estratégico de Tecnologías de la Información </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B4771C" w:rsidRDefault="005E3BD6" w14:paraId="33C5E17D" w14:textId="77777777">
                <w:pPr>
                  <w:ind w:right="-114"/>
                  <w:rPr>
                    <w:rFonts w:ascii="Nunito Sans" w:hAnsi="Nunito Sans" w:cs="Calibri"/>
                    <w:sz w:val="18"/>
                    <w:szCs w:val="18"/>
                  </w:rPr>
                </w:pPr>
                <w:r w:rsidRPr="00DC2862">
                  <w:rPr>
                    <w:rFonts w:ascii="Nunito Sans" w:hAnsi="Nunito Sans" w:cs="Calibri"/>
                    <w:sz w:val="18"/>
                    <w:szCs w:val="18"/>
                  </w:rPr>
                  <w:t>-</w:t>
                </w:r>
              </w:p>
            </w:tc>
          </w:tr>
          <w:tr w:rsidRPr="007E3FC8" w:rsidR="005E3BD6" w:rsidTr="000A2080" w14:paraId="72D5A61F"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406D86D7"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de Seguridad y Privacidad de la información</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B4771C" w:rsidRDefault="005E3BD6" w14:paraId="44DAADF6" w14:textId="77777777">
                <w:pPr>
                  <w:rPr>
                    <w:rFonts w:ascii="Nunito Sans" w:hAnsi="Nunito Sans" w:cs="Calibri"/>
                    <w:sz w:val="18"/>
                    <w:szCs w:val="18"/>
                  </w:rPr>
                </w:pPr>
                <w:r w:rsidRPr="00DC2862">
                  <w:rPr>
                    <w:rFonts w:ascii="Nunito Sans" w:hAnsi="Nunito Sans" w:cs="Calibri"/>
                    <w:sz w:val="18"/>
                    <w:szCs w:val="18"/>
                  </w:rPr>
                  <w:t>Política de Privacidad y Seguridad de la Información - 2025</w:t>
                </w:r>
              </w:p>
              <w:p w:rsidRPr="00DC2862" w:rsidR="005E3BD6" w:rsidP="00B4771C" w:rsidRDefault="005E3BD6" w14:paraId="145097A1" w14:textId="77777777">
                <w:pPr>
                  <w:rPr>
                    <w:rFonts w:ascii="Nunito Sans" w:hAnsi="Nunito Sans" w:cs="Calibri"/>
                    <w:sz w:val="18"/>
                    <w:szCs w:val="18"/>
                  </w:rPr>
                </w:pPr>
                <w:hyperlink w:history="1" r:id="rId35">
                  <w:r w:rsidRPr="00DC2862">
                    <w:rPr>
                      <w:rStyle w:val="Hipervnculo"/>
                      <w:rFonts w:ascii="Nunito Sans" w:hAnsi="Nunito Sans" w:cs="Calibri"/>
                      <w:color w:val="EDB600"/>
                      <w:sz w:val="18"/>
                      <w:szCs w:val="18"/>
                    </w:rPr>
                    <w:t>Plan de Seguridad y Privacidad de la información</w:t>
                  </w:r>
                </w:hyperlink>
              </w:p>
            </w:tc>
          </w:tr>
          <w:tr w:rsidRPr="007E3FC8" w:rsidR="005E3BD6" w:rsidTr="000A2080" w14:paraId="4972A67F"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0952DAAB"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Tratamiento de Riesgos de Seguridad y Privacidad de la Información</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B4771C" w:rsidRDefault="005E3BD6" w14:paraId="4A9B78B5" w14:textId="77777777">
                <w:pPr>
                  <w:rPr>
                    <w:rFonts w:ascii="Nunito Sans" w:hAnsi="Nunito Sans" w:cs="Calibri"/>
                    <w:sz w:val="18"/>
                    <w:szCs w:val="18"/>
                  </w:rPr>
                </w:pPr>
                <w:r w:rsidRPr="00DC2862">
                  <w:rPr>
                    <w:rFonts w:ascii="Nunito Sans" w:hAnsi="Nunito Sans" w:cs="Calibri"/>
                    <w:sz w:val="18"/>
                    <w:szCs w:val="18"/>
                  </w:rPr>
                  <w:t>-</w:t>
                </w:r>
              </w:p>
            </w:tc>
          </w:tr>
          <w:tr w:rsidRPr="007E3FC8" w:rsidR="005E3BD6" w:rsidTr="000A2080" w14:paraId="741B49C4" w14:textId="77777777">
            <w:trPr>
              <w:trHeight w:val="46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4E6A41CF"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 xml:space="preserve">Mapa de procesos </w:t>
                </w:r>
              </w:p>
            </w:tc>
            <w:tc>
              <w:tcPr>
                <w:tcW w:w="6804" w:type="dxa"/>
                <w:tcBorders>
                  <w:top w:val="single" w:color="E4B33B" w:sz="4" w:space="0"/>
                  <w:left w:val="single" w:color="FFFFFF" w:themeColor="background1" w:sz="4" w:space="0"/>
                  <w:bottom w:val="single" w:color="E4B33B" w:sz="4" w:space="0"/>
                  <w:right w:val="single" w:color="E4B33B" w:sz="4" w:space="0"/>
                </w:tcBorders>
                <w:vAlign w:val="center"/>
              </w:tcPr>
              <w:p w:rsidRPr="00DC2862" w:rsidR="005E3BD6" w:rsidP="00F04977" w:rsidRDefault="005E3BD6" w14:paraId="27BC0BBE" w14:textId="77777777">
                <w:pPr>
                  <w:rPr>
                    <w:rFonts w:ascii="Nunito Sans" w:hAnsi="Nunito Sans" w:cs="Calibri"/>
                    <w:color w:val="000000" w:themeColor="text1"/>
                    <w:sz w:val="18"/>
                    <w:szCs w:val="18"/>
                  </w:rPr>
                </w:pPr>
                <w:hyperlink w:history="1" r:id="rId36">
                  <w:r w:rsidRPr="00DC2862">
                    <w:rPr>
                      <w:rStyle w:val="Hipervnculo"/>
                      <w:rFonts w:ascii="Nunito Sans" w:hAnsi="Nunito Sans" w:cs="Calibri"/>
                      <w:color w:val="EDB600"/>
                      <w:sz w:val="18"/>
                      <w:szCs w:val="18"/>
                    </w:rPr>
                    <w:t>Link de Mapa de Procesos</w:t>
                  </w:r>
                </w:hyperlink>
              </w:p>
            </w:tc>
          </w:tr>
        </w:tbl>
        <w:p w:rsidR="005E3BD6" w:rsidP="005E3BD6" w:rsidRDefault="005E3BD6" w14:paraId="55E9EAEC" w14:textId="77777777">
          <w:pPr>
            <w:pStyle w:val="Default"/>
            <w:spacing w:line="360" w:lineRule="auto"/>
            <w:jc w:val="center"/>
            <w:rPr>
              <w:rFonts w:ascii="Nunito Sans" w:hAnsi="Nunito Sans" w:eastAsia="CIDFont+F9" w:cs="Calibri"/>
              <w:color w:val="000000" w:themeColor="text1"/>
              <w:sz w:val="18"/>
              <w:szCs w:val="18"/>
            </w:rPr>
          </w:pPr>
          <w:r w:rsidRPr="007E3FC8">
            <w:rPr>
              <w:rFonts w:ascii="Nunito Sans" w:hAnsi="Nunito Sans" w:eastAsia="CIDFont+F9" w:cs="Calibri"/>
              <w:color w:val="000000" w:themeColor="text1"/>
              <w:sz w:val="18"/>
              <w:szCs w:val="18"/>
            </w:rPr>
            <w:t>Fuente: Elaboración propia</w:t>
          </w:r>
        </w:p>
        <w:p w:rsidR="006119AE" w:rsidP="005E3BD6" w:rsidRDefault="006119AE" w14:paraId="3B214644" w14:textId="77777777">
          <w:pPr>
            <w:pStyle w:val="Default"/>
            <w:spacing w:line="360" w:lineRule="auto"/>
            <w:jc w:val="center"/>
            <w:rPr>
              <w:rFonts w:ascii="Nunito Sans" w:hAnsi="Nunito Sans" w:eastAsia="CIDFont+F9" w:cs="Calibri"/>
              <w:color w:val="000000" w:themeColor="text1"/>
              <w:sz w:val="18"/>
              <w:szCs w:val="18"/>
            </w:rPr>
          </w:pPr>
        </w:p>
        <w:p w:rsidRPr="00901416" w:rsidR="005E3BD6" w:rsidRDefault="005E3BD6" w14:paraId="63A566C2" w14:textId="77777777">
          <w:pPr>
            <w:pStyle w:val="Ttulo3"/>
            <w:numPr>
              <w:ilvl w:val="2"/>
              <w:numId w:val="34"/>
            </w:numPr>
            <w:rPr>
              <w:i/>
              <w:lang w:eastAsia="en-US"/>
            </w:rPr>
          </w:pPr>
          <w:bookmarkStart w:name="_Toc234234443" w:id="29"/>
          <w:r w:rsidRPr="00901416">
            <w:rPr>
              <w:lang w:eastAsia="en-US"/>
            </w:rPr>
            <w:t>Agencia Nacional de Hidrocarburos (ANH)</w:t>
          </w:r>
          <w:bookmarkEnd w:id="29"/>
        </w:p>
        <w:p w:rsidR="005E3BD6" w:rsidP="005E3BD6" w:rsidRDefault="005E3BD6" w14:paraId="5B64070D" w14:textId="77777777">
          <w:pPr>
            <w:rPr>
              <w:rFonts w:ascii="Nunito Sans" w:hAnsi="Nunito Sans" w:cs="Calibri"/>
              <w:b/>
              <w:bCs/>
              <w:color w:val="E1AF3B"/>
              <w:sz w:val="22"/>
              <w:szCs w:val="22"/>
            </w:rPr>
          </w:pPr>
        </w:p>
        <w:p w:rsidRPr="005C3EC3" w:rsidR="005E3BD6" w:rsidP="005E3BD6" w:rsidRDefault="00DF04B7" w14:paraId="276F711D" w14:textId="7A3FC2F8">
          <w:pPr>
            <w:ind w:left="360" w:hanging="360"/>
            <w:jc w:val="center"/>
            <w:rPr>
              <w:rFonts w:ascii="Nunito Sans" w:hAnsi="Nunito Sans" w:cs="Calibri"/>
              <w:b/>
              <w:bCs/>
              <w:sz w:val="18"/>
              <w:szCs w:val="18"/>
            </w:rPr>
          </w:pPr>
          <w:bookmarkStart w:name="_Toc220664176" w:id="30"/>
          <w:r w:rsidRPr="00DF04B7">
            <w:rPr>
              <w:rFonts w:ascii="Nunito Sans" w:hAnsi="Nunito Sans" w:cs="Calibri"/>
              <w:b/>
              <w:bCs/>
              <w:sz w:val="18"/>
              <w:szCs w:val="18"/>
            </w:rPr>
            <w:t xml:space="preserve">Tabla </w:t>
          </w:r>
          <w:r w:rsidRPr="00DF04B7">
            <w:rPr>
              <w:rFonts w:ascii="Nunito Sans" w:hAnsi="Nunito Sans" w:cs="Calibri"/>
              <w:b/>
              <w:bCs/>
              <w:sz w:val="18"/>
              <w:szCs w:val="18"/>
            </w:rPr>
            <w:fldChar w:fldCharType="begin"/>
          </w:r>
          <w:r w:rsidRPr="00DF04B7">
            <w:rPr>
              <w:rFonts w:ascii="Nunito Sans" w:hAnsi="Nunito Sans" w:cs="Calibri"/>
              <w:b/>
              <w:bCs/>
              <w:sz w:val="18"/>
              <w:szCs w:val="18"/>
            </w:rPr>
            <w:instrText xml:space="preserve"> SEQ Tabla \* ARABIC </w:instrText>
          </w:r>
          <w:r w:rsidRPr="00DF04B7">
            <w:rPr>
              <w:rFonts w:ascii="Nunito Sans" w:hAnsi="Nunito Sans" w:cs="Calibri"/>
              <w:b/>
              <w:bCs/>
              <w:sz w:val="18"/>
              <w:szCs w:val="18"/>
            </w:rPr>
            <w:fldChar w:fldCharType="separate"/>
          </w:r>
          <w:r w:rsidR="00C57F7B">
            <w:rPr>
              <w:rFonts w:ascii="Nunito Sans" w:hAnsi="Nunito Sans" w:cs="Calibri"/>
              <w:b/>
              <w:bCs/>
              <w:noProof/>
              <w:sz w:val="18"/>
              <w:szCs w:val="18"/>
            </w:rPr>
            <w:t>5</w:t>
          </w:r>
          <w:r w:rsidRPr="00DF04B7">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 la ANH</w:t>
          </w:r>
          <w:bookmarkEnd w:id="30"/>
        </w:p>
        <w:tbl>
          <w:tblPr>
            <w:tblStyle w:val="Tablaconcuadrcula"/>
            <w:tblW w:w="8788" w:type="dxa"/>
            <w:tblInd w:w="421" w:type="dxa"/>
            <w:tblBorders>
              <w:top w:val="single" w:color="E4B33B" w:sz="4" w:space="0"/>
              <w:left w:val="single" w:color="E4B33B" w:sz="4" w:space="0"/>
              <w:bottom w:val="single" w:color="E4B33B" w:sz="4" w:space="0"/>
              <w:right w:val="single" w:color="E4B33B" w:sz="4" w:space="0"/>
              <w:insideH w:val="single" w:color="E4B33B" w:sz="4" w:space="0"/>
              <w:insideV w:val="single" w:color="E4B33B" w:sz="4" w:space="0"/>
            </w:tblBorders>
            <w:tblLook w:val="04A0" w:firstRow="1" w:lastRow="0" w:firstColumn="1" w:lastColumn="0" w:noHBand="0" w:noVBand="1"/>
          </w:tblPr>
          <w:tblGrid>
            <w:gridCol w:w="1984"/>
            <w:gridCol w:w="6804"/>
          </w:tblGrid>
          <w:tr w:rsidRPr="007E3FC8" w:rsidR="005E3BD6" w:rsidTr="000A2080" w14:paraId="681946B4" w14:textId="77777777">
            <w:trPr>
              <w:trHeight w:val="37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795334E2"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Decreto de Creación</w:t>
                </w:r>
              </w:p>
            </w:tc>
            <w:tc>
              <w:tcPr>
                <w:tcW w:w="6804" w:type="dxa"/>
                <w:tcBorders>
                  <w:left w:val="single" w:color="FFFFFF" w:themeColor="background1" w:sz="4" w:space="0"/>
                </w:tcBorders>
                <w:vAlign w:val="center"/>
              </w:tcPr>
              <w:p w:rsidRPr="00DC2862" w:rsidR="005E3BD6" w:rsidP="00B4771C" w:rsidRDefault="005E3BD6" w14:paraId="0820A9A8" w14:textId="77777777">
                <w:pPr>
                  <w:pStyle w:val="Prrafodelista"/>
                  <w:jc w:val="both"/>
                  <w:rPr>
                    <w:rFonts w:ascii="Nunito Sans" w:hAnsi="Nunito Sans" w:cs="Calibri"/>
                    <w:b/>
                    <w:bCs/>
                    <w:color w:val="EDB600"/>
                    <w:sz w:val="18"/>
                    <w:szCs w:val="18"/>
                    <w:u w:val="single"/>
                  </w:rPr>
                </w:pPr>
                <w:hyperlink w:history="1" r:id="rId37">
                  <w:r w:rsidRPr="00DC2862">
                    <w:rPr>
                      <w:rFonts w:ascii="Nunito Sans" w:hAnsi="Nunito Sans" w:cs="Calibri"/>
                      <w:color w:val="EDB600"/>
                      <w:sz w:val="18"/>
                      <w:szCs w:val="18"/>
                      <w:u w:val="single"/>
                    </w:rPr>
                    <w:t>Decreto 1760 de 2003</w:t>
                  </w:r>
                </w:hyperlink>
              </w:p>
            </w:tc>
          </w:tr>
          <w:tr w:rsidRPr="007E3FC8" w:rsidR="005E3BD6" w:rsidTr="000A2080" w14:paraId="33E42A62" w14:textId="77777777">
            <w:trPr>
              <w:trHeight w:val="552"/>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2CBA5BD5"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Página Web</w:t>
                </w:r>
              </w:p>
            </w:tc>
            <w:tc>
              <w:tcPr>
                <w:tcW w:w="6804" w:type="dxa"/>
                <w:tcBorders>
                  <w:left w:val="single" w:color="FFFFFF" w:themeColor="background1" w:sz="4" w:space="0"/>
                </w:tcBorders>
                <w:vAlign w:val="center"/>
              </w:tcPr>
              <w:p w:rsidRPr="00DC2862" w:rsidR="005E3BD6" w:rsidP="00B4771C" w:rsidRDefault="005E3BD6" w14:paraId="0461B833" w14:textId="77777777">
                <w:pPr>
                  <w:pStyle w:val="Prrafodelista"/>
                  <w:jc w:val="both"/>
                  <w:rPr>
                    <w:rFonts w:ascii="Nunito Sans" w:hAnsi="Nunito Sans" w:cs="Calibri"/>
                    <w:color w:val="EDB600"/>
                    <w:sz w:val="18"/>
                    <w:szCs w:val="18"/>
                  </w:rPr>
                </w:pPr>
                <w:hyperlink w:history="1" r:id="rId38">
                  <w:r w:rsidRPr="00DC2862">
                    <w:rPr>
                      <w:rStyle w:val="Hipervnculo"/>
                      <w:rFonts w:ascii="Nunito Sans" w:hAnsi="Nunito Sans" w:cs="Calibri"/>
                      <w:color w:val="EDB600"/>
                      <w:sz w:val="18"/>
                      <w:szCs w:val="18"/>
                    </w:rPr>
                    <w:t>https://www.anh.gov.co/es/</w:t>
                  </w:r>
                </w:hyperlink>
              </w:p>
            </w:tc>
          </w:tr>
          <w:tr w:rsidRPr="007E3FC8" w:rsidR="005E3BD6" w:rsidTr="000A2080" w14:paraId="449A746A" w14:textId="77777777">
            <w:trPr>
              <w:trHeight w:val="63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533AD1BC"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Misión</w:t>
                </w:r>
              </w:p>
            </w:tc>
            <w:tc>
              <w:tcPr>
                <w:tcW w:w="6804" w:type="dxa"/>
                <w:tcBorders>
                  <w:left w:val="single" w:color="FFFFFF" w:themeColor="background1" w:sz="4" w:space="0"/>
                </w:tcBorders>
                <w:vAlign w:val="center"/>
              </w:tcPr>
              <w:p w:rsidRPr="00DC2862" w:rsidR="005E3BD6" w:rsidP="00B4771C" w:rsidRDefault="005E3BD6" w14:paraId="128CF4DD" w14:textId="77777777">
                <w:pPr>
                  <w:pStyle w:val="Prrafodelista"/>
                  <w:jc w:val="both"/>
                  <w:rPr>
                    <w:rFonts w:ascii="Nunito Sans" w:hAnsi="Nunito Sans" w:cs="Calibri"/>
                    <w:color w:val="404040" w:themeColor="text1" w:themeTint="BF"/>
                    <w:sz w:val="18"/>
                    <w:szCs w:val="18"/>
                    <w:lang w:val="es-ES" w:eastAsia="en-US"/>
                  </w:rPr>
                </w:pPr>
                <w:r w:rsidRPr="00DC2862">
                  <w:rPr>
                    <w:rFonts w:ascii="Nunito Sans" w:hAnsi="Nunito Sans" w:cs="Calibri"/>
                    <w:sz w:val="18"/>
                    <w:szCs w:val="18"/>
                  </w:rPr>
                  <w:t>La ANH administra de manera integral los recursos hidrocarburíferos de Colombia, promoviendo su aprovechamiento sostenible y equilibrando los intereses de la sociedad, el Estado y las empresas del sector.</w:t>
                </w:r>
              </w:p>
            </w:tc>
          </w:tr>
          <w:tr w:rsidRPr="007E3FC8" w:rsidR="005E3BD6" w:rsidTr="000A2080" w14:paraId="518D3CD5" w14:textId="77777777">
            <w:trPr>
              <w:trHeight w:val="838"/>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7470CDD6"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lastRenderedPageBreak/>
                  <w:t>Visión</w:t>
                </w:r>
              </w:p>
            </w:tc>
            <w:tc>
              <w:tcPr>
                <w:tcW w:w="6804" w:type="dxa"/>
                <w:tcBorders>
                  <w:left w:val="single" w:color="FFFFFF" w:themeColor="background1" w:sz="4" w:space="0"/>
                </w:tcBorders>
                <w:vAlign w:val="center"/>
              </w:tcPr>
              <w:p w:rsidRPr="00DC2862" w:rsidR="005E3BD6" w:rsidP="00B4771C" w:rsidRDefault="005E3BD6" w14:paraId="269587F3" w14:textId="77777777">
                <w:pPr>
                  <w:pStyle w:val="Prrafodelista"/>
                  <w:jc w:val="both"/>
                  <w:rPr>
                    <w:rFonts w:ascii="Nunito Sans" w:hAnsi="Nunito Sans" w:cs="Calibri"/>
                    <w:b/>
                    <w:bCs/>
                    <w:color w:val="E1AF3B"/>
                    <w:sz w:val="18"/>
                    <w:szCs w:val="18"/>
                  </w:rPr>
                </w:pPr>
                <w:r w:rsidRPr="00DC2862">
                  <w:rPr>
                    <w:rFonts w:ascii="Nunito Sans" w:hAnsi="Nunito Sans" w:cs="Calibri"/>
                    <w:sz w:val="18"/>
                    <w:szCs w:val="18"/>
                  </w:rPr>
                  <w:t>La entidad busca ser un referente mundial por su conocimiento del potencial del subsuelo colombiano, su gestión eficiente y transparente de los hidrocarburos, la colaboración con la industria y la comunidad, y su equipo profesional con alto nivel tecnológico y procesos ágiles.</w:t>
                </w:r>
              </w:p>
            </w:tc>
          </w:tr>
          <w:tr w:rsidRPr="007E3FC8" w:rsidR="005E3BD6" w:rsidTr="000A2080" w14:paraId="4CBCC5B6" w14:textId="77777777">
            <w:trPr>
              <w:trHeight w:val="141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3263A320" w14:textId="05AD69DB">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Objetivo</w:t>
                </w:r>
              </w:p>
            </w:tc>
            <w:tc>
              <w:tcPr>
                <w:tcW w:w="6804" w:type="dxa"/>
                <w:tcBorders>
                  <w:left w:val="single" w:color="FFFFFF" w:themeColor="background1" w:sz="4" w:space="0"/>
                </w:tcBorders>
                <w:vAlign w:val="center"/>
              </w:tcPr>
              <w:p w:rsidRPr="00DC2862" w:rsidR="005E3BD6" w:rsidP="00B4771C" w:rsidRDefault="005E3BD6" w14:paraId="3375E41C" w14:textId="77777777">
                <w:pPr>
                  <w:jc w:val="both"/>
                  <w:rPr>
                    <w:rFonts w:ascii="Nunito Sans" w:hAnsi="Nunito Sans" w:cs="Calibri"/>
                    <w:sz w:val="18"/>
                    <w:szCs w:val="18"/>
                  </w:rPr>
                </w:pPr>
                <w:r w:rsidRPr="00DC2862">
                  <w:rPr>
                    <w:rFonts w:ascii="Nunito Sans" w:hAnsi="Nunito Sans" w:cs="Calibri"/>
                    <w:sz w:val="18"/>
                    <w:szCs w:val="18"/>
                  </w:rPr>
                  <w:t>La Agencia Nacional de Hidrocarburos, ANH, tiene como objetivo administrar integralmente las reservas y recursos hidrocarburíferos de propiedad de la Nación; promover el aprovechamiento óptimo y sostenible de los recursos hidrocarburíferos y contribuir a la seguridad energética nacional.</w:t>
                </w:r>
              </w:p>
            </w:tc>
          </w:tr>
          <w:tr w:rsidRPr="007E3FC8" w:rsidR="005E3BD6" w:rsidTr="000A2080" w14:paraId="686DB3A4" w14:textId="77777777">
            <w:trPr>
              <w:trHeight w:val="89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1A5480C1"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Estratégico Institucional</w:t>
                </w:r>
              </w:p>
            </w:tc>
            <w:tc>
              <w:tcPr>
                <w:tcW w:w="6804" w:type="dxa"/>
                <w:tcBorders>
                  <w:left w:val="single" w:color="FFFFFF" w:themeColor="background1" w:sz="4" w:space="0"/>
                </w:tcBorders>
                <w:vAlign w:val="center"/>
              </w:tcPr>
              <w:p w:rsidRPr="00DC2862" w:rsidR="005E3BD6" w:rsidP="00B4771C" w:rsidRDefault="005E3BD6" w14:paraId="36DC2D27" w14:textId="77777777">
                <w:pPr>
                  <w:jc w:val="both"/>
                  <w:rPr>
                    <w:rFonts w:ascii="Nunito Sans" w:hAnsi="Nunito Sans" w:cs="Calibri"/>
                    <w:sz w:val="18"/>
                    <w:szCs w:val="18"/>
                  </w:rPr>
                </w:pPr>
                <w:r w:rsidRPr="00DC2862">
                  <w:rPr>
                    <w:rFonts w:ascii="Nunito Sans" w:hAnsi="Nunito Sans" w:cs="Calibri"/>
                    <w:sz w:val="18"/>
                    <w:szCs w:val="18"/>
                  </w:rPr>
                  <w:t>Plan Estratégico Institucional 2023 - 2026 | 31 de enero de 2023</w:t>
                </w:r>
              </w:p>
              <w:p w:rsidRPr="00DC2862" w:rsidR="005E3BD6" w:rsidP="00B4771C" w:rsidRDefault="005E3BD6" w14:paraId="37BCFE1F" w14:textId="77777777">
                <w:pPr>
                  <w:jc w:val="both"/>
                  <w:rPr>
                    <w:rFonts w:ascii="Nunito Sans" w:hAnsi="Nunito Sans" w:cs="Calibri"/>
                    <w:sz w:val="18"/>
                    <w:szCs w:val="18"/>
                  </w:rPr>
                </w:pPr>
                <w:hyperlink w:history="1" r:id="rId39">
                  <w:r w:rsidRPr="00DC2862">
                    <w:rPr>
                      <w:rStyle w:val="Hipervnculo"/>
                      <w:rFonts w:ascii="Nunito Sans" w:hAnsi="Nunito Sans" w:cs="Calibri"/>
                      <w:color w:val="E1AF3B"/>
                      <w:sz w:val="18"/>
                      <w:szCs w:val="18"/>
                    </w:rPr>
                    <w:t>Link del Plan Estratégico Institucional</w:t>
                  </w:r>
                </w:hyperlink>
                <w:r w:rsidRPr="00DC2862">
                  <w:rPr>
                    <w:rFonts w:ascii="Nunito Sans" w:hAnsi="Nunito Sans" w:cs="Calibri"/>
                    <w:color w:val="E1AF3B"/>
                    <w:sz w:val="18"/>
                    <w:szCs w:val="18"/>
                  </w:rPr>
                  <w:t xml:space="preserve"> </w:t>
                </w:r>
              </w:p>
            </w:tc>
          </w:tr>
          <w:tr w:rsidRPr="007E3FC8" w:rsidR="005E3BD6" w:rsidTr="000A2080" w14:paraId="241BA9F3" w14:textId="77777777">
            <w:trPr>
              <w:trHeight w:val="992"/>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53918640"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 xml:space="preserve">Plan Estratégico de Tecnologías de la Información </w:t>
                </w:r>
              </w:p>
            </w:tc>
            <w:tc>
              <w:tcPr>
                <w:tcW w:w="6804" w:type="dxa"/>
                <w:tcBorders>
                  <w:left w:val="single" w:color="FFFFFF" w:themeColor="background1" w:sz="4" w:space="0"/>
                </w:tcBorders>
                <w:vAlign w:val="center"/>
              </w:tcPr>
              <w:p w:rsidRPr="00DC2862" w:rsidR="005E3BD6" w:rsidP="00B4771C" w:rsidRDefault="005E3BD6" w14:paraId="10D81FC4" w14:textId="77777777">
                <w:pPr>
                  <w:ind w:right="-114"/>
                  <w:jc w:val="both"/>
                  <w:rPr>
                    <w:rFonts w:ascii="Nunito Sans" w:hAnsi="Nunito Sans" w:cs="Calibri"/>
                    <w:color w:val="404040" w:themeColor="text1" w:themeTint="BF"/>
                    <w:sz w:val="18"/>
                    <w:szCs w:val="18"/>
                    <w:lang w:val="es-ES" w:eastAsia="en-US"/>
                  </w:rPr>
                </w:pPr>
                <w:r w:rsidRPr="00DC2862">
                  <w:rPr>
                    <w:rFonts w:ascii="Nunito Sans" w:hAnsi="Nunito Sans" w:cs="Calibri"/>
                    <w:color w:val="404040" w:themeColor="text1" w:themeTint="BF"/>
                    <w:sz w:val="18"/>
                    <w:szCs w:val="18"/>
                    <w:lang w:val="es-ES" w:eastAsia="en-US"/>
                  </w:rPr>
                  <w:t>Plan Estratégico de Tecnologías de la Información – PETI 2023 – 2026</w:t>
                </w:r>
              </w:p>
              <w:p w:rsidRPr="00DC2862" w:rsidR="005E3BD6" w:rsidP="00B4771C" w:rsidRDefault="005E3BD6" w14:paraId="4E4765DD" w14:textId="77777777">
                <w:pPr>
                  <w:ind w:right="-114"/>
                  <w:jc w:val="both"/>
                  <w:rPr>
                    <w:rFonts w:ascii="Nunito Sans" w:hAnsi="Nunito Sans" w:cs="Calibri"/>
                    <w:sz w:val="18"/>
                    <w:szCs w:val="18"/>
                  </w:rPr>
                </w:pPr>
                <w:hyperlink w:history="1" r:id="rId40">
                  <w:r w:rsidRPr="00DC2862">
                    <w:rPr>
                      <w:rStyle w:val="Hipervnculo"/>
                      <w:rFonts w:ascii="Nunito Sans" w:hAnsi="Nunito Sans" w:cs="Calibri"/>
                      <w:color w:val="E1AF3B"/>
                      <w:sz w:val="18"/>
                      <w:szCs w:val="18"/>
                    </w:rPr>
                    <w:t>Link del Plan Estratégico de Tecnologías de la Información</w:t>
                  </w:r>
                </w:hyperlink>
              </w:p>
            </w:tc>
          </w:tr>
          <w:tr w:rsidRPr="007E3FC8" w:rsidR="005E3BD6" w:rsidTr="000A2080" w14:paraId="38DE82E2"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5453A0E0"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de Seguridad y Privacidad de la información</w:t>
                </w:r>
              </w:p>
            </w:tc>
            <w:tc>
              <w:tcPr>
                <w:tcW w:w="6804" w:type="dxa"/>
                <w:tcBorders>
                  <w:left w:val="single" w:color="FFFFFF" w:themeColor="background1" w:sz="4" w:space="0"/>
                </w:tcBorders>
                <w:vAlign w:val="center"/>
              </w:tcPr>
              <w:p w:rsidRPr="00DC2862" w:rsidR="005E3BD6" w:rsidP="00B4771C" w:rsidRDefault="005E3BD6" w14:paraId="274F83CC" w14:textId="77777777">
                <w:pPr>
                  <w:jc w:val="both"/>
                  <w:rPr>
                    <w:rFonts w:ascii="Nunito Sans" w:hAnsi="Nunito Sans" w:cs="Calibri"/>
                    <w:sz w:val="18"/>
                    <w:szCs w:val="18"/>
                  </w:rPr>
                </w:pPr>
                <w:r w:rsidRPr="00DC2862">
                  <w:rPr>
                    <w:rFonts w:ascii="Nunito Sans" w:hAnsi="Nunito Sans" w:cs="Calibri"/>
                    <w:sz w:val="18"/>
                    <w:szCs w:val="18"/>
                  </w:rPr>
                  <w:t xml:space="preserve">Plan de Seguridad y Privacidad de la Información 2025 </w:t>
                </w:r>
              </w:p>
              <w:p w:rsidRPr="00DC2862" w:rsidR="005E3BD6" w:rsidP="00B4771C" w:rsidRDefault="005E3BD6" w14:paraId="307FFB75" w14:textId="77777777">
                <w:pPr>
                  <w:jc w:val="both"/>
                  <w:rPr>
                    <w:rFonts w:ascii="Nunito Sans" w:hAnsi="Nunito Sans" w:cs="Calibri"/>
                    <w:sz w:val="18"/>
                    <w:szCs w:val="18"/>
                  </w:rPr>
                </w:pPr>
                <w:hyperlink w:history="1" r:id="rId41">
                  <w:r w:rsidRPr="00DC2862">
                    <w:rPr>
                      <w:rStyle w:val="Hipervnculo"/>
                      <w:rFonts w:ascii="Nunito Sans" w:hAnsi="Nunito Sans" w:cs="Calibri"/>
                      <w:color w:val="E1AF3B"/>
                      <w:sz w:val="18"/>
                      <w:szCs w:val="18"/>
                    </w:rPr>
                    <w:t>Link del Plan de Seguridad y Privacidad de la Información</w:t>
                  </w:r>
                </w:hyperlink>
              </w:p>
            </w:tc>
          </w:tr>
          <w:tr w:rsidRPr="007E3FC8" w:rsidR="005E3BD6" w:rsidTr="000A2080" w14:paraId="32410154"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4B4FE79A"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Plan Tratamiento de Riesgos de Seguridad y Privacidad de la Información</w:t>
                </w:r>
              </w:p>
            </w:tc>
            <w:tc>
              <w:tcPr>
                <w:tcW w:w="6804" w:type="dxa"/>
                <w:tcBorders>
                  <w:left w:val="single" w:color="FFFFFF" w:themeColor="background1" w:sz="4" w:space="0"/>
                </w:tcBorders>
                <w:vAlign w:val="center"/>
              </w:tcPr>
              <w:p w:rsidRPr="00DC2862" w:rsidR="005E3BD6" w:rsidP="00B4771C" w:rsidRDefault="005E3BD6" w14:paraId="5374CE12" w14:textId="77777777">
                <w:pPr>
                  <w:jc w:val="both"/>
                  <w:rPr>
                    <w:rFonts w:ascii="Nunito Sans" w:hAnsi="Nunito Sans" w:cs="Calibri"/>
                    <w:sz w:val="18"/>
                    <w:szCs w:val="18"/>
                  </w:rPr>
                </w:pPr>
                <w:r w:rsidRPr="00DC2862">
                  <w:rPr>
                    <w:rFonts w:ascii="Nunito Sans" w:hAnsi="Nunito Sans" w:cs="Calibri"/>
                    <w:sz w:val="18"/>
                    <w:szCs w:val="18"/>
                  </w:rPr>
                  <w:t>Plan De Tratamiento De Riesgos De Seguridad Y Privacidad De La Información 2025</w:t>
                </w:r>
              </w:p>
              <w:p w:rsidRPr="00DC2862" w:rsidR="005E3BD6" w:rsidP="00B4771C" w:rsidRDefault="005E3BD6" w14:paraId="43125B2F" w14:textId="77777777">
                <w:pPr>
                  <w:jc w:val="both"/>
                  <w:rPr>
                    <w:rFonts w:ascii="Nunito Sans" w:hAnsi="Nunito Sans" w:cs="Calibri"/>
                    <w:sz w:val="18"/>
                    <w:szCs w:val="18"/>
                  </w:rPr>
                </w:pPr>
                <w:hyperlink w:history="1" r:id="rId42">
                  <w:r w:rsidRPr="00DC2862">
                    <w:rPr>
                      <w:rStyle w:val="Hipervnculo"/>
                      <w:rFonts w:ascii="Nunito Sans" w:hAnsi="Nunito Sans" w:cs="Calibri"/>
                      <w:color w:val="E1AF3B"/>
                      <w:sz w:val="18"/>
                      <w:szCs w:val="18"/>
                    </w:rPr>
                    <w:t>Link del Plan de Tratamiento de Riesgos de Seguridad y Privacidad de la Información</w:t>
                  </w:r>
                </w:hyperlink>
              </w:p>
            </w:tc>
          </w:tr>
          <w:tr w:rsidRPr="007E3FC8" w:rsidR="005E3BD6" w:rsidTr="000A2080" w14:paraId="6C9CDD2F" w14:textId="77777777">
            <w:trPr>
              <w:trHeight w:val="43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02DCB289"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 xml:space="preserve">Mapa de procesos </w:t>
                </w:r>
              </w:p>
            </w:tc>
            <w:tc>
              <w:tcPr>
                <w:tcW w:w="6804" w:type="dxa"/>
                <w:tcBorders>
                  <w:left w:val="single" w:color="FFFFFF" w:themeColor="background1" w:sz="4" w:space="0"/>
                </w:tcBorders>
                <w:vAlign w:val="center"/>
              </w:tcPr>
              <w:p w:rsidRPr="00DC2862" w:rsidR="005E3BD6" w:rsidP="00B4771C" w:rsidRDefault="005E3BD6" w14:paraId="4E3544CA" w14:textId="488B1A36">
                <w:pPr>
                  <w:jc w:val="both"/>
                  <w:rPr>
                    <w:rFonts w:ascii="Nunito Sans" w:hAnsi="Nunito Sans" w:cs="Calibri"/>
                    <w:color w:val="E1AF3B"/>
                    <w:sz w:val="18"/>
                    <w:szCs w:val="18"/>
                  </w:rPr>
                </w:pPr>
                <w:hyperlink w:history="1" r:id="rId43">
                  <w:r w:rsidRPr="00DC2862">
                    <w:rPr>
                      <w:rStyle w:val="Hipervnculo"/>
                      <w:rFonts w:ascii="Nunito Sans" w:hAnsi="Nunito Sans" w:cs="Calibri"/>
                      <w:color w:val="E1AF3B"/>
                      <w:sz w:val="18"/>
                      <w:szCs w:val="18"/>
                    </w:rPr>
                    <w:t>Link del Mapa de Procesos</w:t>
                  </w:r>
                </w:hyperlink>
              </w:p>
            </w:tc>
          </w:tr>
          <w:tr w:rsidRPr="007E3FC8" w:rsidR="005E3BD6" w:rsidTr="000A2080" w14:paraId="74E56E8D"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C2862" w:rsidR="005E3BD6" w:rsidP="00B4771C" w:rsidRDefault="005E3BD6" w14:paraId="58DE522D" w14:textId="77777777">
                <w:pPr>
                  <w:pStyle w:val="Prrafodelista"/>
                  <w:rPr>
                    <w:rFonts w:ascii="Nunito Sans" w:hAnsi="Nunito Sans" w:cs="Calibri"/>
                    <w:b/>
                    <w:bCs/>
                    <w:color w:val="FFFFFF" w:themeColor="background1"/>
                    <w:sz w:val="18"/>
                    <w:szCs w:val="18"/>
                  </w:rPr>
                </w:pPr>
                <w:r w:rsidRPr="00DC2862">
                  <w:rPr>
                    <w:rFonts w:ascii="Nunito Sans" w:hAnsi="Nunito Sans" w:cs="Calibri"/>
                    <w:b/>
                    <w:bCs/>
                    <w:color w:val="FFFFFF" w:themeColor="background1"/>
                    <w:sz w:val="18"/>
                    <w:szCs w:val="18"/>
                  </w:rPr>
                  <w:t xml:space="preserve">Número Total de Tramites y Servicios </w:t>
                </w:r>
              </w:p>
            </w:tc>
            <w:tc>
              <w:tcPr>
                <w:tcW w:w="6804" w:type="dxa"/>
                <w:tcBorders>
                  <w:left w:val="single" w:color="FFFFFF" w:themeColor="background1" w:sz="4" w:space="0"/>
                </w:tcBorders>
                <w:vAlign w:val="center"/>
              </w:tcPr>
              <w:p w:rsidRPr="00DC2862" w:rsidR="005E3BD6" w:rsidP="00B4771C" w:rsidRDefault="005E3BD6" w14:paraId="64037D29" w14:textId="77777777">
                <w:pPr>
                  <w:ind w:left="38" w:hanging="38"/>
                  <w:jc w:val="both"/>
                  <w:rPr>
                    <w:rFonts w:ascii="Nunito Sans" w:hAnsi="Nunito Sans" w:cs="Calibri"/>
                    <w:sz w:val="18"/>
                    <w:szCs w:val="18"/>
                  </w:rPr>
                </w:pPr>
                <w:r w:rsidRPr="00DC2862">
                  <w:rPr>
                    <w:rFonts w:ascii="Nunito Sans" w:hAnsi="Nunito Sans" w:cs="Calibri"/>
                    <w:sz w:val="18"/>
                    <w:szCs w:val="18"/>
                  </w:rPr>
                  <w:t xml:space="preserve">1 </w:t>
                </w:r>
              </w:p>
            </w:tc>
          </w:tr>
        </w:tbl>
        <w:p w:rsidRPr="002343A9" w:rsidR="005E3BD6" w:rsidP="005E3BD6" w:rsidRDefault="005E3BD6" w14:paraId="1B4D9BA7"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0B5926BE" w14:textId="77777777">
          <w:pPr>
            <w:pStyle w:val="Prrafodelista"/>
            <w:ind w:left="1276"/>
            <w:jc w:val="both"/>
            <w:rPr>
              <w:rFonts w:ascii="Nunito Sans" w:hAnsi="Nunito Sans" w:cs="Calibri"/>
              <w:b/>
              <w:bCs/>
              <w:color w:val="E1AF3B"/>
              <w:sz w:val="18"/>
              <w:szCs w:val="18"/>
            </w:rPr>
          </w:pPr>
        </w:p>
        <w:p w:rsidRPr="007E3FC8" w:rsidR="005E3BD6" w:rsidRDefault="005E3BD6" w14:paraId="76300F07" w14:textId="77777777">
          <w:pPr>
            <w:pStyle w:val="Ttulo3"/>
            <w:numPr>
              <w:ilvl w:val="2"/>
              <w:numId w:val="34"/>
            </w:numPr>
            <w:rPr>
              <w:rFonts w:cs="Calibri"/>
              <w:sz w:val="22"/>
              <w:szCs w:val="22"/>
            </w:rPr>
          </w:pPr>
          <w:bookmarkStart w:name="_Toc234234444" w:id="31"/>
          <w:r w:rsidRPr="00C84DD1">
            <w:rPr>
              <w:lang w:eastAsia="en-US"/>
            </w:rPr>
            <w:t>Agencia Nacional de Minería (ANM)</w:t>
          </w:r>
          <w:bookmarkEnd w:id="31"/>
        </w:p>
        <w:p w:rsidRPr="007E3FC8" w:rsidR="005E3BD6" w:rsidP="005E3BD6" w:rsidRDefault="005E3BD6" w14:paraId="2CBD6EBD" w14:textId="77777777">
          <w:pPr>
            <w:pStyle w:val="Prrafodelista"/>
            <w:ind w:left="1276"/>
            <w:jc w:val="both"/>
            <w:rPr>
              <w:rFonts w:ascii="Nunito Sans" w:hAnsi="Nunito Sans" w:cs="Calibri"/>
              <w:sz w:val="22"/>
              <w:szCs w:val="22"/>
            </w:rPr>
          </w:pPr>
        </w:p>
        <w:p w:rsidRPr="007C630D" w:rsidR="00DF04B7" w:rsidP="007C630D" w:rsidRDefault="00DF04B7" w14:paraId="4A22DD5C" w14:textId="612DF42E">
          <w:pPr>
            <w:ind w:left="360" w:hanging="360"/>
            <w:jc w:val="center"/>
            <w:rPr>
              <w:rFonts w:ascii="Nunito Sans" w:hAnsi="Nunito Sans" w:cs="Calibri"/>
              <w:b/>
              <w:bCs/>
              <w:sz w:val="18"/>
              <w:szCs w:val="18"/>
            </w:rPr>
          </w:pPr>
          <w:bookmarkStart w:name="_Toc220664177" w:id="32"/>
          <w:r w:rsidRPr="00DF04B7">
            <w:rPr>
              <w:rFonts w:ascii="Nunito Sans" w:hAnsi="Nunito Sans" w:cs="Calibri"/>
              <w:b/>
              <w:bCs/>
              <w:sz w:val="18"/>
              <w:szCs w:val="18"/>
            </w:rPr>
            <w:t xml:space="preserve">Tabla </w:t>
          </w:r>
          <w:r w:rsidRPr="00DF04B7">
            <w:rPr>
              <w:rFonts w:ascii="Nunito Sans" w:hAnsi="Nunito Sans" w:cs="Calibri"/>
              <w:b/>
              <w:bCs/>
              <w:sz w:val="18"/>
              <w:szCs w:val="18"/>
            </w:rPr>
            <w:fldChar w:fldCharType="begin"/>
          </w:r>
          <w:r w:rsidRPr="00DF04B7">
            <w:rPr>
              <w:rFonts w:ascii="Nunito Sans" w:hAnsi="Nunito Sans" w:cs="Calibri"/>
              <w:b/>
              <w:bCs/>
              <w:sz w:val="18"/>
              <w:szCs w:val="18"/>
            </w:rPr>
            <w:instrText xml:space="preserve"> SEQ Tabla \* ARABIC </w:instrText>
          </w:r>
          <w:r w:rsidRPr="00DF04B7">
            <w:rPr>
              <w:rFonts w:ascii="Nunito Sans" w:hAnsi="Nunito Sans" w:cs="Calibri"/>
              <w:b/>
              <w:bCs/>
              <w:sz w:val="18"/>
              <w:szCs w:val="18"/>
            </w:rPr>
            <w:fldChar w:fldCharType="separate"/>
          </w:r>
          <w:r w:rsidR="00C57F7B">
            <w:rPr>
              <w:rFonts w:ascii="Nunito Sans" w:hAnsi="Nunito Sans" w:cs="Calibri"/>
              <w:b/>
              <w:bCs/>
              <w:noProof/>
              <w:sz w:val="18"/>
              <w:szCs w:val="18"/>
            </w:rPr>
            <w:t>6</w:t>
          </w:r>
          <w:r w:rsidRPr="00DF04B7">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 la ANM</w:t>
          </w:r>
          <w:bookmarkEnd w:id="32"/>
        </w:p>
        <w:tbl>
          <w:tblPr>
            <w:tblStyle w:val="Tablaconcuadrcula"/>
            <w:tblW w:w="4625" w:type="pct"/>
            <w:tblInd w:w="421"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4"/>
            <w:gridCol w:w="6816"/>
          </w:tblGrid>
          <w:tr w:rsidRPr="007E3FC8" w:rsidR="005E3BD6" w:rsidTr="007D47D3" w14:paraId="4436399C" w14:textId="77777777">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1FFEF7A9"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Decreto de Creación</w:t>
                </w:r>
              </w:p>
            </w:tc>
            <w:tc>
              <w:tcPr>
                <w:tcW w:w="3873" w:type="pct"/>
                <w:tcBorders>
                  <w:left w:val="single" w:color="FFFFFF" w:themeColor="background1" w:sz="4" w:space="0"/>
                </w:tcBorders>
                <w:vAlign w:val="center"/>
              </w:tcPr>
              <w:p w:rsidRPr="00F37CC6" w:rsidR="005E3BD6" w:rsidP="00B4771C" w:rsidRDefault="005E3BD6" w14:paraId="136FD475" w14:textId="77777777">
                <w:pPr>
                  <w:pStyle w:val="Prrafodelista"/>
                  <w:jc w:val="both"/>
                  <w:rPr>
                    <w:rFonts w:ascii="Nunito Sans" w:hAnsi="Nunito Sans" w:cs="Calibri"/>
                    <w:b/>
                    <w:bCs/>
                    <w:color w:val="E1AF3B"/>
                    <w:sz w:val="18"/>
                    <w:szCs w:val="18"/>
                  </w:rPr>
                </w:pPr>
                <w:hyperlink w:history="1" r:id="rId44">
                  <w:r w:rsidRPr="00F37CC6">
                    <w:rPr>
                      <w:rFonts w:ascii="Nunito Sans" w:hAnsi="Nunito Sans" w:cs="Calibri"/>
                      <w:color w:val="E1AF3B"/>
                      <w:sz w:val="18"/>
                      <w:szCs w:val="18"/>
                      <w:u w:val="single"/>
                    </w:rPr>
                    <w:t>Decreto 4134 de 2011</w:t>
                  </w:r>
                </w:hyperlink>
              </w:p>
            </w:tc>
          </w:tr>
          <w:tr w:rsidRPr="007E3FC8" w:rsidR="005E3BD6" w:rsidTr="007D47D3" w14:paraId="74C2F244" w14:textId="77777777">
            <w:trPr>
              <w:trHeight w:val="507"/>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6F4CFCD8"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Página Web</w:t>
                </w:r>
              </w:p>
            </w:tc>
            <w:tc>
              <w:tcPr>
                <w:tcW w:w="3873" w:type="pct"/>
                <w:tcBorders>
                  <w:left w:val="single" w:color="FFFFFF" w:themeColor="background1" w:sz="4" w:space="0"/>
                </w:tcBorders>
                <w:vAlign w:val="center"/>
              </w:tcPr>
              <w:p w:rsidRPr="00F37CC6" w:rsidR="005E3BD6" w:rsidP="00B4771C" w:rsidRDefault="005E3BD6" w14:paraId="778CEF3D" w14:textId="77777777">
                <w:pPr>
                  <w:pStyle w:val="Prrafodelista"/>
                  <w:jc w:val="both"/>
                  <w:rPr>
                    <w:rFonts w:ascii="Nunito Sans" w:hAnsi="Nunito Sans" w:cs="Calibri"/>
                    <w:color w:val="E1AF3B"/>
                    <w:sz w:val="18"/>
                    <w:szCs w:val="18"/>
                  </w:rPr>
                </w:pPr>
                <w:hyperlink w:history="1" r:id="rId45">
                  <w:r w:rsidRPr="00F37CC6">
                    <w:rPr>
                      <w:rStyle w:val="Hipervnculo"/>
                      <w:rFonts w:ascii="Nunito Sans" w:hAnsi="Nunito Sans" w:cs="Calibri"/>
                      <w:color w:val="E1AF3B"/>
                      <w:sz w:val="18"/>
                      <w:szCs w:val="18"/>
                    </w:rPr>
                    <w:t>https://www.anm.gov.co/</w:t>
                  </w:r>
                </w:hyperlink>
              </w:p>
            </w:tc>
          </w:tr>
          <w:tr w:rsidRPr="007E3FC8" w:rsidR="005E3BD6" w:rsidTr="007D47D3" w14:paraId="3AE7B477" w14:textId="77777777">
            <w:trPr>
              <w:trHeight w:val="1677"/>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75D50553"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Misión</w:t>
                </w:r>
              </w:p>
            </w:tc>
            <w:tc>
              <w:tcPr>
                <w:tcW w:w="3873" w:type="pct"/>
                <w:tcBorders>
                  <w:left w:val="single" w:color="FFFFFF" w:themeColor="background1" w:sz="4" w:space="0"/>
                </w:tcBorders>
                <w:vAlign w:val="center"/>
              </w:tcPr>
              <w:p w:rsidRPr="00381967" w:rsidR="005E3BD6" w:rsidP="00896653" w:rsidRDefault="005E3BD6" w14:paraId="083A2D47" w14:textId="77777777">
                <w:pPr>
                  <w:pStyle w:val="Prrafodelista"/>
                  <w:jc w:val="both"/>
                  <w:rPr>
                    <w:rFonts w:ascii="Nunito Sans" w:hAnsi="Nunito Sans" w:cs="Calibri" w:eastAsiaTheme="minorHAnsi"/>
                    <w:color w:val="000000" w:themeColor="text1"/>
                    <w:sz w:val="18"/>
                    <w:szCs w:val="18"/>
                    <w:lang w:val="es-ES" w:eastAsia="en-US"/>
                  </w:rPr>
                </w:pPr>
                <w:r w:rsidRPr="00381967">
                  <w:rPr>
                    <w:rFonts w:ascii="Nunito Sans" w:hAnsi="Nunito Sans" w:cs="Calibri"/>
                    <w:color w:val="000000" w:themeColor="text1"/>
                    <w:sz w:val="18"/>
                    <w:szCs w:val="18"/>
                  </w:rPr>
                  <w:t>Entidad encargada de administrar los recursos mineros, planear y promover su aprovechamiento, orienta su gestión en el marco del interés general, el respeto de los Derechos Humanos y los determinantes ambientales, garantizando la responsabilidad social y la articulación entre el Estado central y las entidades territoriales para impulsar el desarrollo económico, la equidad y la paz.</w:t>
                </w:r>
              </w:p>
            </w:tc>
          </w:tr>
          <w:tr w:rsidRPr="007E3FC8" w:rsidR="005E3BD6" w:rsidTr="007D47D3" w14:paraId="3BFA204E" w14:textId="77777777">
            <w:trPr>
              <w:trHeight w:val="1158"/>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6603117E"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Visión</w:t>
                </w:r>
              </w:p>
            </w:tc>
            <w:tc>
              <w:tcPr>
                <w:tcW w:w="3873" w:type="pct"/>
                <w:tcBorders>
                  <w:left w:val="single" w:color="FFFFFF" w:themeColor="background1" w:sz="4" w:space="0"/>
                </w:tcBorders>
                <w:vAlign w:val="center"/>
              </w:tcPr>
              <w:p w:rsidRPr="00381967" w:rsidR="005E3BD6" w:rsidP="00896653" w:rsidRDefault="005E3BD6" w14:paraId="1EC30DEE" w14:textId="77777777">
                <w:pPr>
                  <w:pStyle w:val="Prrafodelista"/>
                  <w:jc w:val="both"/>
                  <w:rPr>
                    <w:rFonts w:ascii="Nunito Sans" w:hAnsi="Nunito Sans" w:cs="Calibri"/>
                    <w:b/>
                    <w:bCs/>
                    <w:color w:val="000000" w:themeColor="text1"/>
                    <w:sz w:val="18"/>
                    <w:szCs w:val="18"/>
                  </w:rPr>
                </w:pPr>
                <w:r w:rsidRPr="00381967">
                  <w:rPr>
                    <w:rFonts w:ascii="Nunito Sans" w:hAnsi="Nunito Sans" w:cs="Calibri"/>
                    <w:color w:val="000000" w:themeColor="text1"/>
                    <w:sz w:val="18"/>
                    <w:szCs w:val="18"/>
                  </w:rPr>
                  <w:t>La entidad busca ser líder en la transformación de la actividad minera, mediante el aprovechamiento soberano y eficiente de los recursos mineros, con un enfoque en el desarrollo sostenible, incluyente y participativo.</w:t>
                </w:r>
              </w:p>
            </w:tc>
          </w:tr>
          <w:tr w:rsidRPr="007E3FC8" w:rsidR="005E3BD6" w:rsidTr="007D47D3" w14:paraId="280E57A3" w14:textId="77777777">
            <w:trPr>
              <w:trHeight w:val="1764"/>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05B616B3" w14:textId="07B8382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lastRenderedPageBreak/>
                  <w:t>Objetivo</w:t>
                </w:r>
              </w:p>
            </w:tc>
            <w:tc>
              <w:tcPr>
                <w:tcW w:w="3873" w:type="pct"/>
                <w:tcBorders>
                  <w:left w:val="single" w:color="FFFFFF" w:themeColor="background1" w:sz="4" w:space="0"/>
                </w:tcBorders>
                <w:vAlign w:val="center"/>
              </w:tcPr>
              <w:p w:rsidRPr="00381967" w:rsidR="005E3BD6" w:rsidP="00896653" w:rsidRDefault="005E3BD6" w14:paraId="359173A5" w14:textId="77777777">
                <w:pPr>
                  <w:pStyle w:val="NormalWeb"/>
                  <w:spacing w:beforeAutospacing="0" w:after="288" w:afterAutospacing="0"/>
                  <w:jc w:val="both"/>
                  <w:rPr>
                    <w:rFonts w:ascii="Nunito Sans" w:hAnsi="Nunito Sans" w:cs="Calibri" w:eastAsiaTheme="minorHAnsi"/>
                    <w:color w:val="000000" w:themeColor="text1"/>
                    <w:sz w:val="18"/>
                    <w:szCs w:val="18"/>
                  </w:rPr>
                </w:pPr>
                <w:r w:rsidRPr="00381967">
                  <w:rPr>
                    <w:rFonts w:ascii="Nunito Sans" w:hAnsi="Nunito Sans" w:cs="Calibri" w:eastAsiaTheme="minorHAnsi"/>
                    <w:color w:val="000000" w:themeColor="text1"/>
                    <w:sz w:val="18"/>
                    <w:szCs w:val="18"/>
                  </w:rPr>
                  <w:t>El objeto de la Agencia Nacional de Minería, ANM, es administrar integralmente los recursos minerales de propiedad del Estado, promover el aprovechamiento óptimo y sostenible de los recursos mineros de conformidad con las normas pertinentes y en coordinación con las autoridades ambientales en los temas que lo requieran, lo mismo que hacer seguimiento a los títulos de propiedad privada del subsuelo cuando le sea delegada esta función por el Ministerio de Minas y Energía de conformidad con la ley.</w:t>
                </w:r>
              </w:p>
            </w:tc>
          </w:tr>
          <w:tr w:rsidRPr="007E3FC8" w:rsidR="005E3BD6" w:rsidTr="007D47D3" w14:paraId="56EC2860" w14:textId="77777777">
            <w:trPr>
              <w:trHeight w:val="846"/>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163C23E7"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Plan Estratégico Institucional</w:t>
                </w:r>
              </w:p>
            </w:tc>
            <w:tc>
              <w:tcPr>
                <w:tcW w:w="3873" w:type="pct"/>
                <w:tcBorders>
                  <w:left w:val="single" w:color="FFFFFF" w:themeColor="background1" w:sz="4" w:space="0"/>
                </w:tcBorders>
                <w:vAlign w:val="center"/>
              </w:tcPr>
              <w:p w:rsidRPr="00F37CC6" w:rsidR="005E3BD6" w:rsidP="00B4771C" w:rsidRDefault="005E3BD6" w14:paraId="1C3A0792" w14:textId="77777777">
                <w:pPr>
                  <w:ind w:left="360" w:hanging="360"/>
                  <w:jc w:val="both"/>
                  <w:rPr>
                    <w:rFonts w:ascii="Nunito Sans" w:hAnsi="Nunito Sans" w:cs="Calibri"/>
                    <w:sz w:val="18"/>
                    <w:szCs w:val="18"/>
                  </w:rPr>
                </w:pPr>
                <w:r w:rsidRPr="00F37CC6">
                  <w:rPr>
                    <w:rFonts w:ascii="Nunito Sans" w:hAnsi="Nunito Sans" w:cs="Calibri"/>
                    <w:sz w:val="18"/>
                    <w:szCs w:val="18"/>
                  </w:rPr>
                  <w:t>Plan Estratégico Institucional PEI y Plan de Acción 2025</w:t>
                </w:r>
              </w:p>
              <w:p w:rsidRPr="00F37CC6" w:rsidR="005E3BD6" w:rsidP="00B4771C" w:rsidRDefault="005E3BD6" w14:paraId="79413DC8" w14:textId="77777777">
                <w:pPr>
                  <w:ind w:left="360" w:hanging="360"/>
                  <w:jc w:val="both"/>
                  <w:rPr>
                    <w:rFonts w:ascii="Nunito Sans" w:hAnsi="Nunito Sans" w:cs="Calibri"/>
                    <w:sz w:val="18"/>
                    <w:szCs w:val="18"/>
                  </w:rPr>
                </w:pPr>
                <w:hyperlink w:history="1" r:id="rId46">
                  <w:r w:rsidRPr="00F37CC6">
                    <w:rPr>
                      <w:rStyle w:val="Hipervnculo"/>
                      <w:rFonts w:ascii="Nunito Sans" w:hAnsi="Nunito Sans" w:cs="Calibri"/>
                      <w:color w:val="E1AF3B"/>
                      <w:sz w:val="18"/>
                      <w:szCs w:val="18"/>
                    </w:rPr>
                    <w:t>Link del Plan Estratégico Institucional</w:t>
                  </w:r>
                </w:hyperlink>
                <w:r w:rsidRPr="00F37CC6">
                  <w:rPr>
                    <w:rFonts w:ascii="Nunito Sans" w:hAnsi="Nunito Sans" w:cs="Calibri"/>
                    <w:color w:val="E1AF3B"/>
                    <w:sz w:val="18"/>
                    <w:szCs w:val="18"/>
                  </w:rPr>
                  <w:t xml:space="preserve"> </w:t>
                </w:r>
              </w:p>
            </w:tc>
          </w:tr>
          <w:tr w:rsidRPr="007E3FC8" w:rsidR="005E3BD6" w:rsidTr="007D47D3" w14:paraId="297D48E4" w14:textId="77777777">
            <w:trPr>
              <w:trHeight w:val="1340"/>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3CD5DB7E"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 xml:space="preserve">Plan Estratégico de Tecnologías de la Información </w:t>
                </w:r>
              </w:p>
            </w:tc>
            <w:tc>
              <w:tcPr>
                <w:tcW w:w="3873" w:type="pct"/>
                <w:tcBorders>
                  <w:left w:val="single" w:color="FFFFFF" w:themeColor="background1" w:sz="4" w:space="0"/>
                </w:tcBorders>
                <w:vAlign w:val="center"/>
              </w:tcPr>
              <w:p w:rsidRPr="00F37CC6" w:rsidR="005E3BD6" w:rsidP="00B4771C" w:rsidRDefault="005E3BD6" w14:paraId="73524AD6" w14:textId="77777777">
                <w:pPr>
                  <w:ind w:left="33" w:hanging="33"/>
                  <w:jc w:val="both"/>
                  <w:rPr>
                    <w:rFonts w:ascii="Nunito Sans" w:hAnsi="Nunito Sans" w:cs="Calibri"/>
                    <w:sz w:val="18"/>
                    <w:szCs w:val="18"/>
                  </w:rPr>
                </w:pPr>
                <w:r w:rsidRPr="00F37CC6">
                  <w:rPr>
                    <w:rFonts w:ascii="Nunito Sans" w:hAnsi="Nunito Sans" w:cs="Calibri"/>
                    <w:sz w:val="18"/>
                    <w:szCs w:val="18"/>
                  </w:rPr>
                  <w:t>Plan Estratégico de Tecnologías de la Información y las Comunicaciones (PETIC) 2020-2030 Versión 3</w:t>
                </w:r>
              </w:p>
              <w:p w:rsidRPr="00F37CC6" w:rsidR="005E3BD6" w:rsidP="00B4771C" w:rsidRDefault="005E3BD6" w14:paraId="370DDA52" w14:textId="77777777">
                <w:pPr>
                  <w:ind w:left="33" w:hanging="33"/>
                  <w:jc w:val="both"/>
                  <w:rPr>
                    <w:rFonts w:ascii="Nunito Sans" w:hAnsi="Nunito Sans" w:cs="Calibri"/>
                    <w:sz w:val="18"/>
                    <w:szCs w:val="18"/>
                  </w:rPr>
                </w:pPr>
                <w:hyperlink w:history="1" r:id="rId47">
                  <w:r w:rsidRPr="00F37CC6">
                    <w:rPr>
                      <w:rStyle w:val="Hipervnculo"/>
                      <w:rFonts w:ascii="Nunito Sans" w:hAnsi="Nunito Sans" w:cs="Calibri"/>
                      <w:color w:val="E1AF3B"/>
                      <w:sz w:val="18"/>
                      <w:szCs w:val="18"/>
                    </w:rPr>
                    <w:t>Link del Plan Estratégico de Tecnologías de la Información</w:t>
                  </w:r>
                </w:hyperlink>
              </w:p>
            </w:tc>
          </w:tr>
          <w:tr w:rsidRPr="007E3FC8" w:rsidR="005E3BD6" w:rsidTr="007D47D3" w14:paraId="22EBF969" w14:textId="77777777">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46622925"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Plan de Seguridad y Privacidad de la información</w:t>
                </w:r>
              </w:p>
            </w:tc>
            <w:tc>
              <w:tcPr>
                <w:tcW w:w="3873" w:type="pct"/>
                <w:tcBorders>
                  <w:left w:val="single" w:color="FFFFFF" w:themeColor="background1" w:sz="4" w:space="0"/>
                </w:tcBorders>
                <w:vAlign w:val="center"/>
              </w:tcPr>
              <w:p w:rsidRPr="00F37CC6" w:rsidR="005E3BD6" w:rsidP="00B4771C" w:rsidRDefault="005E3BD6" w14:paraId="3ED153DF" w14:textId="77777777">
                <w:pPr>
                  <w:ind w:left="360" w:hanging="360"/>
                  <w:jc w:val="both"/>
                  <w:rPr>
                    <w:rFonts w:ascii="Nunito Sans" w:hAnsi="Nunito Sans" w:cs="Calibri"/>
                    <w:sz w:val="18"/>
                    <w:szCs w:val="18"/>
                  </w:rPr>
                </w:pPr>
                <w:r w:rsidRPr="00F37CC6">
                  <w:rPr>
                    <w:rFonts w:ascii="Nunito Sans" w:hAnsi="Nunito Sans" w:cs="Calibri"/>
                    <w:sz w:val="18"/>
                    <w:szCs w:val="18"/>
                  </w:rPr>
                  <w:t>Plan De Seguridad Y Privacidad De La Información 2025</w:t>
                </w:r>
              </w:p>
              <w:p w:rsidRPr="00F37CC6" w:rsidR="005E3BD6" w:rsidP="00B4771C" w:rsidRDefault="005E3BD6" w14:paraId="7F8B6D45" w14:textId="77777777">
                <w:pPr>
                  <w:ind w:left="360" w:hanging="360"/>
                  <w:jc w:val="both"/>
                  <w:rPr>
                    <w:rFonts w:ascii="Nunito Sans" w:hAnsi="Nunito Sans" w:cs="Calibri"/>
                    <w:sz w:val="18"/>
                    <w:szCs w:val="18"/>
                  </w:rPr>
                </w:pPr>
                <w:hyperlink w:history="1" r:id="rId48">
                  <w:r w:rsidRPr="00F37CC6">
                    <w:rPr>
                      <w:rStyle w:val="Hipervnculo"/>
                      <w:rFonts w:ascii="Nunito Sans" w:hAnsi="Nunito Sans" w:cs="Calibri"/>
                      <w:color w:val="E1AF3B"/>
                      <w:sz w:val="18"/>
                      <w:szCs w:val="18"/>
                    </w:rPr>
                    <w:t>Link Del Plan De Seguridad Y Privacidad De La Información</w:t>
                  </w:r>
                </w:hyperlink>
              </w:p>
            </w:tc>
          </w:tr>
          <w:tr w:rsidRPr="007E3FC8" w:rsidR="005E3BD6" w:rsidTr="007D47D3" w14:paraId="5FB22D40" w14:textId="77777777">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51CC0909"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Plan Tratamiento de Riesgos de Seguridad y Privacidad de la Información</w:t>
                </w:r>
              </w:p>
            </w:tc>
            <w:tc>
              <w:tcPr>
                <w:tcW w:w="3873" w:type="pct"/>
                <w:tcBorders>
                  <w:left w:val="single" w:color="FFFFFF" w:themeColor="background1" w:sz="4" w:space="0"/>
                </w:tcBorders>
                <w:vAlign w:val="center"/>
              </w:tcPr>
              <w:p w:rsidRPr="00F37CC6" w:rsidR="005E3BD6" w:rsidP="00B4771C" w:rsidRDefault="005E3BD6" w14:paraId="1B837A95" w14:textId="77777777">
                <w:pPr>
                  <w:ind w:left="360" w:hanging="360"/>
                  <w:jc w:val="both"/>
                  <w:rPr>
                    <w:rFonts w:ascii="Nunito Sans" w:hAnsi="Nunito Sans" w:cs="Calibri"/>
                    <w:sz w:val="18"/>
                    <w:szCs w:val="18"/>
                  </w:rPr>
                </w:pPr>
                <w:r w:rsidRPr="00F37CC6">
                  <w:rPr>
                    <w:rFonts w:ascii="Nunito Sans" w:hAnsi="Nunito Sans" w:cs="Calibri"/>
                    <w:sz w:val="18"/>
                    <w:szCs w:val="18"/>
                  </w:rPr>
                  <w:t>Plan Tratamiento De Riesgos De Seguridad Y Privacidad De La Información 2025</w:t>
                </w:r>
              </w:p>
              <w:p w:rsidRPr="00F37CC6" w:rsidR="005E3BD6" w:rsidP="00B4771C" w:rsidRDefault="005E3BD6" w14:paraId="1E027794" w14:textId="77777777">
                <w:pPr>
                  <w:jc w:val="both"/>
                  <w:rPr>
                    <w:rFonts w:ascii="Nunito Sans" w:hAnsi="Nunito Sans" w:cs="Calibri"/>
                    <w:color w:val="E1AF3B"/>
                    <w:sz w:val="18"/>
                    <w:szCs w:val="18"/>
                  </w:rPr>
                </w:pPr>
                <w:hyperlink w:history="1" r:id="rId49">
                  <w:r w:rsidRPr="00F37CC6">
                    <w:rPr>
                      <w:rStyle w:val="Hipervnculo"/>
                      <w:rFonts w:ascii="Nunito Sans" w:hAnsi="Nunito Sans" w:cs="Calibri"/>
                      <w:color w:val="E1AF3B"/>
                      <w:sz w:val="18"/>
                      <w:szCs w:val="18"/>
                    </w:rPr>
                    <w:t>Link del Plan Tratamiento De Riesgos De Seguridad Y Privacidad De La Información</w:t>
                  </w:r>
                </w:hyperlink>
              </w:p>
            </w:tc>
          </w:tr>
          <w:tr w:rsidRPr="007E3FC8" w:rsidR="005E3BD6" w:rsidTr="007D47D3" w14:paraId="64CEF650" w14:textId="77777777">
            <w:trPr>
              <w:trHeight w:val="419"/>
            </w:trPr>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517ECAD6"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 xml:space="preserve">Mapa de procesos </w:t>
                </w:r>
              </w:p>
            </w:tc>
            <w:tc>
              <w:tcPr>
                <w:tcW w:w="3873" w:type="pct"/>
                <w:tcBorders>
                  <w:left w:val="single" w:color="FFFFFF" w:themeColor="background1" w:sz="4" w:space="0"/>
                </w:tcBorders>
                <w:vAlign w:val="center"/>
              </w:tcPr>
              <w:p w:rsidRPr="00F37CC6" w:rsidR="005E3BD6" w:rsidP="00B4771C" w:rsidRDefault="005E3BD6" w14:paraId="41794814" w14:textId="41C3862F">
                <w:pPr>
                  <w:jc w:val="both"/>
                  <w:rPr>
                    <w:rFonts w:ascii="Nunito Sans" w:hAnsi="Nunito Sans" w:cs="Calibri"/>
                    <w:sz w:val="18"/>
                    <w:szCs w:val="18"/>
                  </w:rPr>
                </w:pPr>
                <w:hyperlink r:id="rId50">
                  <w:r w:rsidRPr="00F37CC6">
                    <w:rPr>
                      <w:rStyle w:val="Hipervnculo"/>
                      <w:rFonts w:ascii="Nunito Sans" w:hAnsi="Nunito Sans" w:cs="Calibri"/>
                      <w:color w:val="E1AF3B"/>
                      <w:sz w:val="18"/>
                      <w:szCs w:val="18"/>
                    </w:rPr>
                    <w:t>Link del Mapa de Procesos</w:t>
                  </w:r>
                </w:hyperlink>
              </w:p>
            </w:tc>
          </w:tr>
          <w:tr w:rsidRPr="007E3FC8" w:rsidR="005E3BD6" w:rsidTr="007D47D3" w14:paraId="59693C01" w14:textId="77777777">
            <w:tc>
              <w:tcPr>
                <w:tcW w:w="1127" w:type="pc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7E3FC8" w:rsidR="005E3BD6" w:rsidP="00B4771C" w:rsidRDefault="005E3BD6" w14:paraId="72CC4D1A" w14:textId="77777777">
                <w:pPr>
                  <w:pStyle w:val="Prrafodelista"/>
                  <w:rPr>
                    <w:rFonts w:ascii="Nunito Sans" w:hAnsi="Nunito Sans" w:cs="Calibri"/>
                    <w:b/>
                    <w:bCs/>
                    <w:color w:val="FFFFFF" w:themeColor="background1"/>
                    <w:sz w:val="18"/>
                    <w:szCs w:val="18"/>
                  </w:rPr>
                </w:pPr>
                <w:r w:rsidRPr="007E3FC8">
                  <w:rPr>
                    <w:rFonts w:ascii="Nunito Sans" w:hAnsi="Nunito Sans" w:cs="Calibri"/>
                    <w:b/>
                    <w:bCs/>
                    <w:color w:val="FFFFFF" w:themeColor="background1"/>
                    <w:sz w:val="18"/>
                    <w:szCs w:val="18"/>
                  </w:rPr>
                  <w:t xml:space="preserve">Número Total de Tramites y Servicios </w:t>
                </w:r>
              </w:p>
            </w:tc>
            <w:tc>
              <w:tcPr>
                <w:tcW w:w="3873" w:type="pct"/>
                <w:tcBorders>
                  <w:left w:val="single" w:color="FFFFFF" w:themeColor="background1" w:sz="4" w:space="0"/>
                </w:tcBorders>
                <w:vAlign w:val="center"/>
              </w:tcPr>
              <w:p w:rsidRPr="00F37CC6" w:rsidR="005E3BD6" w:rsidP="00B4771C" w:rsidRDefault="005E3BD6" w14:paraId="22B6C9D2" w14:textId="77777777">
                <w:pPr>
                  <w:ind w:left="38" w:hanging="38"/>
                  <w:jc w:val="both"/>
                  <w:rPr>
                    <w:rFonts w:ascii="Nunito Sans" w:hAnsi="Nunito Sans" w:cs="Calibri"/>
                    <w:sz w:val="18"/>
                    <w:szCs w:val="18"/>
                  </w:rPr>
                </w:pPr>
                <w:r w:rsidRPr="00F37CC6">
                  <w:rPr>
                    <w:rFonts w:ascii="Nunito Sans" w:hAnsi="Nunito Sans" w:cs="Calibri"/>
                    <w:sz w:val="18"/>
                    <w:szCs w:val="18"/>
                  </w:rPr>
                  <w:t>20</w:t>
                </w:r>
              </w:p>
            </w:tc>
          </w:tr>
        </w:tbl>
        <w:p w:rsidRPr="005A796E" w:rsidR="005E3BD6" w:rsidP="005E3BD6" w:rsidRDefault="005E3BD6" w14:paraId="2080975D"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E4303B" w:rsidP="005E3BD6" w:rsidRDefault="00E4303B" w14:paraId="19A8CC17" w14:textId="77777777">
          <w:pPr>
            <w:ind w:left="426"/>
            <w:jc w:val="both"/>
            <w:rPr>
              <w:rFonts w:ascii="Nunito Sans" w:hAnsi="Nunito Sans" w:cs="Calibri"/>
              <w:sz w:val="22"/>
              <w:szCs w:val="22"/>
            </w:rPr>
          </w:pPr>
        </w:p>
        <w:p w:rsidRPr="00C84DD1" w:rsidR="005E3BD6" w:rsidRDefault="1F325162" w14:paraId="0908183E" w14:textId="3D6A52F6">
          <w:pPr>
            <w:pStyle w:val="Ttulo3"/>
            <w:numPr>
              <w:ilvl w:val="2"/>
              <w:numId w:val="34"/>
            </w:numPr>
            <w:rPr>
              <w:i/>
              <w:lang w:eastAsia="en-US"/>
            </w:rPr>
          </w:pPr>
          <w:bookmarkStart w:name="_Toc234234445" w:id="33"/>
          <w:r w:rsidRPr="4E60D266">
            <w:rPr>
              <w:lang w:eastAsia="en-US"/>
            </w:rPr>
            <w:t>Comisión de Regulación de Energía</w:t>
          </w:r>
          <w:r w:rsidRPr="4E60D266" w:rsidR="5A87D1DF">
            <w:rPr>
              <w:lang w:eastAsia="en-US"/>
            </w:rPr>
            <w:t xml:space="preserve"> y</w:t>
          </w:r>
          <w:r w:rsidRPr="4E60D266">
            <w:rPr>
              <w:lang w:eastAsia="en-US"/>
            </w:rPr>
            <w:t xml:space="preserve"> Gas (CREG)</w:t>
          </w:r>
          <w:bookmarkEnd w:id="33"/>
        </w:p>
        <w:p w:rsidR="005E3BD6" w:rsidP="005E3BD6" w:rsidRDefault="005E3BD6" w14:paraId="1696C12B" w14:textId="77777777">
          <w:pPr>
            <w:pStyle w:val="Prrafodelista"/>
            <w:ind w:left="1276"/>
            <w:jc w:val="both"/>
            <w:rPr>
              <w:rFonts w:ascii="Nunito Sans" w:hAnsi="Nunito Sans" w:cs="Calibri"/>
              <w:sz w:val="22"/>
              <w:szCs w:val="22"/>
            </w:rPr>
          </w:pPr>
        </w:p>
        <w:p w:rsidRPr="00DF04B7" w:rsidR="005E3BD6" w:rsidP="005E3BD6" w:rsidRDefault="00DF04B7" w14:paraId="307D4AC8" w14:textId="516ED064">
          <w:pPr>
            <w:ind w:left="360" w:hanging="360"/>
            <w:jc w:val="center"/>
            <w:rPr>
              <w:rFonts w:ascii="Nunito Sans" w:hAnsi="Nunito Sans" w:cs="Calibri"/>
              <w:b/>
              <w:bCs/>
              <w:sz w:val="18"/>
              <w:szCs w:val="18"/>
            </w:rPr>
          </w:pPr>
          <w:bookmarkStart w:name="_Toc220664178" w:id="34"/>
          <w:r w:rsidRPr="00DF04B7">
            <w:rPr>
              <w:rFonts w:ascii="Nunito Sans" w:hAnsi="Nunito Sans" w:cs="Calibri"/>
              <w:b/>
              <w:bCs/>
              <w:sz w:val="18"/>
              <w:szCs w:val="18"/>
            </w:rPr>
            <w:t xml:space="preserve">Tabla </w:t>
          </w:r>
          <w:r w:rsidRPr="00DF04B7">
            <w:rPr>
              <w:rFonts w:ascii="Nunito Sans" w:hAnsi="Nunito Sans" w:cs="Calibri"/>
              <w:b/>
              <w:bCs/>
              <w:sz w:val="18"/>
              <w:szCs w:val="18"/>
            </w:rPr>
            <w:fldChar w:fldCharType="begin"/>
          </w:r>
          <w:r w:rsidRPr="00DF04B7">
            <w:rPr>
              <w:rFonts w:ascii="Nunito Sans" w:hAnsi="Nunito Sans" w:cs="Calibri"/>
              <w:b/>
              <w:bCs/>
              <w:sz w:val="18"/>
              <w:szCs w:val="18"/>
            </w:rPr>
            <w:instrText xml:space="preserve"> SEQ Tabla \* ARABIC </w:instrText>
          </w:r>
          <w:r w:rsidRPr="00DF04B7">
            <w:rPr>
              <w:rFonts w:ascii="Nunito Sans" w:hAnsi="Nunito Sans" w:cs="Calibri"/>
              <w:b/>
              <w:bCs/>
              <w:sz w:val="18"/>
              <w:szCs w:val="18"/>
            </w:rPr>
            <w:fldChar w:fldCharType="separate"/>
          </w:r>
          <w:r w:rsidR="00C57F7B">
            <w:rPr>
              <w:rFonts w:ascii="Nunito Sans" w:hAnsi="Nunito Sans" w:cs="Calibri"/>
              <w:b/>
              <w:bCs/>
              <w:noProof/>
              <w:sz w:val="18"/>
              <w:szCs w:val="18"/>
            </w:rPr>
            <w:t>7</w:t>
          </w:r>
          <w:r w:rsidRPr="00DF04B7">
            <w:rPr>
              <w:rFonts w:ascii="Nunito Sans" w:hAnsi="Nunito Sans" w:cs="Calibri"/>
              <w:b/>
              <w:bCs/>
              <w:sz w:val="18"/>
              <w:szCs w:val="18"/>
            </w:rPr>
            <w:fldChar w:fldCharType="end"/>
          </w:r>
          <w:r w:rsidRPr="00DF04B7"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 la CREG</w:t>
          </w:r>
          <w:bookmarkEnd w:id="34"/>
        </w:p>
        <w:tbl>
          <w:tblPr>
            <w:tblStyle w:val="Tablaconcuadrcula"/>
            <w:tblW w:w="0" w:type="auto"/>
            <w:tblInd w:w="421"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4"/>
            <w:gridCol w:w="6803"/>
          </w:tblGrid>
          <w:tr w:rsidRPr="00D74DAA" w:rsidR="005E3BD6" w:rsidTr="007D47D3" w14:paraId="06D1A8C9" w14:textId="77777777">
            <w:trPr>
              <w:trHeight w:val="52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3D9E0835" w:rsidRDefault="005E3BD6" w14:paraId="51AA9FC7" w14:textId="77777777">
                <w:pPr>
                  <w:pStyle w:val="Prrafodelista"/>
                  <w:rPr>
                    <w:rFonts w:ascii="Nunito Sans" w:hAnsi="Nunito Sans" w:cs="Calibri" w:eastAsiaTheme="minorEastAsia"/>
                    <w:color w:val="FFFFFF" w:themeColor="background1"/>
                    <w:sz w:val="18"/>
                    <w:szCs w:val="18"/>
                    <w:lang w:eastAsia="en-US"/>
                  </w:rPr>
                </w:pPr>
                <w:r w:rsidRPr="00896653">
                  <w:rPr>
                    <w:rFonts w:ascii="Nunito Sans" w:hAnsi="Nunito Sans" w:cs="Calibri"/>
                    <w:b/>
                    <w:bCs/>
                    <w:color w:val="FFFFFF" w:themeColor="background1"/>
                    <w:sz w:val="18"/>
                    <w:szCs w:val="18"/>
                  </w:rPr>
                  <w:t>Decreto de Creación</w:t>
                </w:r>
              </w:p>
            </w:tc>
            <w:tc>
              <w:tcPr>
                <w:tcW w:w="6803" w:type="dxa"/>
                <w:tcBorders>
                  <w:left w:val="single" w:color="FFFFFF" w:themeColor="background1" w:sz="4" w:space="0"/>
                </w:tcBorders>
                <w:vAlign w:val="center"/>
              </w:tcPr>
              <w:p w:rsidRPr="00381967" w:rsidR="254D40BE" w:rsidP="3D9E0835" w:rsidRDefault="254D40BE" w14:paraId="78D9A142" w14:textId="038496E2">
                <w:pPr>
                  <w:pStyle w:val="Prrafodelista"/>
                  <w:rPr>
                    <w:rFonts w:ascii="Nunito Sans" w:hAnsi="Nunito Sans" w:cs="Calibri" w:eastAsiaTheme="minorEastAsia"/>
                    <w:color w:val="E1AF3B"/>
                    <w:sz w:val="18"/>
                    <w:szCs w:val="18"/>
                    <w:u w:val="single"/>
                    <w:lang w:val="es-ES" w:eastAsia="en-US"/>
                  </w:rPr>
                </w:pPr>
                <w:hyperlink r:id="rId51">
                  <w:r w:rsidRPr="00381967">
                    <w:rPr>
                      <w:rFonts w:ascii="Nunito Sans" w:hAnsi="Nunito Sans" w:eastAsiaTheme="minorEastAsia" w:cstheme="minorBidi"/>
                      <w:color w:val="E1AF3B"/>
                      <w:sz w:val="18"/>
                      <w:szCs w:val="18"/>
                      <w:u w:val="single"/>
                      <w:lang w:val="es-ES" w:eastAsia="en-US"/>
                    </w:rPr>
                    <w:t>Creación: Ley 142 de 1994 - Artículo 69.2.</w:t>
                  </w:r>
                </w:hyperlink>
              </w:p>
              <w:p w:rsidRPr="00381967" w:rsidR="005E3BD6" w:rsidP="3D9E0835" w:rsidRDefault="254D40BE" w14:paraId="19C07192" w14:textId="0665AD8A">
                <w:pPr>
                  <w:pStyle w:val="Prrafodelista"/>
                  <w:rPr>
                    <w:rFonts w:ascii="Nunito Sans" w:hAnsi="Nunito Sans" w:cs="Calibri" w:eastAsiaTheme="minorEastAsia"/>
                    <w:color w:val="404040" w:themeColor="text1" w:themeTint="BF"/>
                    <w:sz w:val="18"/>
                    <w:szCs w:val="18"/>
                    <w:lang w:eastAsia="en-US"/>
                  </w:rPr>
                </w:pPr>
                <w:hyperlink r:id="rId52">
                  <w:r w:rsidRPr="00381967">
                    <w:rPr>
                      <w:rFonts w:ascii="Nunito Sans" w:hAnsi="Nunito Sans" w:eastAsiaTheme="minorEastAsia" w:cstheme="minorBidi"/>
                      <w:color w:val="E1AF3B"/>
                      <w:sz w:val="18"/>
                      <w:szCs w:val="18"/>
                      <w:u w:val="single"/>
                      <w:lang w:val="es-ES" w:eastAsia="en-US"/>
                    </w:rPr>
                    <w:t xml:space="preserve">Funciones: </w:t>
                  </w:r>
                  <w:r w:rsidRPr="00381967" w:rsidR="005E3BD6">
                    <w:rPr>
                      <w:rFonts w:ascii="Nunito Sans" w:hAnsi="Nunito Sans" w:eastAsiaTheme="minorEastAsia" w:cstheme="minorBidi"/>
                      <w:color w:val="E1AF3B"/>
                      <w:sz w:val="18"/>
                      <w:szCs w:val="18"/>
                      <w:u w:val="single"/>
                      <w:lang w:val="es-ES" w:eastAsia="en-US"/>
                    </w:rPr>
                    <w:t>Decreto 1524 de 1994</w:t>
                  </w:r>
                </w:hyperlink>
              </w:p>
            </w:tc>
          </w:tr>
          <w:tr w:rsidRPr="00D74DAA" w:rsidR="005E3BD6" w:rsidTr="007D47D3" w14:paraId="4E2AE6D9" w14:textId="77777777">
            <w:trPr>
              <w:trHeight w:val="56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3444EA15"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Página Web</w:t>
                </w:r>
              </w:p>
            </w:tc>
            <w:tc>
              <w:tcPr>
                <w:tcW w:w="6803" w:type="dxa"/>
                <w:tcBorders>
                  <w:left w:val="single" w:color="FFFFFF" w:themeColor="background1" w:sz="4" w:space="0"/>
                </w:tcBorders>
                <w:vAlign w:val="center"/>
              </w:tcPr>
              <w:p w:rsidRPr="00381967" w:rsidR="005E3BD6" w:rsidP="00B4771C" w:rsidRDefault="005E3BD6" w14:paraId="52D4F0E8" w14:textId="77777777">
                <w:pPr>
                  <w:pStyle w:val="Prrafodelista"/>
                  <w:rPr>
                    <w:rFonts w:ascii="Nunito Sans" w:hAnsi="Nunito Sans" w:cs="Calibri"/>
                    <w:color w:val="E1AF3B"/>
                    <w:sz w:val="18"/>
                    <w:szCs w:val="18"/>
                  </w:rPr>
                </w:pPr>
                <w:hyperlink w:history="1" r:id="rId53">
                  <w:r w:rsidRPr="00381967">
                    <w:rPr>
                      <w:rStyle w:val="Hipervnculo"/>
                      <w:rFonts w:ascii="Nunito Sans" w:hAnsi="Nunito Sans" w:cs="Calibri"/>
                      <w:color w:val="E1AF3B"/>
                      <w:sz w:val="18"/>
                      <w:szCs w:val="18"/>
                    </w:rPr>
                    <w:t>https://creg.gov.co/</w:t>
                  </w:r>
                </w:hyperlink>
              </w:p>
            </w:tc>
          </w:tr>
          <w:tr w:rsidRPr="00D74DAA" w:rsidR="005E3BD6" w:rsidTr="007D47D3" w14:paraId="65F7DD1E" w14:textId="77777777">
            <w:trPr>
              <w:trHeight w:val="137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5EE6E241"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Misión</w:t>
                </w:r>
              </w:p>
            </w:tc>
            <w:tc>
              <w:tcPr>
                <w:tcW w:w="6803" w:type="dxa"/>
                <w:tcBorders>
                  <w:left w:val="single" w:color="FFFFFF" w:themeColor="background1" w:sz="4" w:space="0"/>
                </w:tcBorders>
                <w:vAlign w:val="center"/>
              </w:tcPr>
              <w:p w:rsidRPr="00381967" w:rsidR="005E3BD6" w:rsidP="00896653" w:rsidRDefault="3FA09502" w14:paraId="5A82C622" w14:textId="733749C5">
                <w:pPr>
                  <w:pStyle w:val="Prrafodelista"/>
                  <w:jc w:val="both"/>
                  <w:rPr>
                    <w:rFonts w:ascii="Nunito Sans" w:hAnsi="Nunito Sans"/>
                    <w:color w:val="000000" w:themeColor="text1"/>
                    <w:sz w:val="18"/>
                    <w:szCs w:val="18"/>
                  </w:rPr>
                </w:pPr>
                <w:r w:rsidRPr="00381967">
                  <w:rPr>
                    <w:rFonts w:ascii="Nunito Sans" w:hAnsi="Nunito Sans" w:cs="Calibri" w:eastAsiaTheme="minorEastAsia"/>
                    <w:color w:val="000000" w:themeColor="text1"/>
                    <w:sz w:val="18"/>
                    <w:szCs w:val="18"/>
                    <w:lang w:val="es-ES" w:eastAsia="en-US"/>
                  </w:rPr>
                  <w:t>Regular en cumplimiento de los lineamientos normativos, los servicios públicos de energía eléctrica, gas combustible, combustibles líquidos y otras fuentes de energía; con criterio técnico, independiente, transparente e innovación; regulando los monopolios; incentivando la competencia, atendiendo oportunamente las necesidades de los usuarios y las empresas, contribuyendo al desarrollo sostenible de los sectores y del país</w:t>
                </w:r>
              </w:p>
            </w:tc>
          </w:tr>
          <w:tr w:rsidRPr="00D74DAA" w:rsidR="005E3BD6" w:rsidTr="007D47D3" w14:paraId="08550C3F" w14:textId="77777777">
            <w:trPr>
              <w:trHeight w:val="1120"/>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70EAAEC6"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Visión</w:t>
                </w:r>
              </w:p>
            </w:tc>
            <w:tc>
              <w:tcPr>
                <w:tcW w:w="6803" w:type="dxa"/>
                <w:tcBorders>
                  <w:left w:val="single" w:color="FFFFFF" w:themeColor="background1" w:sz="4" w:space="0"/>
                </w:tcBorders>
                <w:vAlign w:val="center"/>
              </w:tcPr>
              <w:p w:rsidRPr="00381967" w:rsidR="005E3BD6" w:rsidP="00896653" w:rsidRDefault="44DBE904" w14:paraId="763FCAD4" w14:textId="3420CD51">
                <w:pPr>
                  <w:jc w:val="both"/>
                  <w:rPr>
                    <w:rFonts w:ascii="Nunito Sans" w:hAnsi="Nunito Sans" w:cs="Calibri" w:eastAsiaTheme="minorEastAsia"/>
                    <w:color w:val="000000" w:themeColor="text1"/>
                    <w:sz w:val="18"/>
                    <w:szCs w:val="18"/>
                    <w:lang w:eastAsia="en-US"/>
                  </w:rPr>
                </w:pPr>
                <w:r w:rsidRPr="00381967">
                  <w:rPr>
                    <w:rFonts w:ascii="Nunito Sans" w:hAnsi="Nunito Sans" w:eastAsiaTheme="minorEastAsia" w:cstheme="minorBidi"/>
                    <w:color w:val="000000" w:themeColor="text1"/>
                    <w:sz w:val="18"/>
                    <w:szCs w:val="18"/>
                    <w:lang w:eastAsia="en-US"/>
                  </w:rPr>
                  <w:t>Al año 2030, la CREG será un ente regulador reconocido por su excelencia técnica, integridad y compromiso con los usuarios y las empresas, que promueve decisiones innovadoras y sostenibles, con un impacto positivo en el desarrollo energético de todas las regiones del país</w:t>
                </w:r>
              </w:p>
            </w:tc>
          </w:tr>
          <w:tr w:rsidRPr="00D74DAA" w:rsidR="005E3BD6" w:rsidTr="007D47D3" w14:paraId="44986097"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41C38FA6" w14:textId="414EEB10">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lastRenderedPageBreak/>
                  <w:t>Objetivo</w:t>
                </w:r>
              </w:p>
            </w:tc>
            <w:tc>
              <w:tcPr>
                <w:tcW w:w="6803" w:type="dxa"/>
                <w:tcBorders>
                  <w:left w:val="single" w:color="FFFFFF" w:themeColor="background1" w:sz="4" w:space="0"/>
                </w:tcBorders>
                <w:vAlign w:val="center"/>
              </w:tcPr>
              <w:p w:rsidRPr="00381967" w:rsidR="005E3BD6" w:rsidP="00896653" w:rsidRDefault="005E3BD6" w14:paraId="066AA714" w14:textId="77777777">
                <w:pPr>
                  <w:jc w:val="both"/>
                  <w:rPr>
                    <w:rFonts w:ascii="Nunito Sans" w:hAnsi="Nunito Sans" w:cs="Calibri"/>
                    <w:color w:val="000000" w:themeColor="text1"/>
                    <w:sz w:val="18"/>
                    <w:szCs w:val="18"/>
                  </w:rPr>
                </w:pPr>
                <w:r w:rsidRPr="00381967">
                  <w:rPr>
                    <w:rFonts w:ascii="Nunito Sans" w:hAnsi="Nunito Sans" w:cs="Calibri" w:eastAsiaTheme="minorHAnsi"/>
                    <w:color w:val="000000" w:themeColor="text1"/>
                    <w:sz w:val="18"/>
                    <w:szCs w:val="18"/>
                    <w:lang w:val="es-ES" w:eastAsia="en-US"/>
                  </w:rPr>
                  <w:t>La Comisión de Regulación de Energía y Gas, CREG, tiene por objeto regular los monopolios en la prestación de los servicios públicos domiciliarios de energía eléctrica y gas combustible, cuando la competencia no sea, de hecho, posible; y, en los demás casos, la de promover la competencia entre quienes presten servicios públicos, para que las operaciones de los monopolistas o de los competidores sean económicamente eficientes, no impliquen abusos de la posición dominante, y produzcan servicios de calidad. Igualmente tiene por objeto expedir la regulación económica para las actividades de la cadena de combustibles líquidos derivados de hidrocarburos, en los términos y condiciones señalados en la Ley.</w:t>
                </w:r>
              </w:p>
            </w:tc>
          </w:tr>
          <w:tr w:rsidRPr="00D74DAA" w:rsidR="005E3BD6" w:rsidTr="007D47D3" w14:paraId="40C6D705" w14:textId="77777777">
            <w:trPr>
              <w:trHeight w:val="970"/>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57D1051B"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Plan Estratégico Institucional</w:t>
                </w:r>
              </w:p>
            </w:tc>
            <w:tc>
              <w:tcPr>
                <w:tcW w:w="6803" w:type="dxa"/>
                <w:tcBorders>
                  <w:left w:val="single" w:color="FFFFFF" w:themeColor="background1" w:sz="4" w:space="0"/>
                </w:tcBorders>
                <w:vAlign w:val="center"/>
              </w:tcPr>
              <w:p w:rsidRPr="00381967" w:rsidR="005E3BD6" w:rsidP="00B4771C" w:rsidRDefault="005E3BD6" w14:paraId="08BDAE8F" w14:textId="5F0C84F9">
                <w:pPr>
                  <w:ind w:left="360" w:hanging="360"/>
                  <w:rPr>
                    <w:rFonts w:ascii="Nunito Sans" w:hAnsi="Nunito Sans" w:cs="Calibri"/>
                    <w:sz w:val="18"/>
                    <w:szCs w:val="18"/>
                  </w:rPr>
                </w:pPr>
                <w:r w:rsidRPr="00381967">
                  <w:rPr>
                    <w:rFonts w:ascii="Nunito Sans" w:hAnsi="Nunito Sans" w:cs="Calibri"/>
                    <w:sz w:val="18"/>
                    <w:szCs w:val="18"/>
                  </w:rPr>
                  <w:t>Plan Estratégico CREG 20</w:t>
                </w:r>
                <w:r w:rsidRPr="00381967" w:rsidR="3C294D55">
                  <w:rPr>
                    <w:rFonts w:ascii="Nunito Sans" w:hAnsi="Nunito Sans" w:cs="Calibri"/>
                    <w:sz w:val="18"/>
                    <w:szCs w:val="18"/>
                  </w:rPr>
                  <w:t>25</w:t>
                </w:r>
                <w:r w:rsidRPr="00381967">
                  <w:rPr>
                    <w:rFonts w:ascii="Nunito Sans" w:hAnsi="Nunito Sans" w:cs="Calibri"/>
                    <w:sz w:val="18"/>
                    <w:szCs w:val="18"/>
                  </w:rPr>
                  <w:t>-20</w:t>
                </w:r>
                <w:r w:rsidRPr="00381967" w:rsidR="4494B568">
                  <w:rPr>
                    <w:rFonts w:ascii="Nunito Sans" w:hAnsi="Nunito Sans" w:cs="Calibri"/>
                    <w:sz w:val="18"/>
                    <w:szCs w:val="18"/>
                  </w:rPr>
                  <w:t>30</w:t>
                </w:r>
              </w:p>
              <w:p w:rsidRPr="00381967" w:rsidR="005E3BD6" w:rsidP="00B4771C" w:rsidRDefault="005E3BD6" w14:paraId="6FDE5DF1" w14:textId="77777777">
                <w:pPr>
                  <w:ind w:left="360" w:hanging="360"/>
                  <w:rPr>
                    <w:rFonts w:ascii="Nunito Sans" w:hAnsi="Nunito Sans" w:cs="Calibri"/>
                    <w:sz w:val="18"/>
                    <w:szCs w:val="18"/>
                  </w:rPr>
                </w:pPr>
                <w:hyperlink r:id="rId54">
                  <w:r w:rsidRPr="00381967">
                    <w:rPr>
                      <w:rStyle w:val="Hipervnculo"/>
                      <w:rFonts w:ascii="Nunito Sans" w:hAnsi="Nunito Sans" w:cs="Calibri"/>
                      <w:color w:val="E1AF3B"/>
                      <w:sz w:val="18"/>
                      <w:szCs w:val="18"/>
                    </w:rPr>
                    <w:t>Link del Plan Estratégico Institucional</w:t>
                  </w:r>
                </w:hyperlink>
              </w:p>
            </w:tc>
          </w:tr>
          <w:tr w:rsidRPr="00D74DAA" w:rsidR="005E3BD6" w:rsidTr="007D47D3" w14:paraId="6D89FDFA" w14:textId="77777777">
            <w:trPr>
              <w:trHeight w:val="653"/>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2733A705"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Plan Estratégico de Tecnologías de la Información</w:t>
                </w:r>
              </w:p>
            </w:tc>
            <w:tc>
              <w:tcPr>
                <w:tcW w:w="6803" w:type="dxa"/>
                <w:tcBorders>
                  <w:left w:val="single" w:color="FFFFFF" w:themeColor="background1" w:sz="4" w:space="0"/>
                </w:tcBorders>
                <w:vAlign w:val="center"/>
              </w:tcPr>
              <w:p w:rsidRPr="00381967" w:rsidR="005E3BD6" w:rsidP="00B4771C" w:rsidRDefault="005E3BD6" w14:paraId="039B3A3F" w14:textId="77777777">
                <w:pPr>
                  <w:rPr>
                    <w:rFonts w:ascii="Nunito Sans" w:hAnsi="Nunito Sans" w:cs="Calibri"/>
                    <w:sz w:val="18"/>
                    <w:szCs w:val="18"/>
                  </w:rPr>
                </w:pPr>
                <w:r w:rsidRPr="00381967">
                  <w:rPr>
                    <w:rFonts w:ascii="Nunito Sans" w:hAnsi="Nunito Sans" w:cs="Calibri"/>
                    <w:sz w:val="18"/>
                    <w:szCs w:val="18"/>
                  </w:rPr>
                  <w:t>Plan Estratégico de Tecnologías de la Información – PETI | 2025 – 2028</w:t>
                </w:r>
              </w:p>
              <w:p w:rsidRPr="00381967" w:rsidR="005E3BD6" w:rsidP="00B4771C" w:rsidRDefault="005E3BD6" w14:paraId="751624AD" w14:textId="77777777">
                <w:pPr>
                  <w:rPr>
                    <w:rFonts w:ascii="Nunito Sans" w:hAnsi="Nunito Sans" w:cs="Calibri"/>
                    <w:sz w:val="18"/>
                    <w:szCs w:val="18"/>
                  </w:rPr>
                </w:pPr>
                <w:hyperlink w:history="1" r:id="rId55">
                  <w:r w:rsidRPr="00381967">
                    <w:rPr>
                      <w:rStyle w:val="Hipervnculo"/>
                      <w:rFonts w:ascii="Nunito Sans" w:hAnsi="Nunito Sans" w:cs="Calibri"/>
                      <w:color w:val="E1AF3B"/>
                      <w:sz w:val="18"/>
                      <w:szCs w:val="18"/>
                    </w:rPr>
                    <w:t>Link del Plan Estratégico de Tecnologías de la Información</w:t>
                  </w:r>
                </w:hyperlink>
              </w:p>
            </w:tc>
          </w:tr>
          <w:tr w:rsidRPr="00D74DAA" w:rsidR="005E3BD6" w:rsidTr="007D47D3" w14:paraId="59A7F17A"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61E146D8"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Plan de Seguridad y Privacidad de la información</w:t>
                </w:r>
              </w:p>
            </w:tc>
            <w:tc>
              <w:tcPr>
                <w:tcW w:w="6803" w:type="dxa"/>
                <w:tcBorders>
                  <w:left w:val="single" w:color="FFFFFF" w:themeColor="background1" w:sz="4" w:space="0"/>
                </w:tcBorders>
                <w:vAlign w:val="center"/>
              </w:tcPr>
              <w:p w:rsidRPr="00381967" w:rsidR="005E3BD6" w:rsidP="00B4771C" w:rsidRDefault="005E3BD6" w14:paraId="1A67C362" w14:textId="77777777">
                <w:pPr>
                  <w:ind w:left="360" w:hanging="360"/>
                  <w:rPr>
                    <w:rFonts w:ascii="Nunito Sans" w:hAnsi="Nunito Sans" w:cs="Calibri"/>
                    <w:sz w:val="18"/>
                    <w:szCs w:val="18"/>
                  </w:rPr>
                </w:pPr>
                <w:r w:rsidRPr="00381967">
                  <w:rPr>
                    <w:rFonts w:ascii="Nunito Sans" w:hAnsi="Nunito Sans" w:cs="Calibri"/>
                    <w:sz w:val="18"/>
                    <w:szCs w:val="18"/>
                  </w:rPr>
                  <w:t>Plan Estratégico de Seguridad de la Información 2025</w:t>
                </w:r>
              </w:p>
              <w:p w:rsidRPr="00381967" w:rsidR="005E3BD6" w:rsidP="00B4771C" w:rsidRDefault="005E3BD6" w14:paraId="19BF4432" w14:textId="77777777">
                <w:pPr>
                  <w:ind w:left="360" w:hanging="360"/>
                  <w:rPr>
                    <w:rFonts w:ascii="Nunito Sans" w:hAnsi="Nunito Sans" w:cs="Calibri"/>
                    <w:sz w:val="18"/>
                    <w:szCs w:val="18"/>
                  </w:rPr>
                </w:pPr>
                <w:hyperlink w:history="1" r:id="rId56">
                  <w:r w:rsidRPr="00381967">
                    <w:rPr>
                      <w:rStyle w:val="Hipervnculo"/>
                      <w:rFonts w:ascii="Nunito Sans" w:hAnsi="Nunito Sans" w:cs="Calibri"/>
                      <w:color w:val="E1AF3B"/>
                      <w:sz w:val="18"/>
                      <w:szCs w:val="18"/>
                    </w:rPr>
                    <w:t>Link del Plan de Seguridad y Privacidad de la información</w:t>
                  </w:r>
                </w:hyperlink>
              </w:p>
            </w:tc>
          </w:tr>
          <w:tr w:rsidRPr="00D74DAA" w:rsidR="005E3BD6" w:rsidTr="007D47D3" w14:paraId="5D90B1E3"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1AE7C1D2"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Plan Tratamiento de Riesgos de Seguridad y Privacidad de la Información</w:t>
                </w:r>
              </w:p>
            </w:tc>
            <w:tc>
              <w:tcPr>
                <w:tcW w:w="6803" w:type="dxa"/>
                <w:tcBorders>
                  <w:left w:val="single" w:color="FFFFFF" w:themeColor="background1" w:sz="4" w:space="0"/>
                </w:tcBorders>
                <w:vAlign w:val="center"/>
              </w:tcPr>
              <w:p w:rsidRPr="00381967" w:rsidR="005E3BD6" w:rsidP="00B4771C" w:rsidRDefault="005E3BD6" w14:paraId="4803495D" w14:textId="77777777">
                <w:pPr>
                  <w:rPr>
                    <w:rFonts w:ascii="Nunito Sans" w:hAnsi="Nunito Sans" w:cs="Calibri"/>
                    <w:sz w:val="18"/>
                    <w:szCs w:val="18"/>
                  </w:rPr>
                </w:pPr>
                <w:r w:rsidRPr="00381967">
                  <w:rPr>
                    <w:rFonts w:ascii="Nunito Sans" w:hAnsi="Nunito Sans" w:cs="Calibri"/>
                    <w:sz w:val="18"/>
                    <w:szCs w:val="18"/>
                  </w:rPr>
                  <w:t>Plan de Tratamiento de Riesgos de Seguridad y Privacidad de la Información 2025</w:t>
                </w:r>
              </w:p>
              <w:p w:rsidRPr="00381967" w:rsidR="005E3BD6" w:rsidP="00B4771C" w:rsidRDefault="005E3BD6" w14:paraId="412257D7" w14:textId="77777777">
                <w:pPr>
                  <w:rPr>
                    <w:rFonts w:ascii="Nunito Sans" w:hAnsi="Nunito Sans" w:cs="Calibri"/>
                    <w:sz w:val="18"/>
                    <w:szCs w:val="18"/>
                  </w:rPr>
                </w:pPr>
                <w:hyperlink w:history="1" r:id="rId57">
                  <w:r w:rsidRPr="00381967">
                    <w:rPr>
                      <w:rStyle w:val="Hipervnculo"/>
                      <w:rFonts w:ascii="Nunito Sans" w:hAnsi="Nunito Sans" w:cs="Calibri"/>
                      <w:color w:val="E1AF3B"/>
                      <w:sz w:val="18"/>
                      <w:szCs w:val="18"/>
                    </w:rPr>
                    <w:t>Link del Plan Tratamiento de Riesgos de Seguridad y Privacidad de la Información</w:t>
                  </w:r>
                </w:hyperlink>
              </w:p>
            </w:tc>
          </w:tr>
          <w:tr w:rsidRPr="00D74DAA" w:rsidR="005E3BD6" w:rsidTr="007D47D3" w14:paraId="642708F1" w14:textId="77777777">
            <w:trPr>
              <w:trHeight w:val="51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1305490E"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 xml:space="preserve">Mapa de procesos </w:t>
                </w:r>
              </w:p>
            </w:tc>
            <w:tc>
              <w:tcPr>
                <w:tcW w:w="6803" w:type="dxa"/>
                <w:tcBorders>
                  <w:left w:val="single" w:color="FFFFFF" w:themeColor="background1" w:sz="4" w:space="0"/>
                </w:tcBorders>
                <w:vAlign w:val="center"/>
              </w:tcPr>
              <w:p w:rsidRPr="00381967" w:rsidR="005E3BD6" w:rsidP="00036C40" w:rsidRDefault="005E3BD6" w14:paraId="35BE649F" w14:textId="4239128A">
                <w:pPr>
                  <w:rPr>
                    <w:rFonts w:ascii="Nunito Sans" w:hAnsi="Nunito Sans" w:cs="Calibri"/>
                    <w:sz w:val="18"/>
                    <w:szCs w:val="18"/>
                  </w:rPr>
                </w:pPr>
                <w:r w:rsidRPr="00381967">
                  <w:rPr>
                    <w:rFonts w:ascii="Nunito Sans" w:hAnsi="Nunito Sans" w:cs="Calibri"/>
                    <w:sz w:val="18"/>
                    <w:szCs w:val="18"/>
                  </w:rPr>
                  <w:fldChar w:fldCharType="begin"/>
                </w:r>
                <w:r w:rsidRPr="00381967">
                  <w:rPr>
                    <w:rFonts w:ascii="Nunito Sans" w:hAnsi="Nunito Sans" w:cs="Calibri"/>
                    <w:sz w:val="18"/>
                    <w:szCs w:val="18"/>
                  </w:rPr>
                  <w:instrText xml:space="preserve"> INCLUDEPICTURE "https://creg.gov.co/publicaciones/10234/procedimientos/info/creg/media/galeria1207.png" \* MERGEFORMATINET </w:instrText>
                </w:r>
                <w:r w:rsidRPr="00381967">
                  <w:rPr>
                    <w:rFonts w:ascii="Nunito Sans" w:hAnsi="Nunito Sans" w:cs="Calibri"/>
                    <w:sz w:val="18"/>
                    <w:szCs w:val="18"/>
                  </w:rPr>
                  <w:fldChar w:fldCharType="end"/>
                </w:r>
                <w:hyperlink w:history="1" r:id="rId58">
                  <w:r w:rsidR="00896653">
                    <w:rPr>
                      <w:rStyle w:val="Hipervnculo"/>
                      <w:rFonts w:ascii="Nunito Sans" w:hAnsi="Nunito Sans" w:cs="Calibri"/>
                      <w:color w:val="E1AF3B"/>
                      <w:sz w:val="18"/>
                      <w:szCs w:val="18"/>
                    </w:rPr>
                    <w:t>Mapa de procesos</w:t>
                  </w:r>
                </w:hyperlink>
              </w:p>
            </w:tc>
          </w:tr>
          <w:tr w:rsidRPr="00D74DAA" w:rsidR="005E3BD6" w:rsidTr="007D47D3" w14:paraId="1155477B"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381967" w:rsidR="005E3BD6" w:rsidP="00B4771C" w:rsidRDefault="005E3BD6" w14:paraId="488EF5F1" w14:textId="77777777">
                <w:pPr>
                  <w:pStyle w:val="Prrafodelista"/>
                  <w:rPr>
                    <w:rFonts w:ascii="Nunito Sans" w:hAnsi="Nunito Sans" w:cs="Calibri"/>
                    <w:b/>
                    <w:bCs/>
                    <w:color w:val="FFFFFF" w:themeColor="background1"/>
                    <w:sz w:val="18"/>
                    <w:szCs w:val="18"/>
                  </w:rPr>
                </w:pPr>
                <w:r w:rsidRPr="00381967">
                  <w:rPr>
                    <w:rFonts w:ascii="Nunito Sans" w:hAnsi="Nunito Sans" w:cs="Calibri"/>
                    <w:b/>
                    <w:bCs/>
                    <w:color w:val="FFFFFF" w:themeColor="background1"/>
                    <w:sz w:val="18"/>
                    <w:szCs w:val="18"/>
                  </w:rPr>
                  <w:t xml:space="preserve">Número Total de Tramites y Servicios </w:t>
                </w:r>
              </w:p>
            </w:tc>
            <w:tc>
              <w:tcPr>
                <w:tcW w:w="6803" w:type="dxa"/>
                <w:tcBorders>
                  <w:left w:val="single" w:color="FFFFFF" w:themeColor="background1" w:sz="4" w:space="0"/>
                </w:tcBorders>
                <w:vAlign w:val="center"/>
              </w:tcPr>
              <w:p w:rsidRPr="00381967" w:rsidR="005E3BD6" w:rsidP="00B4771C" w:rsidRDefault="005E3BD6" w14:paraId="2F7E0A13" w14:textId="77777777">
                <w:pPr>
                  <w:ind w:left="38" w:hanging="38"/>
                  <w:rPr>
                    <w:rFonts w:ascii="Nunito Sans" w:hAnsi="Nunito Sans" w:cs="Calibri"/>
                    <w:sz w:val="18"/>
                    <w:szCs w:val="18"/>
                  </w:rPr>
                </w:pPr>
                <w:r w:rsidRPr="00381967">
                  <w:rPr>
                    <w:rFonts w:ascii="Nunito Sans" w:hAnsi="Nunito Sans" w:cs="Calibri"/>
                    <w:sz w:val="18"/>
                    <w:szCs w:val="18"/>
                  </w:rPr>
                  <w:t>2</w:t>
                </w:r>
              </w:p>
            </w:tc>
          </w:tr>
        </w:tbl>
        <w:p w:rsidRPr="0038010D" w:rsidR="005E3BD6" w:rsidP="005E3BD6" w:rsidRDefault="005E3BD6" w14:paraId="5C06AE76"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075FD377" w14:textId="77777777">
          <w:pPr>
            <w:ind w:left="426"/>
            <w:jc w:val="both"/>
            <w:rPr>
              <w:rFonts w:ascii="Nunito Sans" w:hAnsi="Nunito Sans" w:cs="Calibri"/>
              <w:sz w:val="22"/>
              <w:szCs w:val="22"/>
            </w:rPr>
          </w:pPr>
        </w:p>
        <w:p w:rsidRPr="00C84DD1" w:rsidR="005E3BD6" w:rsidRDefault="005E3BD6" w14:paraId="0240339B" w14:textId="77777777">
          <w:pPr>
            <w:pStyle w:val="Ttulo3"/>
            <w:numPr>
              <w:ilvl w:val="2"/>
              <w:numId w:val="34"/>
            </w:numPr>
            <w:rPr>
              <w:i/>
              <w:lang w:eastAsia="en-US"/>
            </w:rPr>
          </w:pPr>
          <w:bookmarkStart w:name="_Toc234234446" w:id="35"/>
          <w:r w:rsidRPr="00C84DD1">
            <w:rPr>
              <w:lang w:eastAsia="en-US"/>
            </w:rPr>
            <w:t>Instituto de Planificación y Promoción de Soluciones Energéticas para las Zonas no Interconectadas (IPSE).</w:t>
          </w:r>
          <w:bookmarkEnd w:id="35"/>
        </w:p>
        <w:p w:rsidR="005E3BD6" w:rsidP="005E3BD6" w:rsidRDefault="005E3BD6" w14:paraId="74087DB3" w14:textId="77777777">
          <w:pPr>
            <w:pStyle w:val="Prrafodelista"/>
            <w:ind w:left="1276"/>
            <w:jc w:val="both"/>
            <w:rPr>
              <w:rFonts w:ascii="Nunito Sans" w:hAnsi="Nunito Sans" w:cs="Calibri"/>
              <w:sz w:val="22"/>
              <w:szCs w:val="22"/>
            </w:rPr>
          </w:pPr>
        </w:p>
        <w:p w:rsidRPr="004261B9" w:rsidR="005E3BD6" w:rsidP="005E3BD6" w:rsidRDefault="004261B9" w14:paraId="04CB254F" w14:textId="114F7FD3">
          <w:pPr>
            <w:ind w:left="360" w:hanging="360"/>
            <w:jc w:val="center"/>
            <w:rPr>
              <w:rFonts w:ascii="Nunito Sans" w:hAnsi="Nunito Sans" w:cs="Calibri"/>
              <w:b/>
              <w:bCs/>
              <w:sz w:val="18"/>
              <w:szCs w:val="18"/>
            </w:rPr>
          </w:pPr>
          <w:bookmarkStart w:name="_Toc220664179" w:id="36"/>
          <w:r w:rsidRPr="004261B9">
            <w:rPr>
              <w:rFonts w:ascii="Nunito Sans" w:hAnsi="Nunito Sans" w:cs="Calibri"/>
              <w:b/>
              <w:bCs/>
              <w:sz w:val="18"/>
              <w:szCs w:val="18"/>
            </w:rPr>
            <w:t xml:space="preserve">Tabla </w:t>
          </w:r>
          <w:r w:rsidRPr="004261B9">
            <w:rPr>
              <w:rFonts w:ascii="Nunito Sans" w:hAnsi="Nunito Sans" w:cs="Calibri"/>
              <w:b/>
              <w:bCs/>
              <w:sz w:val="18"/>
              <w:szCs w:val="18"/>
            </w:rPr>
            <w:fldChar w:fldCharType="begin"/>
          </w:r>
          <w:r w:rsidRPr="004261B9">
            <w:rPr>
              <w:rFonts w:ascii="Nunito Sans" w:hAnsi="Nunito Sans" w:cs="Calibri"/>
              <w:b/>
              <w:bCs/>
              <w:sz w:val="18"/>
              <w:szCs w:val="18"/>
            </w:rPr>
            <w:instrText xml:space="preserve"> SEQ Tabla \* ARABIC </w:instrText>
          </w:r>
          <w:r w:rsidRPr="004261B9">
            <w:rPr>
              <w:rFonts w:ascii="Nunito Sans" w:hAnsi="Nunito Sans" w:cs="Calibri"/>
              <w:b/>
              <w:bCs/>
              <w:sz w:val="18"/>
              <w:szCs w:val="18"/>
            </w:rPr>
            <w:fldChar w:fldCharType="separate"/>
          </w:r>
          <w:r w:rsidR="00C57F7B">
            <w:rPr>
              <w:rFonts w:ascii="Nunito Sans" w:hAnsi="Nunito Sans" w:cs="Calibri"/>
              <w:b/>
              <w:bCs/>
              <w:noProof/>
              <w:sz w:val="18"/>
              <w:szCs w:val="18"/>
            </w:rPr>
            <w:t>8</w:t>
          </w:r>
          <w:r w:rsidRPr="004261B9">
            <w:rPr>
              <w:rFonts w:ascii="Nunito Sans" w:hAnsi="Nunito Sans" w:cs="Calibri"/>
              <w:b/>
              <w:bCs/>
              <w:sz w:val="18"/>
              <w:szCs w:val="18"/>
            </w:rPr>
            <w:fldChar w:fldCharType="end"/>
          </w:r>
          <w:r w:rsidRPr="004261B9"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del IPSE</w:t>
          </w:r>
          <w:bookmarkEnd w:id="36"/>
        </w:p>
        <w:tbl>
          <w:tblPr>
            <w:tblStyle w:val="Tablaconcuadrcula"/>
            <w:tblW w:w="0" w:type="auto"/>
            <w:tblInd w:w="421"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4"/>
            <w:gridCol w:w="6803"/>
          </w:tblGrid>
          <w:tr w:rsidRPr="00D74DAA" w:rsidR="005E3BD6" w:rsidTr="007D47D3" w14:paraId="6B0D9F24" w14:textId="77777777">
            <w:trPr>
              <w:trHeight w:val="533"/>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0062F3B0"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Decreto de Creación</w:t>
                </w:r>
              </w:p>
            </w:tc>
            <w:tc>
              <w:tcPr>
                <w:tcW w:w="6803" w:type="dxa"/>
                <w:tcBorders>
                  <w:left w:val="single" w:color="FFFFFF" w:themeColor="background1" w:sz="4" w:space="0"/>
                </w:tcBorders>
                <w:vAlign w:val="center"/>
              </w:tcPr>
              <w:p w:rsidRPr="00CE20D6" w:rsidR="005E3BD6" w:rsidP="00B4771C" w:rsidRDefault="005E3BD6" w14:paraId="6F2B4BF3" w14:textId="77777777">
                <w:pPr>
                  <w:pStyle w:val="Prrafodelista"/>
                  <w:jc w:val="both"/>
                  <w:rPr>
                    <w:rFonts w:ascii="Nunito Sans" w:hAnsi="Nunito Sans" w:cs="Calibri"/>
                    <w:b/>
                    <w:bCs/>
                    <w:color w:val="E1AF3B"/>
                    <w:sz w:val="18"/>
                    <w:szCs w:val="18"/>
                  </w:rPr>
                </w:pPr>
                <w:hyperlink w:history="1" r:id="rId59">
                  <w:r w:rsidRPr="00CE20D6">
                    <w:rPr>
                      <w:rStyle w:val="Hipervnculo"/>
                      <w:rFonts w:ascii="Nunito Sans" w:hAnsi="Nunito Sans" w:cs="Calibri" w:eastAsiaTheme="minorHAnsi"/>
                      <w:color w:val="E1AF3B"/>
                      <w:sz w:val="18"/>
                      <w:szCs w:val="18"/>
                      <w:lang w:val="es-ES" w:eastAsia="en-US"/>
                    </w:rPr>
                    <w:t>Decreto 1140 de 1999</w:t>
                  </w:r>
                </w:hyperlink>
              </w:p>
            </w:tc>
          </w:tr>
          <w:tr w:rsidRPr="00D74DAA" w:rsidR="005E3BD6" w:rsidTr="007D47D3" w14:paraId="6A301BCA" w14:textId="77777777">
            <w:trPr>
              <w:trHeight w:val="411"/>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049F05AB"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Página Web</w:t>
                </w:r>
              </w:p>
            </w:tc>
            <w:tc>
              <w:tcPr>
                <w:tcW w:w="6803" w:type="dxa"/>
                <w:tcBorders>
                  <w:left w:val="single" w:color="FFFFFF" w:themeColor="background1" w:sz="4" w:space="0"/>
                </w:tcBorders>
                <w:vAlign w:val="center"/>
              </w:tcPr>
              <w:p w:rsidRPr="00CE20D6" w:rsidR="005E3BD6" w:rsidP="00B4771C" w:rsidRDefault="005E3BD6" w14:paraId="63A91FA6" w14:textId="77777777">
                <w:pPr>
                  <w:pStyle w:val="Prrafodelista"/>
                  <w:jc w:val="both"/>
                  <w:rPr>
                    <w:rFonts w:ascii="Nunito Sans" w:hAnsi="Nunito Sans" w:cs="Calibri"/>
                    <w:color w:val="E1AF3B"/>
                    <w:sz w:val="18"/>
                    <w:szCs w:val="18"/>
                  </w:rPr>
                </w:pPr>
                <w:hyperlink w:history="1" r:id="rId60">
                  <w:r w:rsidRPr="00CE20D6">
                    <w:rPr>
                      <w:rStyle w:val="Hipervnculo"/>
                      <w:rFonts w:ascii="Nunito Sans" w:hAnsi="Nunito Sans" w:cs="Calibri"/>
                      <w:color w:val="E1AF3B"/>
                      <w:sz w:val="18"/>
                      <w:szCs w:val="18"/>
                    </w:rPr>
                    <w:t>https://ipse.gov.co/</w:t>
                  </w:r>
                </w:hyperlink>
              </w:p>
            </w:tc>
          </w:tr>
          <w:tr w:rsidRPr="00D74DAA" w:rsidR="005E3BD6" w:rsidTr="007D47D3" w14:paraId="0D4D3842" w14:textId="77777777">
            <w:trPr>
              <w:trHeight w:val="34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52A6F138"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Misión</w:t>
                </w:r>
              </w:p>
            </w:tc>
            <w:tc>
              <w:tcPr>
                <w:tcW w:w="6803" w:type="dxa"/>
                <w:tcBorders>
                  <w:left w:val="single" w:color="FFFFFF" w:themeColor="background1" w:sz="4" w:space="0"/>
                </w:tcBorders>
                <w:vAlign w:val="center"/>
              </w:tcPr>
              <w:p w:rsidRPr="00CE20D6" w:rsidR="005E3BD6" w:rsidP="00B4771C" w:rsidRDefault="005E3BD6" w14:paraId="6980CD34" w14:textId="77777777">
                <w:pPr>
                  <w:pStyle w:val="Prrafodelista"/>
                  <w:jc w:val="both"/>
                  <w:rPr>
                    <w:rFonts w:ascii="Nunito Sans" w:hAnsi="Nunito Sans" w:cs="Calibri" w:eastAsiaTheme="minorHAnsi"/>
                    <w:color w:val="000000" w:themeColor="text1"/>
                    <w:sz w:val="18"/>
                    <w:szCs w:val="18"/>
                    <w:lang w:val="es-ES" w:eastAsia="en-US"/>
                  </w:rPr>
                </w:pPr>
                <w:r w:rsidRPr="00CE20D6">
                  <w:rPr>
                    <w:rFonts w:ascii="Nunito Sans" w:hAnsi="Nunito Sans" w:cs="Calibri" w:eastAsiaTheme="minorHAnsi"/>
                    <w:color w:val="000000" w:themeColor="text1"/>
                    <w:sz w:val="18"/>
                    <w:szCs w:val="18"/>
                    <w:lang w:val="es-ES" w:eastAsia="en-US"/>
                  </w:rPr>
                  <w:t>Contribuye con soluciones energéticas eficientes en las zonas no interconectadas, implementando proyectos que garanticen un acceso confiable, seguro y sostenible, mejorando la calidad de vida de las comunidades.</w:t>
                </w:r>
              </w:p>
            </w:tc>
          </w:tr>
          <w:tr w:rsidRPr="00D74DAA" w:rsidR="005E3BD6" w:rsidTr="007D47D3" w14:paraId="2C90D009" w14:textId="77777777">
            <w:trPr>
              <w:trHeight w:val="1072"/>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6673F2D2"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Visión</w:t>
                </w:r>
              </w:p>
            </w:tc>
            <w:tc>
              <w:tcPr>
                <w:tcW w:w="6803" w:type="dxa"/>
                <w:tcBorders>
                  <w:left w:val="single" w:color="FFFFFF" w:themeColor="background1" w:sz="4" w:space="0"/>
                </w:tcBorders>
                <w:vAlign w:val="center"/>
              </w:tcPr>
              <w:p w:rsidRPr="00CE20D6" w:rsidR="005E3BD6" w:rsidP="00B4771C" w:rsidRDefault="005E3BD6" w14:paraId="093760FF" w14:textId="77777777">
                <w:pPr>
                  <w:pStyle w:val="Prrafodelista"/>
                  <w:jc w:val="both"/>
                  <w:rPr>
                    <w:rFonts w:ascii="Nunito Sans" w:hAnsi="Nunito Sans" w:cs="Calibri"/>
                    <w:b/>
                    <w:bCs/>
                    <w:color w:val="000000" w:themeColor="text1"/>
                    <w:sz w:val="18"/>
                    <w:szCs w:val="18"/>
                  </w:rPr>
                </w:pPr>
                <w:r w:rsidRPr="00CE20D6">
                  <w:rPr>
                    <w:rFonts w:ascii="Nunito Sans" w:hAnsi="Nunito Sans" w:cs="Calibri"/>
                    <w:color w:val="000000" w:themeColor="text1"/>
                    <w:sz w:val="18"/>
                    <w:szCs w:val="18"/>
                  </w:rPr>
                  <w:t>La entidad busca liderar la transformación del acceso a la energía en las zonas no interconectadas, contribuyendo con soluciones eficientes, seguras y sostenibles que reduzcan brechas energéticas y fortalezcan la calidad de vida de las comunidades.</w:t>
                </w:r>
              </w:p>
            </w:tc>
          </w:tr>
          <w:tr w:rsidRPr="00D74DAA" w:rsidR="005E3BD6" w:rsidTr="007D47D3" w14:paraId="495B962F" w14:textId="77777777">
            <w:trPr>
              <w:trHeight w:val="1603"/>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4A89A1FD"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lastRenderedPageBreak/>
                  <w:t xml:space="preserve">Objetivos </w:t>
                </w:r>
              </w:p>
            </w:tc>
            <w:tc>
              <w:tcPr>
                <w:tcW w:w="6803" w:type="dxa"/>
                <w:tcBorders>
                  <w:left w:val="single" w:color="FFFFFF" w:themeColor="background1" w:sz="4" w:space="0"/>
                </w:tcBorders>
                <w:vAlign w:val="center"/>
              </w:tcPr>
              <w:p w:rsidRPr="00CE20D6" w:rsidR="005E3BD6" w:rsidP="00B4771C" w:rsidRDefault="005E3BD6" w14:paraId="1D185402" w14:textId="77777777">
                <w:pPr>
                  <w:jc w:val="both"/>
                  <w:rPr>
                    <w:rFonts w:ascii="Nunito Sans" w:hAnsi="Nunito Sans" w:cs="Calibri"/>
                    <w:color w:val="000000" w:themeColor="text1"/>
                    <w:sz w:val="18"/>
                    <w:szCs w:val="18"/>
                  </w:rPr>
                </w:pPr>
                <w:r w:rsidRPr="00CE20D6">
                  <w:rPr>
                    <w:rFonts w:ascii="Nunito Sans" w:hAnsi="Nunito Sans" w:cs="Calibri" w:eastAsiaTheme="minorHAnsi"/>
                    <w:color w:val="000000" w:themeColor="text1"/>
                    <w:sz w:val="18"/>
                    <w:szCs w:val="18"/>
                    <w:lang w:val="es-ES" w:eastAsia="en-US"/>
                  </w:rPr>
                  <w:t>El Instituto de Planificación y Promoción de Soluciones Energéticas para las Zonas no Interconectadas, IPSE, tendrá por objeto identificar, promover, fomentar, desarrollar e implementar soluciones energéticas mediante esquemas empresariales eficientes, viables financieramente y sostenibles en el largo plazo, procurando la satisfacción de las necesidades energéticas de las Zonas no Interconectadas, ZNI, apoyando técnicamente a las entidades definidas por el Ministerio de Minas y Energía.</w:t>
                </w:r>
              </w:p>
            </w:tc>
          </w:tr>
          <w:tr w:rsidRPr="00D74DAA" w:rsidR="005E3BD6" w:rsidTr="007D47D3" w14:paraId="66C29E61" w14:textId="77777777">
            <w:trPr>
              <w:trHeight w:val="990"/>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6153187A"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Plan Estratégico Institucional</w:t>
                </w:r>
              </w:p>
            </w:tc>
            <w:tc>
              <w:tcPr>
                <w:tcW w:w="6803" w:type="dxa"/>
                <w:tcBorders>
                  <w:left w:val="single" w:color="FFFFFF" w:themeColor="background1" w:sz="4" w:space="0"/>
                </w:tcBorders>
                <w:vAlign w:val="center"/>
              </w:tcPr>
              <w:p w:rsidRPr="00CE20D6" w:rsidR="005E3BD6" w:rsidP="00B4771C" w:rsidRDefault="005E3BD6" w14:paraId="4BDEDE0E" w14:textId="77777777">
                <w:pPr>
                  <w:ind w:left="360" w:hanging="360"/>
                  <w:jc w:val="both"/>
                  <w:rPr>
                    <w:rFonts w:ascii="Nunito Sans" w:hAnsi="Nunito Sans" w:cs="Calibri"/>
                    <w:sz w:val="18"/>
                    <w:szCs w:val="18"/>
                  </w:rPr>
                </w:pPr>
                <w:r w:rsidRPr="00CE20D6">
                  <w:rPr>
                    <w:rFonts w:ascii="Nunito Sans" w:hAnsi="Nunito Sans" w:cs="Calibri"/>
                    <w:sz w:val="18"/>
                    <w:szCs w:val="18"/>
                  </w:rPr>
                  <w:t>Plan Estratégico Institucional IPSE</w:t>
                </w:r>
              </w:p>
              <w:p w:rsidRPr="00CE20D6" w:rsidR="005E3BD6" w:rsidP="00B4771C" w:rsidRDefault="005E3BD6" w14:paraId="3FF9A1D7" w14:textId="77777777">
                <w:pPr>
                  <w:ind w:left="360" w:hanging="360"/>
                  <w:jc w:val="both"/>
                  <w:rPr>
                    <w:rFonts w:ascii="Nunito Sans" w:hAnsi="Nunito Sans" w:cs="Calibri"/>
                    <w:sz w:val="18"/>
                    <w:szCs w:val="18"/>
                  </w:rPr>
                </w:pPr>
                <w:hyperlink w:history="1" r:id="rId61">
                  <w:r w:rsidRPr="00CE20D6">
                    <w:rPr>
                      <w:rStyle w:val="Hipervnculo"/>
                      <w:rFonts w:ascii="Nunito Sans" w:hAnsi="Nunito Sans" w:cs="Calibri"/>
                      <w:color w:val="E1AF3B"/>
                      <w:sz w:val="18"/>
                      <w:szCs w:val="18"/>
                    </w:rPr>
                    <w:t>Link del Plan Estratégico Institucional</w:t>
                  </w:r>
                </w:hyperlink>
                <w:r w:rsidRPr="00CE20D6">
                  <w:rPr>
                    <w:rFonts w:ascii="Nunito Sans" w:hAnsi="Nunito Sans" w:cs="Calibri"/>
                    <w:color w:val="E1AF3B"/>
                    <w:sz w:val="18"/>
                    <w:szCs w:val="18"/>
                  </w:rPr>
                  <w:t xml:space="preserve"> </w:t>
                </w:r>
              </w:p>
            </w:tc>
          </w:tr>
          <w:tr w:rsidRPr="00D74DAA" w:rsidR="005E3BD6" w:rsidTr="007D47D3" w14:paraId="295BAE48" w14:textId="77777777">
            <w:trPr>
              <w:trHeight w:val="64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5342D0F2"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 xml:space="preserve">Plan Estratégico de Tecnologías de la Información </w:t>
                </w:r>
              </w:p>
            </w:tc>
            <w:tc>
              <w:tcPr>
                <w:tcW w:w="6803" w:type="dxa"/>
                <w:tcBorders>
                  <w:left w:val="single" w:color="FFFFFF" w:themeColor="background1" w:sz="4" w:space="0"/>
                </w:tcBorders>
                <w:vAlign w:val="center"/>
              </w:tcPr>
              <w:p w:rsidRPr="00CE20D6" w:rsidR="005E3BD6" w:rsidP="00B4771C" w:rsidRDefault="005E3BD6" w14:paraId="4556A85C" w14:textId="77777777">
                <w:pPr>
                  <w:jc w:val="both"/>
                  <w:rPr>
                    <w:rFonts w:ascii="Nunito Sans" w:hAnsi="Nunito Sans" w:cs="Calibri"/>
                    <w:sz w:val="18"/>
                    <w:szCs w:val="18"/>
                  </w:rPr>
                </w:pPr>
                <w:r w:rsidRPr="00CE20D6">
                  <w:rPr>
                    <w:rFonts w:ascii="Nunito Sans" w:hAnsi="Nunito Sans" w:cs="Calibri"/>
                    <w:sz w:val="18"/>
                    <w:szCs w:val="18"/>
                  </w:rPr>
                  <w:t>Plan Estratégico de Tecnologías de la Información PETI 2024 – 2027</w:t>
                </w:r>
              </w:p>
              <w:p w:rsidRPr="00CE20D6" w:rsidR="005E3BD6" w:rsidP="00B4771C" w:rsidRDefault="005E3BD6" w14:paraId="2885A019" w14:textId="77777777">
                <w:pPr>
                  <w:jc w:val="both"/>
                  <w:rPr>
                    <w:rFonts w:ascii="Nunito Sans" w:hAnsi="Nunito Sans" w:cs="Calibri"/>
                    <w:sz w:val="18"/>
                    <w:szCs w:val="18"/>
                  </w:rPr>
                </w:pPr>
                <w:hyperlink w:history="1" r:id="rId62">
                  <w:r w:rsidRPr="00CE20D6">
                    <w:rPr>
                      <w:rStyle w:val="Hipervnculo"/>
                      <w:rFonts w:ascii="Nunito Sans" w:hAnsi="Nunito Sans" w:cs="Calibri"/>
                      <w:color w:val="E1AF3B"/>
                      <w:sz w:val="18"/>
                      <w:szCs w:val="18"/>
                    </w:rPr>
                    <w:t>Link del Plan Estratégico de Tecnologías de la Información</w:t>
                  </w:r>
                </w:hyperlink>
              </w:p>
            </w:tc>
          </w:tr>
          <w:tr w:rsidRPr="00D74DAA" w:rsidR="005E3BD6" w:rsidTr="007D47D3" w14:paraId="51E5C51F" w14:textId="77777777">
            <w:trPr>
              <w:trHeight w:val="112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3D39D9C5"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Plan de Seguridad y Privacidad de la información</w:t>
                </w:r>
              </w:p>
            </w:tc>
            <w:tc>
              <w:tcPr>
                <w:tcW w:w="6803" w:type="dxa"/>
                <w:tcBorders>
                  <w:left w:val="single" w:color="FFFFFF" w:themeColor="background1" w:sz="4" w:space="0"/>
                </w:tcBorders>
                <w:vAlign w:val="center"/>
              </w:tcPr>
              <w:p w:rsidRPr="00CE20D6" w:rsidR="005E3BD6" w:rsidP="00B4771C" w:rsidRDefault="005E3BD6" w14:paraId="6F643DB2" w14:textId="77777777">
                <w:pPr>
                  <w:ind w:left="360" w:hanging="360"/>
                  <w:jc w:val="both"/>
                  <w:rPr>
                    <w:rFonts w:ascii="Nunito Sans" w:hAnsi="Nunito Sans" w:cs="Calibri"/>
                    <w:sz w:val="18"/>
                    <w:szCs w:val="18"/>
                  </w:rPr>
                </w:pPr>
                <w:r w:rsidRPr="00CE20D6">
                  <w:rPr>
                    <w:rFonts w:ascii="Nunito Sans" w:hAnsi="Nunito Sans" w:cs="Calibri"/>
                    <w:sz w:val="18"/>
                    <w:szCs w:val="18"/>
                  </w:rPr>
                  <w:t>Plan de Seguridad y Privacidad de la Información 2025</w:t>
                </w:r>
              </w:p>
              <w:p w:rsidRPr="00CE20D6" w:rsidR="005E3BD6" w:rsidP="00B4771C" w:rsidRDefault="005E3BD6" w14:paraId="739FBB6A" w14:textId="77777777">
                <w:pPr>
                  <w:ind w:left="360" w:hanging="360"/>
                  <w:jc w:val="both"/>
                  <w:rPr>
                    <w:rFonts w:ascii="Nunito Sans" w:hAnsi="Nunito Sans" w:cs="Calibri"/>
                    <w:sz w:val="18"/>
                    <w:szCs w:val="18"/>
                  </w:rPr>
                </w:pPr>
                <w:hyperlink w:history="1" r:id="rId63">
                  <w:r w:rsidRPr="00CE20D6">
                    <w:rPr>
                      <w:rStyle w:val="Hipervnculo"/>
                      <w:rFonts w:ascii="Nunito Sans" w:hAnsi="Nunito Sans" w:cs="Calibri"/>
                      <w:color w:val="E1AF3B"/>
                      <w:sz w:val="18"/>
                      <w:szCs w:val="18"/>
                    </w:rPr>
                    <w:t xml:space="preserve">Link del Plan de Seguridad y Privacidad de la Información </w:t>
                  </w:r>
                </w:hyperlink>
              </w:p>
            </w:tc>
          </w:tr>
          <w:tr w:rsidRPr="00D74DAA" w:rsidR="005E3BD6" w:rsidTr="007D47D3" w14:paraId="3FD97850"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76C81A96"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Plan Tratamiento de Riesgos de Seguridad y Privacidad de la Información</w:t>
                </w:r>
              </w:p>
            </w:tc>
            <w:tc>
              <w:tcPr>
                <w:tcW w:w="6803" w:type="dxa"/>
                <w:tcBorders>
                  <w:left w:val="single" w:color="FFFFFF" w:themeColor="background1" w:sz="4" w:space="0"/>
                </w:tcBorders>
                <w:vAlign w:val="center"/>
              </w:tcPr>
              <w:p w:rsidRPr="00CE20D6" w:rsidR="005E3BD6" w:rsidP="00B4771C" w:rsidRDefault="005E3BD6" w14:paraId="75B0F502" w14:textId="77777777">
                <w:pPr>
                  <w:ind w:left="33"/>
                  <w:jc w:val="both"/>
                  <w:rPr>
                    <w:rFonts w:ascii="Nunito Sans" w:hAnsi="Nunito Sans" w:cs="Calibri"/>
                    <w:sz w:val="18"/>
                    <w:szCs w:val="18"/>
                  </w:rPr>
                </w:pPr>
                <w:r w:rsidRPr="00CE20D6">
                  <w:rPr>
                    <w:rFonts w:ascii="Nunito Sans" w:hAnsi="Nunito Sans" w:cs="Calibri"/>
                    <w:sz w:val="18"/>
                    <w:szCs w:val="18"/>
                  </w:rPr>
                  <w:t>Plan de Tratamiento de Riesgos de Seguridad y Privacidad de la Información 2025</w:t>
                </w:r>
              </w:p>
              <w:p w:rsidRPr="00CE20D6" w:rsidR="005E3BD6" w:rsidP="00B4771C" w:rsidRDefault="005E3BD6" w14:paraId="20B44C22" w14:textId="77777777">
                <w:pPr>
                  <w:ind w:left="33"/>
                  <w:jc w:val="both"/>
                  <w:rPr>
                    <w:rFonts w:ascii="Nunito Sans" w:hAnsi="Nunito Sans" w:cs="Calibri"/>
                    <w:sz w:val="18"/>
                    <w:szCs w:val="18"/>
                  </w:rPr>
                </w:pPr>
                <w:hyperlink w:history="1" r:id="rId64">
                  <w:r w:rsidRPr="00CE20D6">
                    <w:rPr>
                      <w:rStyle w:val="Hipervnculo"/>
                      <w:rFonts w:ascii="Nunito Sans" w:hAnsi="Nunito Sans" w:cs="Calibri"/>
                      <w:color w:val="E1AF3B"/>
                      <w:sz w:val="18"/>
                      <w:szCs w:val="18"/>
                    </w:rPr>
                    <w:t>Link del Plan de Tratamiento de Riesgos de Seguridad y Privacidad de la Información</w:t>
                  </w:r>
                </w:hyperlink>
              </w:p>
            </w:tc>
          </w:tr>
          <w:tr w:rsidRPr="00D74DAA" w:rsidR="005E3BD6" w:rsidTr="007D47D3" w14:paraId="305173F5"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14E9653D"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 xml:space="preserve">Mapa de procesos </w:t>
                </w:r>
              </w:p>
            </w:tc>
            <w:tc>
              <w:tcPr>
                <w:tcW w:w="6803" w:type="dxa"/>
                <w:tcBorders>
                  <w:left w:val="single" w:color="FFFFFF" w:themeColor="background1" w:sz="4" w:space="0"/>
                </w:tcBorders>
                <w:vAlign w:val="center"/>
              </w:tcPr>
              <w:p w:rsidRPr="00CE20D6" w:rsidR="005E3BD6" w:rsidP="00B4771C" w:rsidRDefault="005E3BD6" w14:paraId="58DD9646" w14:textId="77777777">
                <w:pPr>
                  <w:ind w:left="360" w:hanging="360"/>
                  <w:jc w:val="both"/>
                  <w:rPr>
                    <w:rFonts w:ascii="Nunito Sans" w:hAnsi="Nunito Sans" w:cs="Calibri"/>
                    <w:sz w:val="18"/>
                    <w:szCs w:val="18"/>
                  </w:rPr>
                </w:pPr>
              </w:p>
              <w:p w:rsidRPr="00CE20D6" w:rsidR="005E3BD6" w:rsidP="00B4771C" w:rsidRDefault="005E3BD6" w14:paraId="47DACF59" w14:textId="77777777">
                <w:pPr>
                  <w:ind w:left="360" w:hanging="360"/>
                  <w:jc w:val="both"/>
                  <w:rPr>
                    <w:rFonts w:ascii="Nunito Sans" w:hAnsi="Nunito Sans" w:cs="Calibri"/>
                    <w:sz w:val="18"/>
                    <w:szCs w:val="18"/>
                  </w:rPr>
                </w:pPr>
                <w:r w:rsidRPr="00CE20D6">
                  <w:rPr>
                    <w:rFonts w:ascii="Nunito Sans" w:hAnsi="Nunito Sans" w:cs="Calibri"/>
                    <w:sz w:val="18"/>
                    <w:szCs w:val="18"/>
                  </w:rPr>
                  <w:fldChar w:fldCharType="begin"/>
                </w:r>
                <w:r w:rsidRPr="00CE20D6">
                  <w:rPr>
                    <w:rFonts w:ascii="Nunito Sans" w:hAnsi="Nunito Sans" w:cs="Calibri"/>
                    <w:sz w:val="18"/>
                    <w:szCs w:val="18"/>
                  </w:rPr>
                  <w:instrText xml:space="preserve"> INCLUDEPICTURE "https://ipse.gov.co/documento_planeacion/img/DIAGRAMA-MAPA-PROCESOS_IPSE-2023.png" \* MERGEFORMATINET </w:instrText>
                </w:r>
                <w:r w:rsidRPr="00CE20D6">
                  <w:rPr>
                    <w:rFonts w:ascii="Nunito Sans" w:hAnsi="Nunito Sans" w:cs="Calibri"/>
                    <w:sz w:val="18"/>
                    <w:szCs w:val="18"/>
                  </w:rPr>
                  <w:fldChar w:fldCharType="end"/>
                </w:r>
                <w:hyperlink w:history="1" r:id="rId65">
                  <w:r w:rsidRPr="00CE20D6">
                    <w:rPr>
                      <w:rStyle w:val="Hipervnculo"/>
                      <w:rFonts w:ascii="Nunito Sans" w:hAnsi="Nunito Sans" w:cs="Calibri"/>
                      <w:color w:val="E1AF3B"/>
                      <w:sz w:val="18"/>
                      <w:szCs w:val="18"/>
                    </w:rPr>
                    <w:t>Link de Mapa de Procesos</w:t>
                  </w:r>
                </w:hyperlink>
              </w:p>
            </w:tc>
          </w:tr>
          <w:tr w:rsidRPr="00D74DAA" w:rsidR="005E3BD6" w:rsidTr="007D47D3" w14:paraId="0D48B8E2"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74DAA" w:rsidR="005E3BD6" w:rsidP="00D83606" w:rsidRDefault="005E3BD6" w14:paraId="3FDA43B0" w14:textId="77777777">
                <w:pPr>
                  <w:pStyle w:val="Prrafodelista"/>
                  <w:rPr>
                    <w:rFonts w:ascii="Nunito Sans" w:hAnsi="Nunito Sans" w:cs="Calibri"/>
                    <w:b/>
                    <w:bCs/>
                    <w:color w:val="FFFFFF" w:themeColor="background1"/>
                    <w:sz w:val="18"/>
                    <w:szCs w:val="18"/>
                  </w:rPr>
                </w:pPr>
                <w:r w:rsidRPr="00D74DAA">
                  <w:rPr>
                    <w:rFonts w:ascii="Nunito Sans" w:hAnsi="Nunito Sans" w:cs="Calibri"/>
                    <w:b/>
                    <w:bCs/>
                    <w:color w:val="FFFFFF" w:themeColor="background1"/>
                    <w:sz w:val="18"/>
                    <w:szCs w:val="18"/>
                  </w:rPr>
                  <w:t xml:space="preserve">Número Total de Tramites y Servicios </w:t>
                </w:r>
              </w:p>
            </w:tc>
            <w:tc>
              <w:tcPr>
                <w:tcW w:w="6803" w:type="dxa"/>
                <w:tcBorders>
                  <w:left w:val="single" w:color="FFFFFF" w:themeColor="background1" w:sz="4" w:space="0"/>
                </w:tcBorders>
                <w:vAlign w:val="center"/>
              </w:tcPr>
              <w:p w:rsidRPr="00CE20D6" w:rsidR="005E3BD6" w:rsidP="00B4771C" w:rsidRDefault="005E3BD6" w14:paraId="33638DEE" w14:textId="77777777">
                <w:pPr>
                  <w:ind w:left="38" w:hanging="38"/>
                  <w:jc w:val="both"/>
                  <w:rPr>
                    <w:rFonts w:ascii="Nunito Sans" w:hAnsi="Nunito Sans" w:cs="Calibri"/>
                    <w:sz w:val="18"/>
                    <w:szCs w:val="18"/>
                  </w:rPr>
                </w:pPr>
                <w:r w:rsidRPr="00CE20D6">
                  <w:rPr>
                    <w:rFonts w:ascii="Nunito Sans" w:hAnsi="Nunito Sans" w:cs="Calibri"/>
                    <w:sz w:val="18"/>
                    <w:szCs w:val="18"/>
                  </w:rPr>
                  <w:t>1</w:t>
                </w:r>
              </w:p>
            </w:tc>
          </w:tr>
        </w:tbl>
        <w:p w:rsidRPr="0038010D" w:rsidR="005E3BD6" w:rsidP="005E3BD6" w:rsidRDefault="005E3BD6" w14:paraId="3DEF32CA"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1C7C55D0" w14:textId="77777777">
          <w:pPr>
            <w:pStyle w:val="Prrafodelista"/>
            <w:ind w:left="851"/>
            <w:jc w:val="both"/>
            <w:rPr>
              <w:rFonts w:ascii="Nunito Sans" w:hAnsi="Nunito Sans" w:cs="Calibri"/>
              <w:b/>
              <w:bCs/>
              <w:color w:val="E1AF3B"/>
              <w:sz w:val="22"/>
              <w:szCs w:val="22"/>
            </w:rPr>
          </w:pPr>
        </w:p>
        <w:p w:rsidRPr="009A56E8" w:rsidR="005E3BD6" w:rsidRDefault="005E3BD6" w14:paraId="68F4CBA6" w14:textId="388228EC">
          <w:pPr>
            <w:pStyle w:val="Ttulo3"/>
            <w:numPr>
              <w:ilvl w:val="2"/>
              <w:numId w:val="34"/>
            </w:numPr>
            <w:rPr>
              <w:i/>
              <w:lang w:eastAsia="en-US"/>
            </w:rPr>
          </w:pPr>
          <w:bookmarkStart w:name="_Toc234234447" w:id="37"/>
          <w:r w:rsidRPr="009A56E8">
            <w:rPr>
              <w:lang w:eastAsia="en-US"/>
            </w:rPr>
            <w:t>Servicio Geológico Colombiano.</w:t>
          </w:r>
          <w:r w:rsidR="00250F59">
            <w:rPr>
              <w:lang w:eastAsia="en-US"/>
            </w:rPr>
            <w:t xml:space="preserve"> (SGC)</w:t>
          </w:r>
          <w:bookmarkEnd w:id="37"/>
        </w:p>
        <w:p w:rsidR="005E3BD6" w:rsidP="005E3BD6" w:rsidRDefault="005E3BD6" w14:paraId="12359D43" w14:textId="77777777">
          <w:pPr>
            <w:pStyle w:val="Prrafodelista"/>
            <w:ind w:left="1276"/>
            <w:jc w:val="both"/>
            <w:rPr>
              <w:rFonts w:ascii="Nunito Sans" w:hAnsi="Nunito Sans" w:cs="Calibri"/>
              <w:sz w:val="22"/>
              <w:szCs w:val="22"/>
            </w:rPr>
          </w:pPr>
        </w:p>
        <w:p w:rsidRPr="008B176D" w:rsidR="005E3BD6" w:rsidP="005E3BD6" w:rsidRDefault="004261B9" w14:paraId="2DDED3C8" w14:textId="030B68DD">
          <w:pPr>
            <w:ind w:left="360" w:hanging="360"/>
            <w:jc w:val="center"/>
            <w:rPr>
              <w:rFonts w:ascii="Nunito Sans" w:hAnsi="Nunito Sans" w:cs="Calibri"/>
              <w:b/>
              <w:bCs/>
              <w:sz w:val="18"/>
              <w:szCs w:val="18"/>
            </w:rPr>
          </w:pPr>
          <w:bookmarkStart w:name="_Toc220664180" w:id="38"/>
          <w:r w:rsidRPr="004261B9">
            <w:rPr>
              <w:rFonts w:ascii="Nunito Sans" w:hAnsi="Nunito Sans" w:cs="Calibri"/>
              <w:b/>
              <w:bCs/>
              <w:sz w:val="18"/>
              <w:szCs w:val="18"/>
            </w:rPr>
            <w:t xml:space="preserve">Tabla </w:t>
          </w:r>
          <w:r w:rsidRPr="004261B9">
            <w:rPr>
              <w:rFonts w:ascii="Nunito Sans" w:hAnsi="Nunito Sans" w:cs="Calibri"/>
              <w:b/>
              <w:bCs/>
              <w:sz w:val="18"/>
              <w:szCs w:val="18"/>
            </w:rPr>
            <w:fldChar w:fldCharType="begin"/>
          </w:r>
          <w:r w:rsidRPr="004261B9">
            <w:rPr>
              <w:rFonts w:ascii="Nunito Sans" w:hAnsi="Nunito Sans" w:cs="Calibri"/>
              <w:b/>
              <w:bCs/>
              <w:sz w:val="18"/>
              <w:szCs w:val="18"/>
            </w:rPr>
            <w:instrText xml:space="preserve"> SEQ Tabla \* ARABIC </w:instrText>
          </w:r>
          <w:r w:rsidRPr="004261B9">
            <w:rPr>
              <w:rFonts w:ascii="Nunito Sans" w:hAnsi="Nunito Sans" w:cs="Calibri"/>
              <w:b/>
              <w:bCs/>
              <w:sz w:val="18"/>
              <w:szCs w:val="18"/>
            </w:rPr>
            <w:fldChar w:fldCharType="separate"/>
          </w:r>
          <w:r w:rsidR="00C57F7B">
            <w:rPr>
              <w:rFonts w:ascii="Nunito Sans" w:hAnsi="Nunito Sans" w:cs="Calibri"/>
              <w:b/>
              <w:bCs/>
              <w:noProof/>
              <w:sz w:val="18"/>
              <w:szCs w:val="18"/>
            </w:rPr>
            <w:t>9</w:t>
          </w:r>
          <w:r w:rsidRPr="004261B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27B1E" w:rsidR="005E3BD6">
            <w:rPr>
              <w:rFonts w:ascii="Nunito Sans" w:hAnsi="Nunito Sans" w:cs="Calibri"/>
              <w:b/>
              <w:bCs/>
              <w:sz w:val="18"/>
              <w:szCs w:val="18"/>
            </w:rPr>
            <w:t>Instrumentos de Planeación</w:t>
          </w:r>
          <w:r w:rsidR="005E3BD6">
            <w:rPr>
              <w:rFonts w:ascii="Nunito Sans" w:hAnsi="Nunito Sans" w:cs="Calibri"/>
              <w:b/>
              <w:bCs/>
              <w:sz w:val="18"/>
              <w:szCs w:val="18"/>
            </w:rPr>
            <w:t xml:space="preserve"> del SGC</w:t>
          </w:r>
          <w:bookmarkEnd w:id="38"/>
        </w:p>
        <w:tbl>
          <w:tblPr>
            <w:tblStyle w:val="Tablaconcuadrcula"/>
            <w:tblW w:w="0" w:type="auto"/>
            <w:tblInd w:w="421"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4"/>
            <w:gridCol w:w="6804"/>
          </w:tblGrid>
          <w:tr w:rsidRPr="00D74DAA" w:rsidR="005E3BD6" w:rsidTr="007D47D3" w14:paraId="2BAF98C3" w14:textId="77777777">
            <w:trPr>
              <w:trHeight w:val="912"/>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7D47D3" w:rsidRDefault="005E3BD6" w14:paraId="586F5B39" w14:textId="77777777">
                <w:pPr>
                  <w:pStyle w:val="Prrafodelista"/>
                  <w:jc w:val="both"/>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Decreto de Creación</w:t>
                </w:r>
              </w:p>
            </w:tc>
            <w:tc>
              <w:tcPr>
                <w:tcW w:w="6804" w:type="dxa"/>
                <w:tcBorders>
                  <w:left w:val="single" w:color="FFFFFF" w:themeColor="background1" w:sz="4" w:space="0"/>
                </w:tcBorders>
                <w:vAlign w:val="center"/>
              </w:tcPr>
              <w:p w:rsidRPr="00CE20D6" w:rsidR="005E3BD6" w:rsidP="00B4771C" w:rsidRDefault="005E3BD6" w14:paraId="430B830E" w14:textId="77777777">
                <w:pPr>
                  <w:shd w:val="clear" w:color="auto" w:fill="FFFFFF" w:themeFill="background1"/>
                  <w:spacing w:before="100" w:beforeAutospacing="1"/>
                  <w:textAlignment w:val="baseline"/>
                  <w:rPr>
                    <w:rFonts w:ascii="Nunito Sans" w:hAnsi="Nunito Sans" w:cs="Calibri"/>
                    <w:color w:val="333333"/>
                    <w:sz w:val="18"/>
                    <w:szCs w:val="18"/>
                  </w:rPr>
                </w:pPr>
                <w:hyperlink w:history="1" r:id="rId66">
                  <w:r w:rsidRPr="00CE20D6">
                    <w:rPr>
                      <w:rStyle w:val="Hipervnculo"/>
                      <w:rFonts w:ascii="Nunito Sans" w:hAnsi="Nunito Sans" w:cs="Calibri"/>
                      <w:color w:val="E1AF3B"/>
                      <w:sz w:val="18"/>
                      <w:szCs w:val="18"/>
                    </w:rPr>
                    <w:t>Decreto</w:t>
                  </w:r>
                  <w:bookmarkStart w:name="LPHit3" w:id="39"/>
                  <w:bookmarkEnd w:id="39"/>
                  <w:r w:rsidRPr="00CE20D6">
                    <w:rPr>
                      <w:rStyle w:val="Hipervnculo"/>
                      <w:rFonts w:ascii="Nunito Sans" w:hAnsi="Nunito Sans" w:cs="Calibri"/>
                      <w:color w:val="E1AF3B"/>
                      <w:sz w:val="18"/>
                      <w:szCs w:val="18"/>
                    </w:rPr>
                    <w:t> 4131 de 2011</w:t>
                  </w:r>
                </w:hyperlink>
                <w:r w:rsidRPr="00CE20D6">
                  <w:rPr>
                    <w:rFonts w:ascii="Nunito Sans" w:hAnsi="Nunito Sans" w:cs="Calibri"/>
                    <w:color w:val="E1AF3B"/>
                    <w:sz w:val="18"/>
                    <w:szCs w:val="18"/>
                  </w:rPr>
                  <w:br/>
                </w:r>
                <w:hyperlink w:history="1" r:id="rId67">
                  <w:r w:rsidRPr="00CE20D6">
                    <w:rPr>
                      <w:rStyle w:val="Hipervnculo"/>
                      <w:rFonts w:ascii="Nunito Sans" w:hAnsi="Nunito Sans" w:cs="Calibri"/>
                      <w:color w:val="E1AF3B"/>
                      <w:sz w:val="18"/>
                      <w:szCs w:val="18"/>
                      <w:shd w:val="clear" w:color="auto" w:fill="FFFFFF"/>
                    </w:rPr>
                    <w:t>Decret</w:t>
                  </w:r>
                  <w:bookmarkStart w:name="LPHit2" w:id="40"/>
                  <w:bookmarkEnd w:id="40"/>
                  <w:r w:rsidRPr="00CE20D6">
                    <w:rPr>
                      <w:rStyle w:val="Hipervnculo"/>
                      <w:rFonts w:ascii="Nunito Sans" w:hAnsi="Nunito Sans" w:cs="Calibri"/>
                      <w:color w:val="E1AF3B"/>
                      <w:sz w:val="18"/>
                      <w:szCs w:val="18"/>
                      <w:shd w:val="clear" w:color="auto" w:fill="FFFFFF"/>
                    </w:rPr>
                    <w:t>o 2703 de 2013</w:t>
                  </w:r>
                </w:hyperlink>
              </w:p>
            </w:tc>
          </w:tr>
          <w:tr w:rsidRPr="00D74DAA" w:rsidR="005E3BD6" w:rsidTr="007D47D3" w14:paraId="2BB91D61" w14:textId="77777777">
            <w:trPr>
              <w:trHeight w:val="554"/>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0A84412B" w14:textId="77777777">
                <w:pPr>
                  <w:pStyle w:val="Prrafodelista"/>
                  <w:jc w:val="both"/>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Página Web</w:t>
                </w:r>
              </w:p>
            </w:tc>
            <w:tc>
              <w:tcPr>
                <w:tcW w:w="6804" w:type="dxa"/>
                <w:tcBorders>
                  <w:left w:val="single" w:color="FFFFFF" w:themeColor="background1" w:sz="4" w:space="0"/>
                </w:tcBorders>
                <w:vAlign w:val="center"/>
              </w:tcPr>
              <w:p w:rsidRPr="00CE20D6" w:rsidR="005E3BD6" w:rsidP="00B4771C" w:rsidRDefault="005E3BD6" w14:paraId="0EC4B74F" w14:textId="77777777">
                <w:pPr>
                  <w:pStyle w:val="Prrafodelista"/>
                  <w:rPr>
                    <w:rFonts w:ascii="Nunito Sans" w:hAnsi="Nunito Sans" w:cs="Calibri"/>
                    <w:sz w:val="18"/>
                    <w:szCs w:val="18"/>
                  </w:rPr>
                </w:pPr>
                <w:hyperlink w:history="1" r:id="rId68">
                  <w:r w:rsidRPr="00CE20D6">
                    <w:rPr>
                      <w:rStyle w:val="Hipervnculo"/>
                      <w:rFonts w:ascii="Nunito Sans" w:hAnsi="Nunito Sans" w:cs="Calibri"/>
                      <w:color w:val="E1AF3B"/>
                      <w:sz w:val="18"/>
                      <w:szCs w:val="18"/>
                    </w:rPr>
                    <w:t>https://www.sgc.gov.co/</w:t>
                  </w:r>
                </w:hyperlink>
              </w:p>
            </w:tc>
          </w:tr>
          <w:tr w:rsidRPr="00D74DAA" w:rsidR="005E3BD6" w:rsidTr="007D47D3" w14:paraId="4635AEF9" w14:textId="77777777">
            <w:trPr>
              <w:trHeight w:val="1198"/>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77A8D73F" w14:textId="77777777">
                <w:pPr>
                  <w:pStyle w:val="Prrafodelista"/>
                  <w:jc w:val="both"/>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Misión</w:t>
                </w:r>
              </w:p>
            </w:tc>
            <w:tc>
              <w:tcPr>
                <w:tcW w:w="6804" w:type="dxa"/>
                <w:tcBorders>
                  <w:left w:val="single" w:color="FFFFFF" w:themeColor="background1" w:sz="4" w:space="0"/>
                </w:tcBorders>
                <w:vAlign w:val="center"/>
              </w:tcPr>
              <w:p w:rsidRPr="00CE20D6" w:rsidR="005E3BD6" w:rsidP="00CE20D6" w:rsidRDefault="005E3BD6" w14:paraId="235670E4" w14:textId="77777777">
                <w:pPr>
                  <w:pStyle w:val="Prrafodelista"/>
                  <w:jc w:val="both"/>
                  <w:rPr>
                    <w:rFonts w:ascii="Nunito Sans" w:hAnsi="Nunito Sans" w:cs="Calibri" w:eastAsiaTheme="minorHAnsi"/>
                    <w:color w:val="000000" w:themeColor="text1"/>
                    <w:sz w:val="18"/>
                    <w:szCs w:val="18"/>
                    <w:lang w:val="es-ES" w:eastAsia="en-US"/>
                  </w:rPr>
                </w:pPr>
                <w:r w:rsidRPr="00CE20D6">
                  <w:rPr>
                    <w:rFonts w:ascii="Nunito Sans" w:hAnsi="Nunito Sans" w:cs="Calibri"/>
                    <w:color w:val="000000" w:themeColor="text1"/>
                    <w:sz w:val="18"/>
                    <w:szCs w:val="18"/>
                  </w:rPr>
                  <w:t>Genera y difunde conocimiento geocientífico y nuclear para el entendimiento del ciclo del agua, el cambio climático, las dinámicas geológicas, los recursos minerales y energéticos del subsuelo, y el patrimonio geológico y el paleontológico, con el fin de contribuir al bienestar y equilibrio eco y geosistémico del país.</w:t>
                </w:r>
              </w:p>
            </w:tc>
          </w:tr>
          <w:tr w:rsidRPr="00D74DAA" w:rsidR="005E3BD6" w:rsidTr="007D47D3" w14:paraId="1CA88B88" w14:textId="77777777">
            <w:trPr>
              <w:trHeight w:val="1066"/>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14865FA0" w14:textId="77777777">
                <w:pPr>
                  <w:pStyle w:val="Prrafodelista"/>
                  <w:jc w:val="both"/>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Visión</w:t>
                </w:r>
              </w:p>
            </w:tc>
            <w:tc>
              <w:tcPr>
                <w:tcW w:w="6804" w:type="dxa"/>
                <w:tcBorders>
                  <w:left w:val="single" w:color="FFFFFF" w:themeColor="background1" w:sz="4" w:space="0"/>
                </w:tcBorders>
                <w:vAlign w:val="center"/>
              </w:tcPr>
              <w:p w:rsidRPr="00CE20D6" w:rsidR="005E3BD6" w:rsidP="00CE20D6" w:rsidRDefault="005E3BD6" w14:paraId="020F3673" w14:textId="77777777">
                <w:pPr>
                  <w:pStyle w:val="Prrafodelista"/>
                  <w:jc w:val="both"/>
                  <w:rPr>
                    <w:rFonts w:ascii="Nunito Sans" w:hAnsi="Nunito Sans" w:cs="Calibri"/>
                    <w:b/>
                    <w:bCs/>
                    <w:color w:val="000000" w:themeColor="text1"/>
                    <w:sz w:val="18"/>
                    <w:szCs w:val="18"/>
                  </w:rPr>
                </w:pPr>
                <w:r w:rsidRPr="00CE20D6">
                  <w:rPr>
                    <w:rFonts w:ascii="Nunito Sans" w:hAnsi="Nunito Sans" w:cs="Calibri"/>
                    <w:color w:val="000000" w:themeColor="text1"/>
                    <w:sz w:val="18"/>
                    <w:szCs w:val="18"/>
                  </w:rPr>
                  <w:t>Para el año 2032, el Servicio Geológico Colombiano, será el centro de investigación referente en la generación y apropiación del conocimiento geocientífico y nuclear, así como en la identificación y elaboración de propuestas innovadoras que contribuyan al bienestar de la población.</w:t>
                </w:r>
              </w:p>
            </w:tc>
          </w:tr>
          <w:tr w:rsidRPr="00D74DAA" w:rsidR="005E3BD6" w:rsidTr="007D47D3" w14:paraId="43FD0981" w14:textId="77777777">
            <w:trPr>
              <w:trHeight w:val="112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08FDAB44" w14:textId="6B7E3AE9">
                <w:pPr>
                  <w:pStyle w:val="Prrafodelista"/>
                  <w:jc w:val="both"/>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lastRenderedPageBreak/>
                  <w:t>Objetivo</w:t>
                </w:r>
              </w:p>
            </w:tc>
            <w:tc>
              <w:tcPr>
                <w:tcW w:w="6804" w:type="dxa"/>
                <w:tcBorders>
                  <w:left w:val="single" w:color="FFFFFF" w:themeColor="background1" w:sz="4" w:space="0"/>
                </w:tcBorders>
                <w:vAlign w:val="center"/>
              </w:tcPr>
              <w:p w:rsidRPr="00CE20D6" w:rsidR="005E3BD6" w:rsidP="00CE20D6" w:rsidRDefault="005E3BD6" w14:paraId="06A0056E" w14:textId="77777777">
                <w:pPr>
                  <w:jc w:val="both"/>
                  <w:rPr>
                    <w:rFonts w:ascii="Nunito Sans" w:hAnsi="Nunito Sans" w:cs="Calibri"/>
                    <w:color w:val="000000" w:themeColor="text1"/>
                    <w:sz w:val="18"/>
                    <w:szCs w:val="18"/>
                  </w:rPr>
                </w:pPr>
                <w:r w:rsidRPr="00CE20D6">
                  <w:rPr>
                    <w:rFonts w:ascii="Nunito Sans" w:hAnsi="Nunito Sans" w:cs="Calibri"/>
                    <w:color w:val="000000" w:themeColor="text1"/>
                    <w:sz w:val="18"/>
                    <w:szCs w:val="18"/>
                  </w:rPr>
                  <w:t>Como consecuencia del cambio de naturaleza, el Servicio Geológico Colombiano tiene como objeto realizar la investigación científica básica y aplicada del potencial de recursos del subsuelo; adelantar el seguimiento y monitoreo de amenazas de origen geológico; administrar la información del subsuelo; garantizar la gestión segura de los materiales nucleares y radiactivos en el país; coordinar proyectos de investigación nuclear, con las limitaciones del artículo 81 de la Constitución Política, y el manejo y la utilización del reactor nuclear de la Nación.</w:t>
                </w:r>
              </w:p>
            </w:tc>
          </w:tr>
          <w:tr w:rsidRPr="00D74DAA" w:rsidR="005E3BD6" w:rsidTr="007D47D3" w14:paraId="1CA6E2EE"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635F2866" w14:textId="77777777">
                <w:pPr>
                  <w:pStyle w:val="Prrafodelista"/>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Plan Estratégico Institucional</w:t>
                </w:r>
              </w:p>
            </w:tc>
            <w:tc>
              <w:tcPr>
                <w:tcW w:w="6804" w:type="dxa"/>
                <w:tcBorders>
                  <w:left w:val="single" w:color="FFFFFF" w:themeColor="background1" w:sz="4" w:space="0"/>
                </w:tcBorders>
                <w:vAlign w:val="center"/>
              </w:tcPr>
              <w:p w:rsidRPr="00CE20D6" w:rsidR="005E3BD6" w:rsidP="00B4771C" w:rsidRDefault="005E3BD6" w14:paraId="549DB0E3" w14:textId="77777777">
                <w:pPr>
                  <w:ind w:left="33" w:hanging="33"/>
                  <w:rPr>
                    <w:rFonts w:ascii="Nunito Sans" w:hAnsi="Nunito Sans" w:cs="Calibri"/>
                    <w:sz w:val="18"/>
                    <w:szCs w:val="18"/>
                  </w:rPr>
                </w:pPr>
                <w:r w:rsidRPr="00CE20D6">
                  <w:rPr>
                    <w:rFonts w:ascii="Nunito Sans" w:hAnsi="Nunito Sans" w:cs="Calibri"/>
                    <w:sz w:val="18"/>
                    <w:szCs w:val="18"/>
                  </w:rPr>
                  <w:t>Plan Estratégico de Conocimiento Geocientífico y Nuclear 2023 - 2032</w:t>
                </w:r>
              </w:p>
              <w:p w:rsidRPr="00CE20D6" w:rsidR="005E3BD6" w:rsidP="00B4771C" w:rsidRDefault="005E3BD6" w14:paraId="4097DA84" w14:textId="77777777">
                <w:pPr>
                  <w:ind w:left="360" w:hanging="360"/>
                  <w:rPr>
                    <w:rFonts w:ascii="Nunito Sans" w:hAnsi="Nunito Sans" w:cs="Calibri"/>
                    <w:sz w:val="18"/>
                    <w:szCs w:val="18"/>
                  </w:rPr>
                </w:pPr>
                <w:hyperlink w:history="1" r:id="rId69">
                  <w:r w:rsidRPr="00CE20D6">
                    <w:rPr>
                      <w:rStyle w:val="Hipervnculo"/>
                      <w:rFonts w:ascii="Nunito Sans" w:hAnsi="Nunito Sans" w:cs="Calibri"/>
                      <w:color w:val="E1AF3B"/>
                      <w:sz w:val="18"/>
                      <w:szCs w:val="18"/>
                    </w:rPr>
                    <w:t>Link del Plan Estratégico Institucional</w:t>
                  </w:r>
                </w:hyperlink>
              </w:p>
            </w:tc>
          </w:tr>
          <w:tr w:rsidRPr="00D74DAA" w:rsidR="005E3BD6" w:rsidTr="007D47D3" w14:paraId="4587D51E" w14:textId="77777777">
            <w:trPr>
              <w:trHeight w:val="990"/>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495C8A4B" w14:textId="77777777">
                <w:pPr>
                  <w:pStyle w:val="Prrafodelista"/>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 xml:space="preserve">Plan Estratégico de Tecnologías de la Información </w:t>
                </w:r>
              </w:p>
            </w:tc>
            <w:tc>
              <w:tcPr>
                <w:tcW w:w="6804" w:type="dxa"/>
                <w:tcBorders>
                  <w:left w:val="single" w:color="FFFFFF" w:themeColor="background1" w:sz="4" w:space="0"/>
                </w:tcBorders>
                <w:vAlign w:val="center"/>
              </w:tcPr>
              <w:p w:rsidRPr="00CE20D6" w:rsidR="005E3BD6" w:rsidP="00B4771C" w:rsidRDefault="005E3BD6" w14:paraId="7E32442C" w14:textId="77777777">
                <w:pPr>
                  <w:rPr>
                    <w:rFonts w:ascii="Nunito Sans" w:hAnsi="Nunito Sans" w:cs="Calibri"/>
                    <w:sz w:val="18"/>
                    <w:szCs w:val="18"/>
                  </w:rPr>
                </w:pPr>
                <w:r w:rsidRPr="00CE20D6">
                  <w:rPr>
                    <w:rFonts w:ascii="Nunito Sans" w:hAnsi="Nunito Sans" w:cs="Calibri"/>
                    <w:sz w:val="18"/>
                    <w:szCs w:val="18"/>
                  </w:rPr>
                  <w:t xml:space="preserve">Plan Estratégico de Tecnologías de la Información 2023 - 2026 </w:t>
                </w:r>
              </w:p>
              <w:p w:rsidRPr="00CE20D6" w:rsidR="005E3BD6" w:rsidP="00B4771C" w:rsidRDefault="005E3BD6" w14:paraId="696E3F86" w14:textId="77777777">
                <w:pPr>
                  <w:rPr>
                    <w:rFonts w:ascii="Nunito Sans" w:hAnsi="Nunito Sans" w:cs="Calibri"/>
                    <w:sz w:val="18"/>
                    <w:szCs w:val="18"/>
                  </w:rPr>
                </w:pPr>
                <w:hyperlink w:history="1" r:id="rId70">
                  <w:r w:rsidRPr="00CE20D6">
                    <w:rPr>
                      <w:rStyle w:val="Hipervnculo"/>
                      <w:rFonts w:ascii="Nunito Sans" w:hAnsi="Nunito Sans" w:cs="Calibri"/>
                      <w:color w:val="E1AF3B"/>
                      <w:sz w:val="18"/>
                      <w:szCs w:val="18"/>
                    </w:rPr>
                    <w:t xml:space="preserve">Link del Plan Estratégico de Tecnologías de la Información </w:t>
                  </w:r>
                </w:hyperlink>
              </w:p>
            </w:tc>
          </w:tr>
          <w:tr w:rsidRPr="00D74DAA" w:rsidR="005E3BD6" w:rsidTr="007D47D3" w14:paraId="3A8924A5" w14:textId="77777777">
            <w:trPr>
              <w:trHeight w:val="1186"/>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0707A6C9" w14:textId="77777777">
                <w:pPr>
                  <w:pStyle w:val="Prrafodelista"/>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Plan de Seguridad y Privacidad de la información</w:t>
                </w:r>
              </w:p>
            </w:tc>
            <w:tc>
              <w:tcPr>
                <w:tcW w:w="6804" w:type="dxa"/>
                <w:tcBorders>
                  <w:left w:val="single" w:color="FFFFFF" w:themeColor="background1" w:sz="4" w:space="0"/>
                </w:tcBorders>
                <w:vAlign w:val="center"/>
              </w:tcPr>
              <w:p w:rsidRPr="00CE20D6" w:rsidR="005E3BD6" w:rsidP="00B4771C" w:rsidRDefault="005E3BD6" w14:paraId="4B961A0D" w14:textId="77777777">
                <w:pPr>
                  <w:ind w:left="360" w:hanging="360"/>
                  <w:rPr>
                    <w:rFonts w:ascii="Nunito Sans" w:hAnsi="Nunito Sans" w:cs="Calibri"/>
                    <w:sz w:val="18"/>
                    <w:szCs w:val="18"/>
                  </w:rPr>
                </w:pPr>
                <w:r w:rsidRPr="00CE20D6">
                  <w:rPr>
                    <w:rFonts w:ascii="Nunito Sans" w:hAnsi="Nunito Sans" w:cs="Calibri"/>
                    <w:sz w:val="18"/>
                    <w:szCs w:val="18"/>
                  </w:rPr>
                  <w:t>Plan de Seguridad y Privacidad de la</w:t>
                </w:r>
              </w:p>
              <w:p w:rsidRPr="00CE20D6" w:rsidR="005E3BD6" w:rsidP="00B4771C" w:rsidRDefault="005E3BD6" w14:paraId="587244EE" w14:textId="77777777">
                <w:pPr>
                  <w:ind w:left="360" w:hanging="360"/>
                  <w:rPr>
                    <w:rFonts w:ascii="Nunito Sans" w:hAnsi="Nunito Sans" w:cs="Calibri"/>
                    <w:sz w:val="18"/>
                    <w:szCs w:val="18"/>
                  </w:rPr>
                </w:pPr>
                <w:r w:rsidRPr="00CE20D6">
                  <w:rPr>
                    <w:rFonts w:ascii="Nunito Sans" w:hAnsi="Nunito Sans" w:cs="Calibri"/>
                    <w:sz w:val="18"/>
                    <w:szCs w:val="18"/>
                  </w:rPr>
                  <w:t>Información 2024</w:t>
                </w:r>
              </w:p>
              <w:p w:rsidRPr="00CE20D6" w:rsidR="005E3BD6" w:rsidP="00B4771C" w:rsidRDefault="005E3BD6" w14:paraId="32CB40FE" w14:textId="77777777">
                <w:pPr>
                  <w:ind w:left="360" w:hanging="360"/>
                  <w:rPr>
                    <w:rFonts w:ascii="Nunito Sans" w:hAnsi="Nunito Sans" w:cs="Calibri"/>
                    <w:sz w:val="18"/>
                    <w:szCs w:val="18"/>
                  </w:rPr>
                </w:pPr>
                <w:hyperlink w:history="1" r:id="rId71">
                  <w:r w:rsidRPr="00CE20D6">
                    <w:rPr>
                      <w:rStyle w:val="Hipervnculo"/>
                      <w:rFonts w:ascii="Nunito Sans" w:hAnsi="Nunito Sans" w:cs="Calibri"/>
                      <w:color w:val="E1AF3B"/>
                      <w:sz w:val="18"/>
                      <w:szCs w:val="18"/>
                    </w:rPr>
                    <w:t>Link de Plan de Seguridad y Privacidad de la información</w:t>
                  </w:r>
                </w:hyperlink>
              </w:p>
            </w:tc>
          </w:tr>
          <w:tr w:rsidRPr="00D74DAA" w:rsidR="005E3BD6" w:rsidTr="007D47D3" w14:paraId="4083F170" w14:textId="77777777">
            <w:trPr>
              <w:trHeight w:val="888"/>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E20D6" w:rsidR="005E3BD6" w:rsidP="00CE20D6" w:rsidRDefault="005E3BD6" w14:paraId="3A4F95A6" w14:textId="77777777">
                <w:pPr>
                  <w:pStyle w:val="Prrafodelista"/>
                  <w:rPr>
                    <w:rFonts w:ascii="Nunito Sans" w:hAnsi="Nunito Sans" w:cs="Calibri"/>
                    <w:b/>
                    <w:bCs/>
                    <w:color w:val="FFFFFF" w:themeColor="background1"/>
                    <w:sz w:val="18"/>
                    <w:szCs w:val="18"/>
                  </w:rPr>
                </w:pPr>
                <w:r w:rsidRPr="00CE20D6">
                  <w:rPr>
                    <w:rFonts w:ascii="Nunito Sans" w:hAnsi="Nunito Sans" w:cs="Calibri"/>
                    <w:b/>
                    <w:bCs/>
                    <w:color w:val="FFFFFF" w:themeColor="background1"/>
                    <w:sz w:val="18"/>
                    <w:szCs w:val="18"/>
                  </w:rPr>
                  <w:t>Plan Tratamiento de Riesgos de Seguridad y Privacidad de la Información</w:t>
                </w:r>
              </w:p>
            </w:tc>
            <w:tc>
              <w:tcPr>
                <w:tcW w:w="6804" w:type="dxa"/>
                <w:tcBorders>
                  <w:left w:val="single" w:color="FFFFFF" w:themeColor="background1" w:sz="4" w:space="0"/>
                </w:tcBorders>
                <w:vAlign w:val="center"/>
              </w:tcPr>
              <w:p w:rsidRPr="00CE20D6" w:rsidR="005E3BD6" w:rsidP="00B4771C" w:rsidRDefault="005E3BD6" w14:paraId="1A2CD4A1" w14:textId="77777777">
                <w:pPr>
                  <w:rPr>
                    <w:rFonts w:ascii="Nunito Sans" w:hAnsi="Nunito Sans" w:cs="Calibri"/>
                    <w:sz w:val="18"/>
                    <w:szCs w:val="18"/>
                  </w:rPr>
                </w:pPr>
                <w:r w:rsidRPr="00CE20D6">
                  <w:rPr>
                    <w:rFonts w:ascii="Nunito Sans" w:hAnsi="Nunito Sans" w:cs="Calibri"/>
                    <w:sz w:val="18"/>
                    <w:szCs w:val="18"/>
                  </w:rPr>
                  <w:t>Plan de Tratamiento de Riesgos de Seguridad y Privacidad de la Información 2025</w:t>
                </w:r>
              </w:p>
              <w:p w:rsidRPr="00CE20D6" w:rsidR="005E3BD6" w:rsidP="00B4771C" w:rsidRDefault="005E3BD6" w14:paraId="44E5D75D" w14:textId="77777777">
                <w:pPr>
                  <w:rPr>
                    <w:rFonts w:ascii="Nunito Sans" w:hAnsi="Nunito Sans" w:cs="Calibri"/>
                    <w:sz w:val="18"/>
                    <w:szCs w:val="18"/>
                  </w:rPr>
                </w:pPr>
                <w:hyperlink w:history="1" r:id="rId72">
                  <w:r w:rsidRPr="00CE20D6">
                    <w:rPr>
                      <w:rStyle w:val="Hipervnculo"/>
                      <w:rFonts w:ascii="Nunito Sans" w:hAnsi="Nunito Sans" w:cs="Calibri"/>
                      <w:color w:val="E1AF3B"/>
                      <w:sz w:val="18"/>
                      <w:szCs w:val="18"/>
                    </w:rPr>
                    <w:t>Link de Plan Tratamiento de Riesgos de Seguridad y Privacidad de la Información</w:t>
                  </w:r>
                </w:hyperlink>
              </w:p>
            </w:tc>
          </w:tr>
          <w:tr w:rsidRPr="002C6047" w:rsidR="005E3BD6" w:rsidTr="007D47D3" w14:paraId="2E6E316C" w14:textId="77777777">
            <w:trPr>
              <w:trHeight w:val="389"/>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CE20D6" w:rsidRDefault="005E3BD6" w14:paraId="20D229AF"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 xml:space="preserve">Mapa de procesos </w:t>
                </w:r>
              </w:p>
            </w:tc>
            <w:tc>
              <w:tcPr>
                <w:tcW w:w="6804" w:type="dxa"/>
                <w:tcBorders>
                  <w:left w:val="single" w:color="FFFFFF" w:themeColor="background1" w:sz="4" w:space="0"/>
                </w:tcBorders>
                <w:vAlign w:val="center"/>
              </w:tcPr>
              <w:p w:rsidRPr="002C6047" w:rsidR="005E3BD6" w:rsidP="00B4771C" w:rsidRDefault="005E3BD6" w14:paraId="3995E9CE" w14:textId="77777777">
                <w:pPr>
                  <w:ind w:left="360" w:hanging="360"/>
                  <w:rPr>
                    <w:rFonts w:ascii="Nunito Sans" w:hAnsi="Nunito Sans" w:cs="Calibri"/>
                    <w:sz w:val="18"/>
                    <w:szCs w:val="18"/>
                  </w:rPr>
                </w:pPr>
              </w:p>
              <w:p w:rsidRPr="002C6047" w:rsidR="005E3BD6" w:rsidP="002E6E5A" w:rsidRDefault="005E3BD6" w14:paraId="47374566" w14:textId="77777777">
                <w:pPr>
                  <w:rPr>
                    <w:rFonts w:ascii="Nunito Sans" w:hAnsi="Nunito Sans" w:cs="Calibri"/>
                    <w:sz w:val="18"/>
                    <w:szCs w:val="18"/>
                  </w:rPr>
                </w:pPr>
                <w:r w:rsidRPr="002C6047">
                  <w:rPr>
                    <w:rFonts w:ascii="Nunito Sans" w:hAnsi="Nunito Sans" w:cs="Calibri"/>
                    <w:sz w:val="18"/>
                    <w:szCs w:val="18"/>
                  </w:rPr>
                  <w:fldChar w:fldCharType="begin"/>
                </w:r>
                <w:r w:rsidRPr="002C6047">
                  <w:rPr>
                    <w:rFonts w:ascii="Nunito Sans" w:hAnsi="Nunito Sans" w:cs="Calibri"/>
                    <w:sz w:val="18"/>
                    <w:szCs w:val="18"/>
                  </w:rPr>
                  <w:instrText xml:space="preserve"> INCLUDEPICTURE "https://www2.sgc.gov.co/ControlYRendicion/TransparenciasYAccesoAlaInformacion/PublishingImages/Organigrama/mapa-procesos.jpg" \* MERGEFORMATINET </w:instrText>
                </w:r>
                <w:r w:rsidRPr="002C6047">
                  <w:rPr>
                    <w:rFonts w:ascii="Nunito Sans" w:hAnsi="Nunito Sans" w:cs="Calibri"/>
                    <w:sz w:val="18"/>
                    <w:szCs w:val="18"/>
                  </w:rPr>
                  <w:fldChar w:fldCharType="end"/>
                </w:r>
              </w:p>
            </w:tc>
          </w:tr>
          <w:tr w:rsidRPr="002C6047" w:rsidR="005E3BD6" w:rsidTr="007D47D3" w14:paraId="6BC7D061"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CE20D6" w:rsidRDefault="005E3BD6" w14:paraId="546ACE21"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 xml:space="preserve">Número Total de Tramites y Servicios </w:t>
                </w:r>
              </w:p>
            </w:tc>
            <w:tc>
              <w:tcPr>
                <w:tcW w:w="6804" w:type="dxa"/>
                <w:tcBorders>
                  <w:left w:val="single" w:color="FFFFFF" w:themeColor="background1" w:sz="4" w:space="0"/>
                </w:tcBorders>
                <w:vAlign w:val="center"/>
              </w:tcPr>
              <w:p w:rsidRPr="002C6047" w:rsidR="005E3BD6" w:rsidP="00B4771C" w:rsidRDefault="005E3BD6" w14:paraId="2072B649" w14:textId="77777777">
                <w:pPr>
                  <w:ind w:left="38" w:hanging="38"/>
                  <w:rPr>
                    <w:rFonts w:ascii="Nunito Sans" w:hAnsi="Nunito Sans" w:cs="Calibri"/>
                    <w:sz w:val="18"/>
                    <w:szCs w:val="18"/>
                  </w:rPr>
                </w:pPr>
                <w:r w:rsidRPr="002C6047">
                  <w:rPr>
                    <w:rFonts w:ascii="Nunito Sans" w:hAnsi="Nunito Sans" w:cs="Calibri"/>
                    <w:sz w:val="18"/>
                    <w:szCs w:val="18"/>
                  </w:rPr>
                  <w:t>17</w:t>
                </w:r>
              </w:p>
            </w:tc>
          </w:tr>
        </w:tbl>
        <w:p w:rsidRPr="002C6047" w:rsidR="005E3BD6" w:rsidP="005E3BD6" w:rsidRDefault="005E3BD6" w14:paraId="7BE7A7F0" w14:textId="77777777">
          <w:pPr>
            <w:pStyle w:val="Default"/>
            <w:spacing w:line="360" w:lineRule="auto"/>
            <w:jc w:val="center"/>
            <w:rPr>
              <w:rFonts w:ascii="Nunito Sans" w:hAnsi="Nunito Sans" w:cs="Calibri"/>
            </w:rPr>
          </w:pPr>
          <w:r w:rsidRPr="002C6047">
            <w:rPr>
              <w:rFonts w:ascii="Nunito Sans" w:hAnsi="Nunito Sans" w:eastAsia="CIDFont+F9" w:cs="Calibri"/>
              <w:color w:val="000000" w:themeColor="text1"/>
              <w:sz w:val="18"/>
              <w:szCs w:val="18"/>
            </w:rPr>
            <w:t>Fuente: Elaboración propia</w:t>
          </w:r>
        </w:p>
        <w:p w:rsidRPr="002C6047" w:rsidR="005E3BD6" w:rsidP="005E3BD6" w:rsidRDefault="005E3BD6" w14:paraId="01229D13" w14:textId="77777777">
          <w:pPr>
            <w:ind w:right="-138"/>
            <w:jc w:val="both"/>
            <w:rPr>
              <w:rFonts w:ascii="Nunito Sans" w:hAnsi="Nunito Sans" w:cs="Calibri"/>
              <w:sz w:val="22"/>
              <w:szCs w:val="22"/>
            </w:rPr>
          </w:pPr>
        </w:p>
        <w:p w:rsidRPr="002C6047" w:rsidR="005E3BD6" w:rsidRDefault="005E3BD6" w14:paraId="27F0912F" w14:textId="77777777">
          <w:pPr>
            <w:pStyle w:val="Ttulo3"/>
            <w:numPr>
              <w:ilvl w:val="2"/>
              <w:numId w:val="34"/>
            </w:numPr>
            <w:rPr>
              <w:i/>
              <w:lang w:eastAsia="en-US"/>
            </w:rPr>
          </w:pPr>
          <w:bookmarkStart w:name="_Toc234234448" w:id="41"/>
          <w:r w:rsidRPr="002C6047">
            <w:rPr>
              <w:lang w:eastAsia="en-US"/>
            </w:rPr>
            <w:t>Unidad de Planeación Minero-Energética (UPME).</w:t>
          </w:r>
          <w:bookmarkEnd w:id="41"/>
        </w:p>
        <w:p w:rsidRPr="002C6047" w:rsidR="005E3BD6" w:rsidP="005E3BD6" w:rsidRDefault="005E3BD6" w14:paraId="52FE8327" w14:textId="77777777">
          <w:pPr>
            <w:jc w:val="both"/>
            <w:rPr>
              <w:rFonts w:ascii="Nunito Sans" w:hAnsi="Nunito Sans" w:cs="Calibri"/>
              <w:b/>
              <w:bCs/>
              <w:color w:val="E1AF3B"/>
              <w:sz w:val="22"/>
              <w:szCs w:val="22"/>
            </w:rPr>
          </w:pPr>
        </w:p>
        <w:p w:rsidRPr="002C6047" w:rsidR="005E3BD6" w:rsidP="005E3BD6" w:rsidRDefault="00827F58" w14:paraId="08FA54A9" w14:textId="700507CD">
          <w:pPr>
            <w:ind w:left="360" w:hanging="360"/>
            <w:jc w:val="center"/>
            <w:rPr>
              <w:rFonts w:ascii="Nunito Sans" w:hAnsi="Nunito Sans" w:cs="Calibri"/>
              <w:b/>
              <w:bCs/>
              <w:sz w:val="18"/>
              <w:szCs w:val="18"/>
            </w:rPr>
          </w:pPr>
          <w:bookmarkStart w:name="_Toc220664181" w:id="42"/>
          <w:r w:rsidRPr="002C6047">
            <w:rPr>
              <w:rFonts w:ascii="Nunito Sans" w:hAnsi="Nunito Sans" w:cs="Calibri"/>
              <w:b/>
              <w:bCs/>
              <w:sz w:val="18"/>
              <w:szCs w:val="18"/>
            </w:rPr>
            <w:t xml:space="preserve">Tabla </w:t>
          </w:r>
          <w:r w:rsidRPr="002C6047">
            <w:rPr>
              <w:rFonts w:ascii="Nunito Sans" w:hAnsi="Nunito Sans" w:cs="Calibri"/>
              <w:b/>
              <w:bCs/>
              <w:sz w:val="18"/>
              <w:szCs w:val="18"/>
            </w:rPr>
            <w:fldChar w:fldCharType="begin"/>
          </w:r>
          <w:r w:rsidRPr="002C6047">
            <w:rPr>
              <w:rFonts w:ascii="Nunito Sans" w:hAnsi="Nunito Sans" w:cs="Calibri"/>
              <w:b/>
              <w:bCs/>
              <w:sz w:val="18"/>
              <w:szCs w:val="18"/>
            </w:rPr>
            <w:instrText xml:space="preserve"> SEQ Tabla \* ARABIC </w:instrText>
          </w:r>
          <w:r w:rsidRPr="002C6047">
            <w:rPr>
              <w:rFonts w:ascii="Nunito Sans" w:hAnsi="Nunito Sans" w:cs="Calibri"/>
              <w:b/>
              <w:bCs/>
              <w:sz w:val="18"/>
              <w:szCs w:val="18"/>
            </w:rPr>
            <w:fldChar w:fldCharType="separate"/>
          </w:r>
          <w:r w:rsidRPr="002C6047" w:rsidR="00C57F7B">
            <w:rPr>
              <w:rFonts w:ascii="Nunito Sans" w:hAnsi="Nunito Sans" w:cs="Calibri"/>
              <w:b/>
              <w:bCs/>
              <w:noProof/>
              <w:sz w:val="18"/>
              <w:szCs w:val="18"/>
            </w:rPr>
            <w:t>10</w:t>
          </w:r>
          <w:r w:rsidRPr="002C6047">
            <w:rPr>
              <w:rFonts w:ascii="Nunito Sans" w:hAnsi="Nunito Sans" w:cs="Calibri"/>
              <w:b/>
              <w:bCs/>
              <w:sz w:val="18"/>
              <w:szCs w:val="18"/>
            </w:rPr>
            <w:fldChar w:fldCharType="end"/>
          </w:r>
          <w:r w:rsidRPr="002C6047" w:rsidR="005E3BD6">
            <w:rPr>
              <w:rFonts w:ascii="Nunito Sans" w:hAnsi="Nunito Sans" w:cs="Calibri"/>
              <w:b/>
              <w:bCs/>
              <w:sz w:val="18"/>
              <w:szCs w:val="18"/>
            </w:rPr>
            <w:t>: Instrumentos de Planeación de la UPME</w:t>
          </w:r>
          <w:bookmarkEnd w:id="42"/>
        </w:p>
        <w:tbl>
          <w:tblPr>
            <w:tblStyle w:val="Tablaconcuadrcula"/>
            <w:tblW w:w="0" w:type="auto"/>
            <w:tblInd w:w="421"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4"/>
            <w:gridCol w:w="6803"/>
          </w:tblGrid>
          <w:tr w:rsidRPr="002C6047" w:rsidR="005E3BD6" w:rsidTr="007D47D3" w14:paraId="48BE251D" w14:textId="77777777">
            <w:trPr>
              <w:trHeight w:val="768"/>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068E9F54"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Decreto de Creación</w:t>
                </w:r>
              </w:p>
            </w:tc>
            <w:tc>
              <w:tcPr>
                <w:tcW w:w="6803" w:type="dxa"/>
                <w:tcBorders>
                  <w:left w:val="single" w:color="FFFFFF" w:themeColor="background1" w:sz="4" w:space="0"/>
                </w:tcBorders>
                <w:vAlign w:val="center"/>
              </w:tcPr>
              <w:p w:rsidRPr="002C6047" w:rsidR="005E3BD6" w:rsidP="00B4771C" w:rsidRDefault="005E3BD6" w14:paraId="28831B61" w14:textId="77777777">
                <w:pPr>
                  <w:shd w:val="clear" w:color="auto" w:fill="FFFFFF" w:themeFill="background1"/>
                  <w:spacing w:before="100" w:beforeAutospacing="1"/>
                  <w:textAlignment w:val="baseline"/>
                  <w:rPr>
                    <w:rFonts w:ascii="Nunito Sans" w:hAnsi="Nunito Sans" w:cs="Calibri"/>
                    <w:color w:val="E1AF3B"/>
                    <w:sz w:val="18"/>
                    <w:szCs w:val="18"/>
                  </w:rPr>
                </w:pPr>
                <w:hyperlink w:history="1" r:id="rId73">
                  <w:r w:rsidRPr="002C6047">
                    <w:rPr>
                      <w:rStyle w:val="Hipervnculo"/>
                      <w:rFonts w:ascii="Nunito Sans" w:hAnsi="Nunito Sans" w:cs="Calibri"/>
                      <w:color w:val="E1AF3B"/>
                      <w:sz w:val="18"/>
                      <w:szCs w:val="18"/>
                    </w:rPr>
                    <w:t>Decreto 1258 de 2013</w:t>
                  </w:r>
                </w:hyperlink>
                <w:r w:rsidRPr="002C6047">
                  <w:rPr>
                    <w:rFonts w:ascii="Nunito Sans" w:hAnsi="Nunito Sans" w:cs="Calibri"/>
                    <w:color w:val="E1AF3B"/>
                    <w:sz w:val="18"/>
                    <w:szCs w:val="18"/>
                  </w:rPr>
                  <w:br/>
                </w:r>
                <w:hyperlink w:history="1" w:anchor="0" r:id="rId74">
                  <w:r w:rsidRPr="002C6047">
                    <w:rPr>
                      <w:rStyle w:val="Hipervnculo"/>
                      <w:rFonts w:ascii="Nunito Sans" w:hAnsi="Nunito Sans" w:cs="Calibri"/>
                      <w:color w:val="E1AF3B"/>
                      <w:sz w:val="18"/>
                      <w:szCs w:val="18"/>
                      <w:shd w:val="clear" w:color="auto" w:fill="FFFFFF"/>
                    </w:rPr>
                    <w:t>Decreto 2121 de 2023</w:t>
                  </w:r>
                </w:hyperlink>
              </w:p>
            </w:tc>
          </w:tr>
          <w:tr w:rsidRPr="002C6047" w:rsidR="005E3BD6" w:rsidTr="007D47D3" w14:paraId="54EDA2E9" w14:textId="77777777">
            <w:trPr>
              <w:trHeight w:val="56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41A2B150"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Página Web</w:t>
                </w:r>
              </w:p>
            </w:tc>
            <w:tc>
              <w:tcPr>
                <w:tcW w:w="6803" w:type="dxa"/>
                <w:tcBorders>
                  <w:left w:val="single" w:color="FFFFFF" w:themeColor="background1" w:sz="4" w:space="0"/>
                </w:tcBorders>
                <w:vAlign w:val="center"/>
              </w:tcPr>
              <w:p w:rsidRPr="002C6047" w:rsidR="005E3BD6" w:rsidP="00B4771C" w:rsidRDefault="005E3BD6" w14:paraId="1979137F" w14:textId="77777777">
                <w:pPr>
                  <w:pStyle w:val="Prrafodelista"/>
                  <w:rPr>
                    <w:rFonts w:ascii="Nunito Sans" w:hAnsi="Nunito Sans" w:cs="Calibri"/>
                    <w:color w:val="E1AF3B"/>
                    <w:sz w:val="18"/>
                    <w:szCs w:val="18"/>
                  </w:rPr>
                </w:pPr>
                <w:hyperlink w:history="1" r:id="rId75">
                  <w:r w:rsidRPr="002C6047">
                    <w:rPr>
                      <w:rStyle w:val="Hipervnculo"/>
                      <w:rFonts w:ascii="Nunito Sans" w:hAnsi="Nunito Sans" w:cs="Calibri"/>
                      <w:color w:val="E1AF3B"/>
                      <w:sz w:val="18"/>
                      <w:szCs w:val="18"/>
                    </w:rPr>
                    <w:t>https://www.upme.gov.co/</w:t>
                  </w:r>
                </w:hyperlink>
              </w:p>
            </w:tc>
          </w:tr>
          <w:tr w:rsidRPr="002C6047" w:rsidR="005E3BD6" w:rsidTr="007D47D3" w14:paraId="1674517B" w14:textId="77777777">
            <w:trPr>
              <w:trHeight w:val="729"/>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3B8FB231"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Misión</w:t>
                </w:r>
              </w:p>
            </w:tc>
            <w:tc>
              <w:tcPr>
                <w:tcW w:w="6803" w:type="dxa"/>
                <w:tcBorders>
                  <w:left w:val="single" w:color="FFFFFF" w:themeColor="background1" w:sz="4" w:space="0"/>
                </w:tcBorders>
                <w:vAlign w:val="center"/>
              </w:tcPr>
              <w:p w:rsidRPr="002C6047" w:rsidR="005E3BD6" w:rsidP="00B4771C" w:rsidRDefault="005E3BD6" w14:paraId="12B3CAB6" w14:textId="77777777">
                <w:pPr>
                  <w:pStyle w:val="Prrafodelista"/>
                  <w:rPr>
                    <w:rFonts w:ascii="Nunito Sans" w:hAnsi="Nunito Sans" w:cs="Calibri" w:eastAsiaTheme="minorHAnsi"/>
                    <w:color w:val="000000" w:themeColor="text1"/>
                    <w:sz w:val="18"/>
                    <w:szCs w:val="18"/>
                    <w:lang w:val="es-ES" w:eastAsia="en-US"/>
                  </w:rPr>
                </w:pPr>
                <w:r w:rsidRPr="002C6047">
                  <w:rPr>
                    <w:rFonts w:ascii="Nunito Sans" w:hAnsi="Nunito Sans" w:cs="Calibri"/>
                    <w:color w:val="000000" w:themeColor="text1"/>
                    <w:sz w:val="18"/>
                    <w:szCs w:val="18"/>
                  </w:rPr>
                  <w:t>La UPME planea integralmente, con enfoque interseccional, el desarrollo minero energético del país y lidera la gestión de la información sectorial para la transición energética justa.</w:t>
                </w:r>
              </w:p>
            </w:tc>
          </w:tr>
          <w:tr w:rsidRPr="002C6047" w:rsidR="005E3BD6" w:rsidTr="007D47D3" w14:paraId="0F0B7A33" w14:textId="77777777">
            <w:trPr>
              <w:trHeight w:val="837"/>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0766995A"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Visión</w:t>
                </w:r>
              </w:p>
            </w:tc>
            <w:tc>
              <w:tcPr>
                <w:tcW w:w="6803" w:type="dxa"/>
                <w:tcBorders>
                  <w:left w:val="single" w:color="FFFFFF" w:themeColor="background1" w:sz="4" w:space="0"/>
                </w:tcBorders>
                <w:vAlign w:val="center"/>
              </w:tcPr>
              <w:p w:rsidRPr="002C6047" w:rsidR="005E3BD6" w:rsidP="00B4771C" w:rsidRDefault="005E3BD6" w14:paraId="0615D7FB" w14:textId="77777777">
                <w:pPr>
                  <w:pStyle w:val="Prrafodelista"/>
                  <w:rPr>
                    <w:rFonts w:ascii="Nunito Sans" w:hAnsi="Nunito Sans" w:cs="Calibri"/>
                    <w:b/>
                    <w:bCs/>
                    <w:color w:val="000000" w:themeColor="text1"/>
                    <w:sz w:val="18"/>
                    <w:szCs w:val="18"/>
                  </w:rPr>
                </w:pPr>
                <w:r w:rsidRPr="002C6047">
                  <w:rPr>
                    <w:rFonts w:ascii="Nunito Sans" w:hAnsi="Nunito Sans" w:cs="Calibri"/>
                    <w:color w:val="000000" w:themeColor="text1"/>
                    <w:sz w:val="18"/>
                    <w:szCs w:val="18"/>
                  </w:rPr>
                  <w:t>La UPME en el año 2035 será reconocida como el centro de pensamiento minero energético que incidirá en el desarrollo económico, social y ambiental del país, a través de una planeación integral construida con el territorio.</w:t>
                </w:r>
              </w:p>
            </w:tc>
          </w:tr>
          <w:tr w:rsidRPr="002C6047" w:rsidR="005E3BD6" w:rsidTr="007D47D3" w14:paraId="35A2253D" w14:textId="77777777">
            <w:trPr>
              <w:trHeight w:val="1112"/>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465BAAFA"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 xml:space="preserve">Objetivos </w:t>
                </w:r>
              </w:p>
            </w:tc>
            <w:tc>
              <w:tcPr>
                <w:tcW w:w="6803" w:type="dxa"/>
                <w:tcBorders>
                  <w:left w:val="single" w:color="FFFFFF" w:themeColor="background1" w:sz="4" w:space="0"/>
                </w:tcBorders>
                <w:vAlign w:val="center"/>
              </w:tcPr>
              <w:p w:rsidRPr="002C6047" w:rsidR="005E3BD6" w:rsidP="00B4771C" w:rsidRDefault="005E3BD6" w14:paraId="45BB185B" w14:textId="77777777">
                <w:pPr>
                  <w:rPr>
                    <w:rFonts w:ascii="Nunito Sans" w:hAnsi="Nunito Sans" w:cs="Calibri"/>
                    <w:color w:val="000000" w:themeColor="text1"/>
                    <w:sz w:val="18"/>
                    <w:szCs w:val="18"/>
                  </w:rPr>
                </w:pPr>
                <w:r w:rsidRPr="002C6047">
                  <w:rPr>
                    <w:rFonts w:ascii="Nunito Sans" w:hAnsi="Nunito Sans" w:cs="Calibri"/>
                    <w:color w:val="000000" w:themeColor="text1"/>
                    <w:sz w:val="18"/>
                    <w:szCs w:val="18"/>
                  </w:rPr>
                  <w:t xml:space="preserve">La Unidad de Planeación  Minero-Energética (UPME), tendrá por objeto planear en forma integral, indicativa, permanente y coordinada con los agentes del sector minero energético, el desarrollo y aprovechamiento de los recursos mineros y energéticos; producir y divulgar la información requerida para la formulación de </w:t>
                </w:r>
                <w:r w:rsidRPr="002C6047">
                  <w:rPr>
                    <w:rFonts w:ascii="Nunito Sans" w:hAnsi="Nunito Sans" w:cs="Calibri"/>
                    <w:color w:val="000000" w:themeColor="text1"/>
                    <w:sz w:val="18"/>
                    <w:szCs w:val="18"/>
                  </w:rPr>
                  <w:lastRenderedPageBreak/>
                  <w:t>política y toma de decisiones; y apoyar al Ministerio de Minas y Energía en el logro de sus objetivos y metas.</w:t>
                </w:r>
              </w:p>
            </w:tc>
          </w:tr>
          <w:tr w:rsidRPr="002C6047" w:rsidR="005E3BD6" w:rsidTr="007D47D3" w14:paraId="44DFD77D"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5FCE7D66"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lastRenderedPageBreak/>
                  <w:t>Plan Estratégico Institucional</w:t>
                </w:r>
              </w:p>
            </w:tc>
            <w:tc>
              <w:tcPr>
                <w:tcW w:w="6803" w:type="dxa"/>
                <w:tcBorders>
                  <w:left w:val="single" w:color="FFFFFF" w:themeColor="background1" w:sz="4" w:space="0"/>
                </w:tcBorders>
                <w:vAlign w:val="center"/>
              </w:tcPr>
              <w:p w:rsidRPr="002C6047" w:rsidR="005E3BD6" w:rsidP="00B4771C" w:rsidRDefault="005E3BD6" w14:paraId="0FADA97E" w14:textId="77777777">
                <w:pPr>
                  <w:ind w:left="360" w:hanging="360"/>
                  <w:rPr>
                    <w:rFonts w:ascii="Nunito Sans" w:hAnsi="Nunito Sans" w:cs="Calibri"/>
                    <w:sz w:val="18"/>
                    <w:szCs w:val="18"/>
                  </w:rPr>
                </w:pPr>
                <w:r w:rsidRPr="002C6047">
                  <w:rPr>
                    <w:rFonts w:ascii="Nunito Sans" w:hAnsi="Nunito Sans" w:cs="Calibri"/>
                    <w:sz w:val="18"/>
                    <w:szCs w:val="18"/>
                  </w:rPr>
                  <w:t>Plan Estratégico Institucional 2023 - 2026</w:t>
                </w:r>
              </w:p>
              <w:p w:rsidRPr="002C6047" w:rsidR="005E3BD6" w:rsidP="00B4771C" w:rsidRDefault="005E3BD6" w14:paraId="144C0EC8" w14:textId="77777777">
                <w:pPr>
                  <w:ind w:left="360" w:hanging="360"/>
                  <w:rPr>
                    <w:rFonts w:ascii="Nunito Sans" w:hAnsi="Nunito Sans" w:cs="Calibri"/>
                    <w:sz w:val="18"/>
                    <w:szCs w:val="18"/>
                  </w:rPr>
                </w:pPr>
                <w:hyperlink w:history="1" r:id="rId76">
                  <w:r w:rsidRPr="002C6047">
                    <w:rPr>
                      <w:rStyle w:val="Hipervnculo"/>
                      <w:rFonts w:ascii="Nunito Sans" w:hAnsi="Nunito Sans" w:cs="Calibri"/>
                      <w:color w:val="E1AF3B"/>
                      <w:sz w:val="18"/>
                      <w:szCs w:val="18"/>
                    </w:rPr>
                    <w:t>Link de Estratégico Institucional</w:t>
                  </w:r>
                </w:hyperlink>
              </w:p>
            </w:tc>
          </w:tr>
          <w:tr w:rsidRPr="002C6047" w:rsidR="005E3BD6" w:rsidTr="007D47D3" w14:paraId="486D3E9F"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5A5A9F2A"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 xml:space="preserve">Plan Estratégico de Tecnologías de la Información </w:t>
                </w:r>
              </w:p>
            </w:tc>
            <w:tc>
              <w:tcPr>
                <w:tcW w:w="6803" w:type="dxa"/>
                <w:tcBorders>
                  <w:left w:val="single" w:color="FFFFFF" w:themeColor="background1" w:sz="4" w:space="0"/>
                </w:tcBorders>
                <w:vAlign w:val="center"/>
              </w:tcPr>
              <w:p w:rsidRPr="002C6047" w:rsidR="005E3BD6" w:rsidP="00B4771C" w:rsidRDefault="005E3BD6" w14:paraId="6198F668" w14:textId="77777777">
                <w:pPr>
                  <w:rPr>
                    <w:rFonts w:ascii="Nunito Sans" w:hAnsi="Nunito Sans" w:cs="Calibri"/>
                    <w:sz w:val="18"/>
                    <w:szCs w:val="18"/>
                  </w:rPr>
                </w:pPr>
                <w:r w:rsidRPr="002C6047">
                  <w:rPr>
                    <w:rFonts w:ascii="Nunito Sans" w:hAnsi="Nunito Sans" w:cs="Calibri"/>
                    <w:sz w:val="18"/>
                    <w:szCs w:val="18"/>
                  </w:rPr>
                  <w:t xml:space="preserve">Plan Estratégico de Tecnologías De La Información 2025 - 2026 </w:t>
                </w:r>
              </w:p>
              <w:p w:rsidRPr="002C6047" w:rsidR="005E3BD6" w:rsidP="00B4771C" w:rsidRDefault="005E3BD6" w14:paraId="4431E00D" w14:textId="77777777">
                <w:pPr>
                  <w:rPr>
                    <w:rFonts w:ascii="Nunito Sans" w:hAnsi="Nunito Sans" w:cs="Calibri"/>
                    <w:sz w:val="18"/>
                    <w:szCs w:val="18"/>
                  </w:rPr>
                </w:pPr>
                <w:hyperlink w:history="1" r:id="rId77">
                  <w:r w:rsidRPr="002C6047">
                    <w:rPr>
                      <w:rStyle w:val="Hipervnculo"/>
                      <w:rFonts w:ascii="Nunito Sans" w:hAnsi="Nunito Sans" w:cs="Calibri"/>
                      <w:color w:val="E1AF3B"/>
                      <w:sz w:val="18"/>
                      <w:szCs w:val="18"/>
                    </w:rPr>
                    <w:t xml:space="preserve">Link de Plan Estratégico de Tecnologías de la Información </w:t>
                  </w:r>
                </w:hyperlink>
              </w:p>
            </w:tc>
          </w:tr>
          <w:tr w:rsidRPr="002C6047" w:rsidR="005E3BD6" w:rsidTr="007D47D3" w14:paraId="45CE6030"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220822D2"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Plan de Seguridad y Privacidad de la información</w:t>
                </w:r>
              </w:p>
            </w:tc>
            <w:tc>
              <w:tcPr>
                <w:tcW w:w="6803" w:type="dxa"/>
                <w:tcBorders>
                  <w:left w:val="single" w:color="FFFFFF" w:themeColor="background1" w:sz="4" w:space="0"/>
                </w:tcBorders>
                <w:vAlign w:val="center"/>
              </w:tcPr>
              <w:p w:rsidRPr="002C6047" w:rsidR="005E3BD6" w:rsidP="00B4771C" w:rsidRDefault="005E3BD6" w14:paraId="2D2C8996" w14:textId="77777777">
                <w:pPr>
                  <w:ind w:left="360" w:hanging="360"/>
                  <w:rPr>
                    <w:rFonts w:ascii="Nunito Sans" w:hAnsi="Nunito Sans" w:cs="Calibri"/>
                    <w:sz w:val="18"/>
                    <w:szCs w:val="18"/>
                  </w:rPr>
                </w:pPr>
                <w:r w:rsidRPr="002C6047">
                  <w:rPr>
                    <w:rFonts w:ascii="Nunito Sans" w:hAnsi="Nunito Sans" w:cs="Calibri"/>
                    <w:sz w:val="18"/>
                    <w:szCs w:val="18"/>
                  </w:rPr>
                  <w:t>Plan de Seguridad y Privacidad de la Información 2025</w:t>
                </w:r>
              </w:p>
              <w:p w:rsidRPr="002C6047" w:rsidR="005E3BD6" w:rsidP="00B4771C" w:rsidRDefault="005E3BD6" w14:paraId="20A71B48" w14:textId="77777777">
                <w:pPr>
                  <w:ind w:left="360" w:hanging="360"/>
                  <w:rPr>
                    <w:rFonts w:ascii="Nunito Sans" w:hAnsi="Nunito Sans" w:cs="Calibri"/>
                    <w:sz w:val="18"/>
                    <w:szCs w:val="18"/>
                  </w:rPr>
                </w:pPr>
                <w:hyperlink w:history="1" r:id="rId78">
                  <w:r w:rsidRPr="002C6047">
                    <w:rPr>
                      <w:rStyle w:val="Hipervnculo"/>
                      <w:rFonts w:ascii="Nunito Sans" w:hAnsi="Nunito Sans" w:cs="Calibri"/>
                      <w:color w:val="E1AF3B"/>
                      <w:sz w:val="18"/>
                      <w:szCs w:val="18"/>
                    </w:rPr>
                    <w:t>Link de Plan de Seguridad y Privacidad de la información</w:t>
                  </w:r>
                </w:hyperlink>
              </w:p>
            </w:tc>
          </w:tr>
          <w:tr w:rsidRPr="002C6047" w:rsidR="005E3BD6" w:rsidTr="007D47D3" w14:paraId="75D1A043"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194CF2C6"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Plan Tratamiento de Riesgos de Seguridad y Privacidad de la Información</w:t>
                </w:r>
              </w:p>
            </w:tc>
            <w:tc>
              <w:tcPr>
                <w:tcW w:w="6803" w:type="dxa"/>
                <w:tcBorders>
                  <w:left w:val="single" w:color="FFFFFF" w:themeColor="background1" w:sz="4" w:space="0"/>
                </w:tcBorders>
                <w:vAlign w:val="center"/>
              </w:tcPr>
              <w:p w:rsidRPr="002C6047" w:rsidR="005E3BD6" w:rsidP="00B4771C" w:rsidRDefault="005E3BD6" w14:paraId="380A4788" w14:textId="77777777">
                <w:pPr>
                  <w:rPr>
                    <w:rFonts w:ascii="Nunito Sans" w:hAnsi="Nunito Sans" w:cs="Calibri"/>
                    <w:sz w:val="18"/>
                    <w:szCs w:val="18"/>
                  </w:rPr>
                </w:pPr>
                <w:r w:rsidRPr="002C6047">
                  <w:rPr>
                    <w:rFonts w:ascii="Nunito Sans" w:hAnsi="Nunito Sans" w:cs="Calibri"/>
                    <w:sz w:val="18"/>
                    <w:szCs w:val="18"/>
                  </w:rPr>
                  <w:t>Plan De Tratamiento De Riesgos De Seguridad Y Privacidad De La Información 2025</w:t>
                </w:r>
              </w:p>
              <w:p w:rsidRPr="002C6047" w:rsidR="005E3BD6" w:rsidP="00B4771C" w:rsidRDefault="005E3BD6" w14:paraId="7D670FAF" w14:textId="77777777">
                <w:pPr>
                  <w:rPr>
                    <w:rFonts w:ascii="Nunito Sans" w:hAnsi="Nunito Sans" w:cs="Calibri"/>
                    <w:sz w:val="18"/>
                    <w:szCs w:val="18"/>
                  </w:rPr>
                </w:pPr>
                <w:hyperlink w:history="1" r:id="rId79">
                  <w:r w:rsidRPr="002C6047">
                    <w:rPr>
                      <w:rStyle w:val="Hipervnculo"/>
                      <w:rFonts w:ascii="Nunito Sans" w:hAnsi="Nunito Sans" w:cs="Calibri"/>
                      <w:color w:val="E1AF3B"/>
                      <w:sz w:val="18"/>
                      <w:szCs w:val="18"/>
                    </w:rPr>
                    <w:t>Link de Plan Tratamiento de Riesgos de Seguridad y Privacidad de la Información</w:t>
                  </w:r>
                </w:hyperlink>
              </w:p>
            </w:tc>
          </w:tr>
          <w:tr w:rsidRPr="002C6047" w:rsidR="005E3BD6" w:rsidTr="007D47D3" w14:paraId="2A3977CE" w14:textId="77777777">
            <w:trPr>
              <w:trHeight w:val="465"/>
            </w:trPr>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05FE1591"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 xml:space="preserve">Mapa de procesos </w:t>
                </w:r>
              </w:p>
            </w:tc>
            <w:tc>
              <w:tcPr>
                <w:tcW w:w="6803" w:type="dxa"/>
                <w:tcBorders>
                  <w:left w:val="single" w:color="FFFFFF" w:themeColor="background1" w:sz="4" w:space="0"/>
                </w:tcBorders>
                <w:vAlign w:val="center"/>
              </w:tcPr>
              <w:p w:rsidRPr="002C6047" w:rsidR="005E3BD6" w:rsidP="00B4771C" w:rsidRDefault="005E3BD6" w14:paraId="6CC05994" w14:textId="17F68479">
                <w:pPr>
                  <w:ind w:left="360" w:hanging="360"/>
                  <w:rPr>
                    <w:rFonts w:ascii="Nunito Sans" w:hAnsi="Nunito Sans" w:cs="Calibri"/>
                    <w:sz w:val="18"/>
                    <w:szCs w:val="18"/>
                  </w:rPr>
                </w:pPr>
                <w:r w:rsidRPr="002C6047">
                  <w:rPr>
                    <w:rFonts w:ascii="Nunito Sans" w:hAnsi="Nunito Sans" w:cs="Calibri"/>
                    <w:sz w:val="18"/>
                    <w:szCs w:val="18"/>
                  </w:rPr>
                  <w:fldChar w:fldCharType="begin"/>
                </w:r>
                <w:r w:rsidRPr="002C6047">
                  <w:rPr>
                    <w:rFonts w:ascii="Nunito Sans" w:hAnsi="Nunito Sans" w:cs="Calibri"/>
                    <w:sz w:val="18"/>
                    <w:szCs w:val="18"/>
                  </w:rPr>
                  <w:instrText xml:space="preserve"> INCLUDEPICTURE "https://sigueme.upme.gov.co/sigueme/img/logos/MapaProcesos.jpg?id=MapaProcesos.jpg" \* MERGEFORMATINET </w:instrText>
                </w:r>
                <w:r w:rsidRPr="002C6047">
                  <w:rPr>
                    <w:rFonts w:ascii="Nunito Sans" w:hAnsi="Nunito Sans" w:cs="Calibri"/>
                    <w:sz w:val="18"/>
                    <w:szCs w:val="18"/>
                  </w:rPr>
                  <w:fldChar w:fldCharType="end"/>
                </w:r>
                <w:hyperlink w:history="1" r:id="rId80">
                  <w:r w:rsidRPr="002C6047">
                    <w:rPr>
                      <w:rStyle w:val="Hipervnculo"/>
                      <w:rFonts w:ascii="Nunito Sans" w:hAnsi="Nunito Sans" w:cs="Calibri"/>
                      <w:color w:val="E1AF3B"/>
                      <w:sz w:val="18"/>
                      <w:szCs w:val="18"/>
                    </w:rPr>
                    <w:t>Link de Mapa de Procesos</w:t>
                  </w:r>
                </w:hyperlink>
                <w:r w:rsidRPr="002C6047">
                  <w:rPr>
                    <w:rFonts w:ascii="Nunito Sans" w:hAnsi="Nunito Sans" w:cs="Calibri"/>
                    <w:color w:val="E1AF3B"/>
                    <w:sz w:val="18"/>
                    <w:szCs w:val="18"/>
                  </w:rPr>
                  <w:t xml:space="preserve"> </w:t>
                </w:r>
              </w:p>
            </w:tc>
          </w:tr>
          <w:tr w:rsidRPr="002C6047" w:rsidR="005E3BD6" w:rsidTr="007D47D3" w14:paraId="1B28B02A" w14:textId="77777777">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C6047" w:rsidR="005E3BD6" w:rsidP="00B80A54" w:rsidRDefault="005E3BD6" w14:paraId="79B5E92F" w14:textId="77777777">
                <w:pPr>
                  <w:pStyle w:val="Prrafodelista"/>
                  <w:rPr>
                    <w:rFonts w:ascii="Nunito Sans" w:hAnsi="Nunito Sans" w:cs="Calibri"/>
                    <w:b/>
                    <w:bCs/>
                    <w:color w:val="FFFFFF" w:themeColor="background1"/>
                    <w:sz w:val="18"/>
                    <w:szCs w:val="18"/>
                  </w:rPr>
                </w:pPr>
                <w:r w:rsidRPr="002C6047">
                  <w:rPr>
                    <w:rFonts w:ascii="Nunito Sans" w:hAnsi="Nunito Sans" w:cs="Calibri"/>
                    <w:b/>
                    <w:bCs/>
                    <w:color w:val="FFFFFF" w:themeColor="background1"/>
                    <w:sz w:val="18"/>
                    <w:szCs w:val="18"/>
                  </w:rPr>
                  <w:t xml:space="preserve">Número Total de Tramites y Servicios </w:t>
                </w:r>
              </w:p>
            </w:tc>
            <w:tc>
              <w:tcPr>
                <w:tcW w:w="6803" w:type="dxa"/>
                <w:tcBorders>
                  <w:left w:val="single" w:color="FFFFFF" w:themeColor="background1" w:sz="4" w:space="0"/>
                </w:tcBorders>
                <w:vAlign w:val="center"/>
              </w:tcPr>
              <w:p w:rsidRPr="002C6047" w:rsidR="005E3BD6" w:rsidP="00B4771C" w:rsidRDefault="005E3BD6" w14:paraId="52BF97A0" w14:textId="77777777">
                <w:pPr>
                  <w:ind w:left="38" w:hanging="38"/>
                  <w:rPr>
                    <w:rFonts w:ascii="Nunito Sans" w:hAnsi="Nunito Sans" w:cs="Calibri"/>
                    <w:sz w:val="18"/>
                    <w:szCs w:val="18"/>
                  </w:rPr>
                </w:pPr>
                <w:r w:rsidRPr="002C6047">
                  <w:rPr>
                    <w:rFonts w:ascii="Nunito Sans" w:hAnsi="Nunito Sans" w:cs="Calibri"/>
                    <w:sz w:val="18"/>
                    <w:szCs w:val="18"/>
                  </w:rPr>
                  <w:t>4</w:t>
                </w:r>
              </w:p>
            </w:tc>
          </w:tr>
        </w:tbl>
        <w:p w:rsidRPr="002C6047" w:rsidR="005E3BD6" w:rsidP="005E3BD6" w:rsidRDefault="005E3BD6" w14:paraId="55900DE3" w14:textId="77777777">
          <w:pPr>
            <w:pStyle w:val="Default"/>
            <w:spacing w:line="360" w:lineRule="auto"/>
            <w:jc w:val="center"/>
            <w:rPr>
              <w:rFonts w:ascii="Nunito Sans" w:hAnsi="Nunito Sans" w:eastAsia="CIDFont+F9" w:cs="Calibri"/>
              <w:color w:val="000000" w:themeColor="text1"/>
              <w:sz w:val="18"/>
              <w:szCs w:val="18"/>
            </w:rPr>
          </w:pPr>
          <w:r w:rsidRPr="002C6047">
            <w:rPr>
              <w:rFonts w:ascii="Nunito Sans" w:hAnsi="Nunito Sans" w:eastAsia="CIDFont+F9" w:cs="Calibri"/>
              <w:color w:val="000000" w:themeColor="text1"/>
              <w:sz w:val="18"/>
              <w:szCs w:val="18"/>
            </w:rPr>
            <w:t>Fuente: Elaboración propia</w:t>
          </w:r>
        </w:p>
        <w:p w:rsidRPr="002C6047" w:rsidR="00F130A4" w:rsidP="00E00EB2" w:rsidRDefault="00F130A4" w14:paraId="582905BF" w14:textId="77777777">
          <w:pPr>
            <w:pStyle w:val="Default"/>
            <w:spacing w:line="276" w:lineRule="auto"/>
            <w:rPr>
              <w:rFonts w:ascii="Nunito Sans" w:hAnsi="Nunito Sans" w:eastAsia="CIDFont+F9" w:cs="Calibri"/>
              <w:color w:val="000000" w:themeColor="text1"/>
              <w:sz w:val="18"/>
              <w:szCs w:val="18"/>
            </w:rPr>
          </w:pPr>
        </w:p>
        <w:p w:rsidRPr="002C6047" w:rsidR="008060B5" w:rsidP="00E00EB2" w:rsidRDefault="00E00EB2" w14:paraId="795F5487" w14:textId="3E658841">
          <w:pPr>
            <w:pStyle w:val="Default"/>
            <w:spacing w:line="276" w:lineRule="auto"/>
            <w:rPr>
              <w:rFonts w:ascii="Nunito Sans" w:hAnsi="Nunito Sans" w:cstheme="minorBidi"/>
              <w:color w:val="auto"/>
              <w:sz w:val="22"/>
              <w:szCs w:val="22"/>
            </w:rPr>
          </w:pPr>
          <w:r w:rsidRPr="002C6047">
            <w:rPr>
              <w:rFonts w:ascii="Nunito Sans" w:hAnsi="Nunito Sans" w:cstheme="minorBidi"/>
              <w:color w:val="auto"/>
              <w:sz w:val="22"/>
              <w:szCs w:val="22"/>
            </w:rPr>
            <w:t xml:space="preserve">En el </w:t>
          </w:r>
          <w:r w:rsidRPr="002C6047" w:rsidR="00660DEB">
            <w:rPr>
              <w:rStyle w:val="normaltextrun"/>
              <w:rFonts w:ascii="Nunito Sans" w:hAnsi="Nunito Sans"/>
              <w:sz w:val="22"/>
              <w:szCs w:val="22"/>
              <w:shd w:val="clear" w:color="auto" w:fill="FFFFFF"/>
            </w:rPr>
            <w:t xml:space="preserve">Anexo 2 </w:t>
          </w:r>
          <w:r w:rsidRPr="002C6047" w:rsidR="004F3C73">
            <w:rPr>
              <w:rStyle w:val="normaltextrun"/>
              <w:rFonts w:ascii="Nunito Sans" w:hAnsi="Nunito Sans"/>
              <w:sz w:val="22"/>
              <w:szCs w:val="22"/>
              <w:shd w:val="clear" w:color="auto" w:fill="FFFFFF"/>
            </w:rPr>
            <w:t>–</w:t>
          </w:r>
          <w:r w:rsidRPr="002C6047" w:rsidR="00660DEB">
            <w:rPr>
              <w:rStyle w:val="normaltextrun"/>
              <w:rFonts w:ascii="Nunito Sans" w:hAnsi="Nunito Sans"/>
              <w:sz w:val="22"/>
              <w:szCs w:val="22"/>
              <w:shd w:val="clear" w:color="auto" w:fill="FFFFFF"/>
            </w:rPr>
            <w:t xml:space="preserve"> </w:t>
          </w:r>
          <w:r w:rsidRPr="002C6047" w:rsidR="004F3C73">
            <w:rPr>
              <w:rStyle w:val="normaltextrun"/>
              <w:rFonts w:ascii="Nunito Sans" w:hAnsi="Nunito Sans"/>
              <w:sz w:val="22"/>
              <w:szCs w:val="22"/>
              <w:shd w:val="clear" w:color="auto" w:fill="FFFFFF"/>
            </w:rPr>
            <w:t xml:space="preserve">Contexto Estratégico </w:t>
          </w:r>
          <w:r w:rsidRPr="002C6047" w:rsidR="00660DEB">
            <w:rPr>
              <w:rStyle w:val="normaltextrun"/>
              <w:rFonts w:ascii="Nunito Sans" w:hAnsi="Nunito Sans"/>
              <w:sz w:val="22"/>
              <w:szCs w:val="22"/>
              <w:shd w:val="clear" w:color="auto" w:fill="FFFFFF"/>
            </w:rPr>
            <w:t>Sectorial</w:t>
          </w:r>
          <w:r w:rsidRPr="002C6047" w:rsidR="00660DEB">
            <w:rPr>
              <w:rStyle w:val="eop"/>
              <w:rFonts w:ascii="Nunito Sans" w:hAnsi="Nunito Sans" w:eastAsia="Nunito Sans"/>
              <w:sz w:val="22"/>
              <w:szCs w:val="22"/>
              <w:shd w:val="clear" w:color="auto" w:fill="FFFFFF"/>
            </w:rPr>
            <w:t> </w:t>
          </w:r>
          <w:r w:rsidRPr="002C6047">
            <w:rPr>
              <w:rFonts w:ascii="Nunito Sans" w:hAnsi="Nunito Sans" w:cstheme="minorBidi"/>
              <w:color w:val="auto"/>
              <w:sz w:val="22"/>
              <w:szCs w:val="22"/>
            </w:rPr>
            <w:t>se incluye información adicional que desarrolla el contexto por entidades del sector y sirve como soporte para el análisis presentado.</w:t>
          </w:r>
        </w:p>
        <w:p w:rsidRPr="002C6047" w:rsidR="005E3BD6" w:rsidP="005E3BD6" w:rsidRDefault="005E3BD6" w14:paraId="1271B02F" w14:textId="77777777">
          <w:pPr>
            <w:rPr>
              <w:rFonts w:ascii="Nunito Sans" w:hAnsi="Nunito Sans"/>
              <w:lang w:val="es-ES"/>
            </w:rPr>
          </w:pPr>
        </w:p>
        <w:p w:rsidRPr="002C6047" w:rsidR="005E3BD6" w:rsidRDefault="00265D18" w14:paraId="2E80B213" w14:textId="10412C00">
          <w:pPr>
            <w:pStyle w:val="Ttulo1"/>
            <w:numPr>
              <w:ilvl w:val="0"/>
              <w:numId w:val="34"/>
            </w:numPr>
            <w:jc w:val="center"/>
            <w:rPr>
              <w:lang w:val="es-ES"/>
            </w:rPr>
          </w:pPr>
          <w:bookmarkStart w:name="_Toc447218787" w:id="43"/>
          <w:r w:rsidRPr="002C6047">
            <w:rPr>
              <w:lang w:val="es-ES"/>
            </w:rPr>
            <w:t xml:space="preserve"> </w:t>
          </w:r>
          <w:bookmarkStart w:name="_Toc234234449" w:id="44"/>
          <w:r w:rsidRPr="002C6047" w:rsidR="008A4A13">
            <w:rPr>
              <w:lang w:val="es-ES"/>
            </w:rPr>
            <w:t>SITUACIÓN ACTUAL (AS-IS) – DIAGNÓSTICO</w:t>
          </w:r>
          <w:bookmarkEnd w:id="43"/>
          <w:bookmarkEnd w:id="44"/>
        </w:p>
        <w:p w:rsidRPr="002C6047" w:rsidR="00342334" w:rsidP="00342334" w:rsidRDefault="00342334" w14:paraId="4CBEF78D" w14:textId="77777777">
          <w:pPr>
            <w:rPr>
              <w:rFonts w:ascii="Nunito Sans" w:hAnsi="Nunito Sans"/>
              <w:lang w:val="es-ES"/>
            </w:rPr>
          </w:pPr>
        </w:p>
        <w:p w:rsidRPr="002C6047" w:rsidR="005E3BD6" w:rsidP="3D9E0835" w:rsidRDefault="005E3BD6" w14:paraId="1A3C42D2" w14:textId="626D1A11">
          <w:pPr>
            <w:spacing w:after="160" w:line="276" w:lineRule="auto"/>
            <w:jc w:val="both"/>
            <w:rPr>
              <w:rFonts w:ascii="Nunito Sans" w:hAnsi="Nunito Sans" w:eastAsiaTheme="minorEastAsia" w:cstheme="minorBidi"/>
              <w:sz w:val="22"/>
              <w:szCs w:val="22"/>
              <w:lang w:eastAsia="en-US"/>
            </w:rPr>
          </w:pPr>
          <w:bookmarkStart w:name="_Hlk213963005" w:id="45"/>
          <w:r w:rsidRPr="002C6047">
            <w:rPr>
              <w:rFonts w:ascii="Nunito Sans" w:hAnsi="Nunito Sans" w:eastAsiaTheme="minorEastAsia" w:cstheme="minorBidi"/>
              <w:sz w:val="22"/>
              <w:szCs w:val="22"/>
              <w:lang w:eastAsia="en-US"/>
            </w:rPr>
            <w:t xml:space="preserve">La Situación Actual (AS-IS) del Sector Minero-Energético </w:t>
          </w:r>
          <w:r w:rsidRPr="002C6047" w:rsidR="40C45DD7">
            <w:rPr>
              <w:rFonts w:ascii="Nunito Sans" w:hAnsi="Nunito Sans" w:eastAsiaTheme="minorEastAsia" w:cstheme="minorBidi"/>
              <w:sz w:val="22"/>
              <w:szCs w:val="22"/>
              <w:lang w:eastAsia="en-US"/>
            </w:rPr>
            <w:t>permite</w:t>
          </w:r>
          <w:r w:rsidRPr="002C6047">
            <w:rPr>
              <w:rFonts w:ascii="Nunito Sans" w:hAnsi="Nunito Sans" w:eastAsiaTheme="minorEastAsia" w:cstheme="minorBidi"/>
              <w:sz w:val="22"/>
              <w:szCs w:val="22"/>
              <w:lang w:eastAsia="en-US"/>
            </w:rPr>
            <w:t xml:space="preserve"> comprender el estado real de las capacidades institucionales, tecnológicas y de información que soportan la planeación, regulación, fiscalización y operación del sector. Este análisis se desarrolla bajo el enfoque del Modelo de Referencia de Arquitectura Empresarial (MRAE), en alineación con los lineamientos del Ministerio de Tecnologías de la Información y las Comunicaciones (MinTIC), y en coherencia con los objetivos estratégicos del Plan Nacional de Desarrollo y el enfoque de Transición Energética Justa.</w:t>
          </w:r>
        </w:p>
        <w:p w:rsidRPr="002C6047" w:rsidR="005E3BD6" w:rsidP="00D92DD0" w:rsidRDefault="005E3BD6" w14:paraId="14DC2372" w14:textId="77777777">
          <w:pPr>
            <w:spacing w:after="160" w:line="276" w:lineRule="auto"/>
            <w:jc w:val="both"/>
            <w:rPr>
              <w:rFonts w:ascii="Nunito Sans" w:hAnsi="Nunito Sans" w:eastAsiaTheme="minorHAnsi" w:cstheme="minorBidi"/>
              <w:sz w:val="22"/>
              <w:szCs w:val="22"/>
              <w:lang w:eastAsia="en-US"/>
            </w:rPr>
          </w:pPr>
          <w:r w:rsidRPr="002C6047">
            <w:rPr>
              <w:rFonts w:ascii="Nunito Sans" w:hAnsi="Nunito Sans" w:eastAsiaTheme="minorHAnsi" w:cstheme="minorBidi"/>
              <w:sz w:val="22"/>
              <w:szCs w:val="22"/>
              <w:lang w:eastAsia="en-US"/>
            </w:rPr>
            <w:t xml:space="preserve">El sector dispone de activos de información, plataformas tecnológicas y capacidades especializadas de alto valor estratégico, particularmente en datos geológicos, energéticos, productivos y regulatorios, los cuales resultan fundamentales para la formulación de políticas públicas, la toma de decisiones basada en evidencia y el seguimiento de los compromisos asociados a la transición del modelo energético, la sostenibilidad y la equidad territorial. No </w:t>
          </w:r>
          <w:r w:rsidRPr="002C6047">
            <w:rPr>
              <w:rFonts w:ascii="Nunito Sans" w:hAnsi="Nunito Sans" w:eastAsiaTheme="minorHAnsi" w:cstheme="minorBidi"/>
              <w:sz w:val="22"/>
              <w:szCs w:val="22"/>
              <w:lang w:eastAsia="en-US"/>
            </w:rPr>
            <w:lastRenderedPageBreak/>
            <w:t>obstante, dichas capacidades se encuentran distribuidas en entidades con distintos niveles de madurez y enfoques operativos, lo que limita su aprovechamiento integrado a nivel sectorial.</w:t>
          </w:r>
        </w:p>
        <w:p w:rsidRPr="002C6047" w:rsidR="005E3BD6" w:rsidP="00D92DD0" w:rsidRDefault="1F325162" w14:paraId="5C4885E2" w14:textId="77777777">
          <w:pPr>
            <w:spacing w:after="160" w:line="276" w:lineRule="auto"/>
            <w:jc w:val="both"/>
            <w:rPr>
              <w:rFonts w:ascii="Nunito Sans" w:hAnsi="Nunito Sans" w:eastAsiaTheme="minorHAnsi" w:cstheme="minorBidi"/>
              <w:sz w:val="22"/>
              <w:szCs w:val="22"/>
              <w:lang w:eastAsia="en-US"/>
            </w:rPr>
          </w:pPr>
          <w:r w:rsidRPr="002C6047">
            <w:rPr>
              <w:rFonts w:ascii="Nunito Sans" w:hAnsi="Nunito Sans" w:eastAsiaTheme="minorEastAsia" w:cstheme="minorBidi"/>
              <w:sz w:val="22"/>
              <w:szCs w:val="22"/>
              <w:lang w:eastAsia="en-US"/>
            </w:rPr>
            <w:t>Desde una perspectiva transversal, el AS-IS evidencia avances relevantes en iniciativas de modernización tecnológica, gobernanza de TI, analítica de datos, seguridad de la información, interoperabilidad e innovación digital. Sin embargo, estos avances se han desarrollado mayoritariamente bajo esquemas institucionales, sin un marco sectorial plenamente consolidado que permita su articulación, reutilización y escalamiento para responder de manera coordinada a los desafíos estratégicos del sector.</w:t>
          </w:r>
        </w:p>
        <w:p w:rsidRPr="002C6047" w:rsidR="005E3BD6" w:rsidP="4E60D266" w:rsidRDefault="6494133B" w14:paraId="65451527" w14:textId="4E4C63B4">
          <w:pPr>
            <w:spacing w:after="160" w:line="276" w:lineRule="auto"/>
            <w:jc w:val="both"/>
            <w:rPr>
              <w:rFonts w:ascii="Nunito Sans" w:hAnsi="Nunito Sans" w:eastAsiaTheme="minorEastAsia" w:cstheme="minorBidi"/>
              <w:sz w:val="22"/>
              <w:szCs w:val="22"/>
              <w:lang w:eastAsia="en-US"/>
            </w:rPr>
          </w:pPr>
          <w:r w:rsidRPr="002C6047">
            <w:rPr>
              <w:rFonts w:ascii="Nunito Sans" w:hAnsi="Nunito Sans" w:eastAsia="Nunito Sans" w:cs="Nunito Sans"/>
              <w:sz w:val="22"/>
              <w:szCs w:val="22"/>
            </w:rPr>
            <w:t>En este contexto, se identifican tensiones estructurales comunes asociadas a la existencia de enfoques institucionales diferenciados para la gestión de información, la gobernanza, la arquitectura tecnológica y la operación de los servicios digitales; así como a la ausencia de estándares sectoriales unificados, la limitada interoperabilidad entre sistemas, la heterogeneidad en las capacidades de infraestructura y la necesidad de fortalecer mecanismos de gobierno, seguridad y gestión integral del dato</w:t>
          </w:r>
          <w:r w:rsidRPr="002C6047" w:rsidR="5B3F1BD2">
            <w:rPr>
              <w:rFonts w:ascii="Nunito Sans" w:hAnsi="Nunito Sans" w:eastAsia="Nunito Sans" w:cs="Nunito Sans"/>
              <w:sz w:val="22"/>
              <w:szCs w:val="22"/>
            </w:rPr>
            <w:t>.</w:t>
          </w:r>
          <w:r w:rsidRPr="002C6047" w:rsidR="1F325162">
            <w:rPr>
              <w:rFonts w:ascii="Nunito Sans" w:hAnsi="Nunito Sans" w:eastAsiaTheme="minorEastAsia" w:cstheme="minorBidi"/>
              <w:sz w:val="22"/>
              <w:szCs w:val="22"/>
              <w:lang w:eastAsia="en-US"/>
            </w:rPr>
            <w:t xml:space="preserve"> Estas tensiones inciden directamente en la capacidad del sector para avanzar hacia esquemas predictivos, integrados y orientados a resultados, requeridos para soportar la Transición Energética Justa y los objetivos del Plan Nacional de Desarrollo.</w:t>
          </w:r>
        </w:p>
        <w:p w:rsidRPr="002C6047" w:rsidR="005E3BD6" w:rsidP="00D92DD0" w:rsidRDefault="005E3BD6" w14:paraId="26496225" w14:textId="77777777">
          <w:pPr>
            <w:spacing w:after="160" w:line="276" w:lineRule="auto"/>
            <w:jc w:val="both"/>
            <w:rPr>
              <w:rFonts w:ascii="Nunito Sans" w:hAnsi="Nunito Sans" w:eastAsiaTheme="minorHAnsi" w:cstheme="minorBidi"/>
              <w:sz w:val="22"/>
              <w:szCs w:val="22"/>
              <w:lang w:eastAsia="en-US"/>
            </w:rPr>
          </w:pPr>
          <w:r w:rsidRPr="002C6047">
            <w:rPr>
              <w:rFonts w:ascii="Nunito Sans" w:hAnsi="Nunito Sans" w:eastAsiaTheme="minorHAnsi" w:cstheme="minorBidi"/>
              <w:sz w:val="22"/>
              <w:szCs w:val="22"/>
              <w:lang w:eastAsia="en-US"/>
            </w:rPr>
            <w:t>Adicionalmente, la Situación Actual evidencia la existencia de múltiples iniciativas, proyectos y procesos en curso adelantados por las entidades adscritas, orientados al fortalecimiento de capacidades institucionales, tecnológicas y de información. Si bien estos esfuerzos representan avances significativos en términos de modernización y transformación digital, su formulación y ejecución ha respondido principalmente a necesidades particulares de cada entidad, lo que refuerza la necesidad de contar con una visión sectorial que articule dichos esfuerzos y maximice su impacto colectivo.</w:t>
          </w:r>
        </w:p>
        <w:p w:rsidRPr="002C6047" w:rsidR="005E3BD6" w:rsidP="00D92DD0" w:rsidRDefault="1F325162" w14:paraId="6846EB46" w14:textId="31C893E5">
          <w:pPr>
            <w:spacing w:after="160" w:line="276" w:lineRule="auto"/>
            <w:jc w:val="both"/>
            <w:rPr>
              <w:rFonts w:ascii="Nunito Sans" w:hAnsi="Nunito Sans"/>
            </w:rPr>
          </w:pPr>
          <w:r w:rsidRPr="002C6047">
            <w:rPr>
              <w:rFonts w:ascii="Nunito Sans" w:hAnsi="Nunito Sans" w:eastAsiaTheme="minorEastAsia" w:cstheme="minorBidi"/>
              <w:sz w:val="22"/>
              <w:szCs w:val="22"/>
              <w:lang w:eastAsia="en-US"/>
            </w:rPr>
            <w:t>A partir de lo anterior, la Situación Actual se analiza a través de los dominios definidos en el MRAE, evaluando el estado de los componentes institucionales, tecnológicos y de información que conforman la arquitectura sectorial. Para cada dominio se documentan las condiciones actuales, así como los factores internos y externos que afectan su madurez y articulación a nivel sectorial, insumo fundamental para el análisis de brechas y la definición del modelo objetivo.</w:t>
          </w:r>
          <w:r w:rsidRPr="002C6047" w:rsidR="3A45B462">
            <w:rPr>
              <w:rFonts w:ascii="Nunito Sans" w:hAnsi="Nunito Sans" w:eastAsiaTheme="minorEastAsia" w:cstheme="minorBidi"/>
              <w:sz w:val="22"/>
              <w:szCs w:val="22"/>
              <w:lang w:eastAsia="en-US"/>
            </w:rPr>
            <w:t xml:space="preserve"> Los análisis presentados en los apartados siguientes distinguen entre hallazgos institucionales identificados en las entidades del sector y hallazgos sectoriales consolidados, construidos a partir de la información recopilada durante el ejercicio.</w:t>
          </w:r>
        </w:p>
        <w:p w:rsidRPr="002C6047" w:rsidR="005E3BD6" w:rsidP="005E3BD6" w:rsidRDefault="005E3BD6" w14:paraId="03BCC15D" w14:textId="77777777">
          <w:pPr>
            <w:rPr>
              <w:rFonts w:ascii="Nunito Sans" w:hAnsi="Nunito Sans" w:eastAsiaTheme="minorEastAsia"/>
              <w:sz w:val="22"/>
              <w:szCs w:val="22"/>
              <w:lang w:val="es-ES"/>
            </w:rPr>
          </w:pPr>
        </w:p>
        <w:p w:rsidRPr="002C6047" w:rsidR="00B5339D" w:rsidRDefault="005E3BD6" w14:paraId="31082900" w14:textId="069D7ECE">
          <w:pPr>
            <w:pStyle w:val="Ttulo2"/>
            <w:numPr>
              <w:ilvl w:val="1"/>
              <w:numId w:val="34"/>
            </w:numPr>
          </w:pPr>
          <w:bookmarkStart w:name="_Toc638149001" w:id="46"/>
          <w:bookmarkStart w:name="_Toc234234450" w:id="47"/>
          <w:r w:rsidRPr="002C6047">
            <w:lastRenderedPageBreak/>
            <w:t xml:space="preserve">Situación Actual (AS-IS) Arquitectura </w:t>
          </w:r>
          <w:r w:rsidRPr="002C6047" w:rsidR="000F220A">
            <w:t>S</w:t>
          </w:r>
          <w:r w:rsidRPr="002C6047">
            <w:t>ectorial</w:t>
          </w:r>
          <w:bookmarkStart w:name="_Toc685040911" w:id="48"/>
          <w:bookmarkStart w:name="_Toc1490520953" w:id="49"/>
          <w:bookmarkEnd w:id="45"/>
          <w:bookmarkEnd w:id="46"/>
          <w:bookmarkEnd w:id="47"/>
        </w:p>
        <w:p w:rsidRPr="002C6047" w:rsidR="007F5EF9" w:rsidRDefault="005E3BD6" w14:paraId="4D17E73C" w14:textId="70E62346">
          <w:pPr>
            <w:pStyle w:val="Ttulo3"/>
            <w:numPr>
              <w:ilvl w:val="2"/>
              <w:numId w:val="34"/>
            </w:numPr>
          </w:pPr>
          <w:bookmarkStart w:name="_Toc234234451" w:id="50"/>
          <w:r w:rsidRPr="002C6047">
            <w:t>Cadenas de valor sectoriales</w:t>
          </w:r>
          <w:bookmarkEnd w:id="48"/>
          <w:bookmarkEnd w:id="49"/>
          <w:bookmarkEnd w:id="50"/>
        </w:p>
        <w:p w:rsidRPr="002C6047" w:rsidR="007C630D" w:rsidP="007C630D" w:rsidRDefault="007C630D" w14:paraId="158B01A5" w14:textId="77777777">
          <w:pPr>
            <w:rPr>
              <w:rFonts w:ascii="Nunito Sans" w:hAnsi="Nunito Sans" w:eastAsiaTheme="minorHAnsi"/>
              <w:lang w:val="es-ES"/>
            </w:rPr>
          </w:pPr>
        </w:p>
        <w:p w:rsidRPr="002C6047" w:rsidR="1D0514C0" w:rsidP="4E60D266" w:rsidRDefault="1D0514C0" w14:paraId="261E162C" w14:textId="05D77488">
          <w:pPr>
            <w:jc w:val="both"/>
            <w:rPr>
              <w:rFonts w:ascii="Nunito Sans" w:hAnsi="Nunito Sans"/>
            </w:rPr>
          </w:pPr>
          <w:r w:rsidRPr="002C6047">
            <w:rPr>
              <w:rFonts w:ascii="Nunito Sans" w:hAnsi="Nunito Sans" w:eastAsia="Nunito Sans" w:cs="Nunito Sans"/>
              <w:sz w:val="22"/>
              <w:szCs w:val="22"/>
            </w:rPr>
            <w:t>En el marco de la formulación del PETI Sectorial, se desarrolló el análisis de las cadenas de valor de Hidrocarburos, Energía Eléctrica y Minería, con el propósito de identificar y definir el rol de cada entidad adscrita dentro de las diferentes etapas que conforman los procesos misionales del sector minero-energético. Este ejercicio permitió comprender de manera integral cómo se genera valor a nivel sectorial, identificar los actores involucrados, sus competencias, los flujos de información y las interacciones institucionales requeridas para el cumplimiento de los objetivos estratégicos del sector.</w:t>
          </w:r>
        </w:p>
        <w:p w:rsidRPr="002C6047" w:rsidR="00BBC232" w:rsidP="4E60D266" w:rsidRDefault="00BBC232" w14:paraId="0BAB96E9" w14:textId="7701A044">
          <w:pPr>
            <w:spacing w:after="160" w:line="276" w:lineRule="auto"/>
            <w:jc w:val="both"/>
            <w:rPr>
              <w:rFonts w:ascii="Nunito Sans" w:hAnsi="Nunito Sans"/>
            </w:rPr>
          </w:pPr>
          <w:r w:rsidRPr="002C6047">
            <w:rPr>
              <w:rFonts w:ascii="Nunito Sans" w:hAnsi="Nunito Sans" w:eastAsiaTheme="minorEastAsia" w:cstheme="minorBidi"/>
              <w:sz w:val="22"/>
              <w:szCs w:val="22"/>
              <w:lang w:eastAsia="en-US"/>
            </w:rPr>
            <w:t>Lo anterior permitió orientar la formulación del PETI Sectorial hacia aquellas capacidades digitales, tecnológicas y de información que generan un mayor impacto sobre la misión sectorial, más allá de los procesos operativos o administrativos propios de cada entidad. Adicionalmente, las cadenas de valor constituyen un instrumento que facilita la comprensión del rol de cada entidad dentro del ecosistema sectorial, fortalece la articulación institucional y promueve un entendimiento común de las competencias y responsabilidades asociadas a la gestión de los recursos minero-energéticos del país.</w:t>
          </w:r>
        </w:p>
        <w:p w:rsidRPr="002C6047" w:rsidR="005E3BD6" w:rsidP="4E60D266" w:rsidRDefault="1F325162" w14:paraId="367D4C0C" w14:textId="6DC5845D">
          <w:pPr>
            <w:spacing w:after="160" w:line="276" w:lineRule="auto"/>
            <w:jc w:val="both"/>
            <w:rPr>
              <w:rFonts w:ascii="Nunito Sans" w:hAnsi="Nunito Sans" w:eastAsiaTheme="minorEastAsia" w:cstheme="minorBidi"/>
              <w:sz w:val="22"/>
              <w:szCs w:val="22"/>
              <w:lang w:eastAsia="en-US"/>
            </w:rPr>
          </w:pPr>
          <w:r w:rsidRPr="002C6047">
            <w:rPr>
              <w:rFonts w:ascii="Nunito Sans" w:hAnsi="Nunito Sans" w:eastAsiaTheme="minorEastAsia" w:cstheme="minorBidi"/>
              <w:sz w:val="22"/>
              <w:szCs w:val="22"/>
              <w:lang w:eastAsia="en-US"/>
            </w:rPr>
            <w:t>Este proceso se desarrolló de la siguiente manera:</w:t>
          </w:r>
        </w:p>
        <w:p w:rsidRPr="002C6047" w:rsidR="005E3BD6" w:rsidRDefault="005E3BD6" w14:paraId="7FDB3C0D" w14:textId="2F262736">
          <w:pPr>
            <w:pStyle w:val="Prrafodelista"/>
            <w:numPr>
              <w:ilvl w:val="0"/>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Investigación conceptual inicial</w:t>
          </w:r>
        </w:p>
        <w:p w:rsidRPr="002C6047" w:rsidR="005E3BD6" w:rsidP="00F07C91" w:rsidRDefault="005E3BD6" w14:paraId="189BBACE"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El proceso inició con una investigación exhaustiva sobre los fundamentos conceptuales de energía, minería e hidrocarburos, enfocada en comprender sus tipos, sus formas de aprovechamiento y las actividades asociadas</w:t>
          </w:r>
        </w:p>
        <w:p w:rsidRPr="002C6047" w:rsidR="005E3BD6" w:rsidP="00F07C91" w:rsidRDefault="005E3BD6" w14:paraId="295A42E2"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 </w:t>
          </w:r>
        </w:p>
        <w:p w:rsidRPr="002C6047" w:rsidR="005E3BD6" w:rsidRDefault="005E3BD6" w14:paraId="06C4ADF9" w14:textId="65BB0168">
          <w:pPr>
            <w:pStyle w:val="Prrafodelista"/>
            <w:numPr>
              <w:ilvl w:val="0"/>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Identificación de actores</w:t>
          </w:r>
        </w:p>
        <w:p w:rsidRPr="002C6047" w:rsidR="005E3BD6" w:rsidP="00F07C91" w:rsidRDefault="1F325162" w14:paraId="4252E314" w14:textId="2D5963AE">
          <w:pPr>
            <w:pStyle w:val="Prrafodelista"/>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Con base en esta información, y tomando como referencia el decreto de creación del Ministerio de Minas y Energía, se avanzó en la identificación de las entidades </w:t>
          </w:r>
          <w:r w:rsidRPr="002C6047" w:rsidR="4A61ADC2">
            <w:rPr>
              <w:rFonts w:ascii="Nunito Sans" w:hAnsi="Nunito Sans" w:eastAsia="Arial" w:cs="Calibri"/>
              <w:color w:val="000000" w:themeColor="text1"/>
              <w:sz w:val="22"/>
              <w:szCs w:val="22"/>
              <w:lang w:val="es-ES"/>
            </w:rPr>
            <w:t>A</w:t>
          </w:r>
          <w:r w:rsidRPr="002C6047" w:rsidR="4A61ADC2">
            <w:rPr>
              <w:rFonts w:ascii="Nunito Sans" w:hAnsi="Nunito Sans" w:cs="Calibri"/>
              <w:sz w:val="22"/>
              <w:szCs w:val="22"/>
            </w:rPr>
            <w:t>NH, ANM, CREG, IPSE, SGC</w:t>
          </w:r>
          <w:r w:rsidRPr="002C6047" w:rsidR="59D4E4CB">
            <w:rPr>
              <w:rFonts w:ascii="Nunito Sans" w:hAnsi="Nunito Sans" w:cs="Calibri"/>
              <w:sz w:val="22"/>
              <w:szCs w:val="22"/>
            </w:rPr>
            <w:t xml:space="preserve">, </w:t>
          </w:r>
          <w:r w:rsidRPr="002C6047" w:rsidR="4A61ADC2">
            <w:rPr>
              <w:rFonts w:ascii="Nunito Sans" w:hAnsi="Nunito Sans" w:cs="Calibri"/>
              <w:sz w:val="22"/>
              <w:szCs w:val="22"/>
            </w:rPr>
            <w:t>UPME</w:t>
          </w:r>
          <w:r w:rsidRPr="002C6047">
            <w:rPr>
              <w:rFonts w:ascii="Nunito Sans" w:hAnsi="Nunito Sans" w:eastAsia="Arial" w:cs="Calibri"/>
              <w:color w:val="000000" w:themeColor="text1"/>
              <w:sz w:val="22"/>
              <w:szCs w:val="22"/>
              <w:lang w:val="es-ES"/>
            </w:rPr>
            <w:t xml:space="preserve"> y </w:t>
          </w:r>
          <w:r w:rsidRPr="002C6047" w:rsidR="72E9B438">
            <w:rPr>
              <w:rFonts w:ascii="Nunito Sans" w:hAnsi="Nunito Sans" w:eastAsia="Arial" w:cs="Calibri"/>
              <w:color w:val="000000" w:themeColor="text1"/>
              <w:sz w:val="22"/>
              <w:szCs w:val="22"/>
              <w:lang w:val="es-ES"/>
            </w:rPr>
            <w:t>FENOFE</w:t>
          </w:r>
          <w:r w:rsidRPr="002C6047">
            <w:rPr>
              <w:rFonts w:ascii="Nunito Sans" w:hAnsi="Nunito Sans" w:eastAsia="Arial" w:cs="Calibri"/>
              <w:color w:val="000000" w:themeColor="text1"/>
              <w:sz w:val="22"/>
              <w:szCs w:val="22"/>
              <w:lang w:val="es-ES"/>
            </w:rPr>
            <w:t>. De cada una de ellas se analizaron sus funciones, así como los trámites y servicios registrados en el SUIT, con el fin de comprender su rol misional dentro del sector.</w:t>
          </w:r>
        </w:p>
        <w:p w:rsidRPr="002C6047" w:rsidR="005E3BD6" w:rsidP="00F07C91" w:rsidRDefault="005E3BD6" w14:paraId="00DE43E5"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 xml:space="preserve"> </w:t>
          </w:r>
        </w:p>
        <w:p w:rsidRPr="002C6047" w:rsidR="005E3BD6" w:rsidRDefault="005E3BD6" w14:paraId="69DF628F" w14:textId="5231D4DD">
          <w:pPr>
            <w:pStyle w:val="Prrafodelista"/>
            <w:numPr>
              <w:ilvl w:val="0"/>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Definición del marco de orientación</w:t>
          </w:r>
        </w:p>
        <w:p w:rsidRPr="002C6047" w:rsidR="005E3BD6" w:rsidP="00F07C91" w:rsidRDefault="005E3BD6" w14:paraId="39D4F4E6"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A partir del análisis conceptual y de la identificación de actores, se definió el objetivo general y los objetivos específicos que orientarían la construcción de las tres cadenas de valor sectoriales.</w:t>
          </w:r>
        </w:p>
        <w:p w:rsidRPr="002C6047" w:rsidR="005E3BD6" w:rsidP="005E3BD6" w:rsidRDefault="005E3BD6" w14:paraId="39C3DE8B"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 </w:t>
          </w:r>
        </w:p>
        <w:p w:rsidRPr="002C6047" w:rsidR="005E3BD6" w:rsidRDefault="005E3BD6" w14:paraId="2A3D3CCF" w14:textId="4823D1BB">
          <w:pPr>
            <w:pStyle w:val="Prrafodelista"/>
            <w:numPr>
              <w:ilvl w:val="0"/>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Correlación funcional y misional</w:t>
          </w:r>
        </w:p>
        <w:p w:rsidRPr="002C6047" w:rsidR="005E3BD6" w:rsidP="005E3BD6" w:rsidRDefault="005E3BD6" w14:paraId="0A52A187"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lastRenderedPageBreak/>
            <w:t>La información recopilada permitió establecer una correlación entre funciones, competencias misionales y procesos sectoriales, insumo que dio lugar a las versiones preliminares de las cadenas de valor.</w:t>
          </w:r>
        </w:p>
        <w:p w:rsidRPr="002C6047" w:rsidR="005E3BD6" w:rsidP="005E3BD6" w:rsidRDefault="005E3BD6" w14:paraId="1F0B60BB"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 </w:t>
          </w:r>
        </w:p>
        <w:p w:rsidRPr="002C6047" w:rsidR="005E3BD6" w:rsidRDefault="005E3BD6" w14:paraId="128AB19D" w14:textId="69087DBB">
          <w:pPr>
            <w:pStyle w:val="Prrafodelista"/>
            <w:numPr>
              <w:ilvl w:val="0"/>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Socialización interna en el Ministerio de Minas y Energía</w:t>
          </w:r>
        </w:p>
        <w:p w:rsidRPr="002C6047" w:rsidR="005E3BD6" w:rsidP="00F07C91" w:rsidRDefault="005E3BD6" w14:paraId="6DCC990B"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La versión preliminar de las tres cadenas de valor fue presentada, retroalimentada y validada con las áreas misionales del Ministerio de Minas y Energía con el fin de ajustar los elementos operativos que desde allí se conocen frente a la gestión interinstitucional.</w:t>
          </w:r>
        </w:p>
        <w:p w:rsidRPr="002C6047" w:rsidR="005E3BD6" w:rsidP="005E3BD6" w:rsidRDefault="005E3BD6" w14:paraId="5D181FFF"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 </w:t>
          </w:r>
        </w:p>
        <w:p w:rsidRPr="002C6047" w:rsidR="005E3BD6" w:rsidRDefault="005E3BD6" w14:paraId="01907426" w14:textId="1F06E7D7">
          <w:pPr>
            <w:pStyle w:val="Prrafodelista"/>
            <w:numPr>
              <w:ilvl w:val="0"/>
              <w:numId w:val="3"/>
            </w:numPr>
            <w:spacing w:line="259" w:lineRule="auto"/>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Consolidación y estructuración de insumos</w:t>
          </w:r>
        </w:p>
        <w:p w:rsidRPr="002C6047" w:rsidR="005E3BD6" w:rsidP="00F07C91" w:rsidRDefault="005E3BD6" w14:paraId="1DC4889C"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Tras la retroalimentación recibida, la información recopilada se materializó en dos productos principales:</w:t>
          </w:r>
        </w:p>
        <w:p w:rsidRPr="002C6047" w:rsidR="005E3BD6" w:rsidP="005E3BD6" w:rsidRDefault="005E3BD6" w14:paraId="17B981FF" w14:textId="77777777">
          <w:pPr>
            <w:ind w:left="1260" w:hanging="360"/>
            <w:jc w:val="both"/>
            <w:rPr>
              <w:rFonts w:ascii="Nunito Sans" w:hAnsi="Nunito Sans" w:eastAsia="Arial" w:cs="Calibri"/>
              <w:color w:val="000000" w:themeColor="text1"/>
              <w:sz w:val="22"/>
              <w:szCs w:val="22"/>
              <w:lang w:val="es-ES"/>
            </w:rPr>
          </w:pPr>
        </w:p>
        <w:p w:rsidR="00F07C91" w:rsidRDefault="005E3BD6" w14:paraId="54569835" w14:textId="77777777">
          <w:pPr>
            <w:pStyle w:val="Prrafodelista"/>
            <w:numPr>
              <w:ilvl w:val="1"/>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Presentaciones personalizadas para cada una de las entidades del sector, utilizadas como insumo base para los talleres de co-creación identificando sus roles, funciones y competencias que permitieran entender las necesidades y buscar iniciativas que pudieran articularse a nivel sectorial.</w:t>
          </w:r>
        </w:p>
        <w:p w:rsidRPr="00F07C91" w:rsidR="005E3BD6" w:rsidRDefault="005E3BD6" w14:paraId="60A69454" w14:textId="478855F6">
          <w:pPr>
            <w:pStyle w:val="Prrafodelista"/>
            <w:numPr>
              <w:ilvl w:val="1"/>
              <w:numId w:val="3"/>
            </w:numPr>
            <w:jc w:val="both"/>
            <w:rPr>
              <w:rFonts w:ascii="Nunito Sans" w:hAnsi="Nunito Sans" w:eastAsia="Arial" w:cs="Calibri"/>
              <w:color w:val="000000" w:themeColor="text1"/>
              <w:sz w:val="22"/>
              <w:szCs w:val="22"/>
              <w:lang w:val="es-ES"/>
            </w:rPr>
          </w:pPr>
          <w:r w:rsidRPr="00F07C91">
            <w:rPr>
              <w:rFonts w:ascii="Nunito Sans" w:hAnsi="Nunito Sans" w:eastAsia="Arial" w:cs="Calibri"/>
              <w:color w:val="000000" w:themeColor="text1"/>
              <w:sz w:val="22"/>
              <w:szCs w:val="22"/>
              <w:lang w:val="es-ES"/>
            </w:rPr>
            <w:t>Tres cadenas de valor consolidadas, correspondientes a los dominios de minería, energía e hidrocarburos que muestran las interacciones entre las entidades a la luz de los objetivos misionales del sector.</w:t>
          </w:r>
        </w:p>
        <w:p w:rsidRPr="002C6047" w:rsidR="005E3BD6" w:rsidP="005E3BD6" w:rsidRDefault="005E3BD6" w14:paraId="71954669" w14:textId="77777777">
          <w:pPr>
            <w:ind w:left="1260"/>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 </w:t>
          </w:r>
        </w:p>
        <w:p w:rsidRPr="002C6047" w:rsidR="005E3BD6" w:rsidRDefault="005E3BD6" w14:paraId="06BB1991" w14:textId="0C35E900">
          <w:pPr>
            <w:pStyle w:val="Prrafodelista"/>
            <w:numPr>
              <w:ilvl w:val="0"/>
              <w:numId w:val="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Talleres con entidades del sector</w:t>
          </w:r>
        </w:p>
        <w:p w:rsidRPr="002C6047" w:rsidR="005E3BD6" w:rsidP="005E3BD6" w:rsidRDefault="005E3BD6" w14:paraId="52D0870C"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Bajo esta metodología, se realizaron sesiones de presentación y co-creación con la UPME, ANM, SGC, IPSE, ANH, FENOGE y CREG, logrando así la validación final de las cadenas de valor de los tres dominios sectoriales.</w:t>
          </w:r>
        </w:p>
        <w:p w:rsidRPr="002C6047" w:rsidR="005E3BD6" w:rsidP="005E3BD6" w:rsidRDefault="005E3BD6" w14:paraId="24D9BA1E" w14:textId="77777777">
          <w:pPr>
            <w:ind w:left="851" w:hanging="425"/>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 </w:t>
          </w:r>
        </w:p>
        <w:p w:rsidRPr="002C6047" w:rsidR="005E3BD6" w:rsidRDefault="005E3BD6" w14:paraId="4FC5D3CF" w14:textId="0142CD3E">
          <w:pPr>
            <w:pStyle w:val="Prrafodelista"/>
            <w:numPr>
              <w:ilvl w:val="0"/>
              <w:numId w:val="4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Identificación de insumos técnicos</w:t>
          </w:r>
        </w:p>
        <w:p w:rsidRPr="002C6047" w:rsidR="005E3BD6" w:rsidP="005E3BD6" w:rsidRDefault="005E3BD6" w14:paraId="735B8DE7" w14:textId="77777777">
          <w:pPr>
            <w:ind w:left="426"/>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Durante los talleres se recopiló información sobre:</w:t>
          </w:r>
        </w:p>
        <w:p w:rsidRPr="002C6047" w:rsidR="005E3BD6" w:rsidRDefault="005E3BD6" w14:paraId="1A5FD1BA" w14:textId="649E5389">
          <w:pPr>
            <w:pStyle w:val="Prrafodelista"/>
            <w:numPr>
              <w:ilvl w:val="1"/>
              <w:numId w:val="43"/>
            </w:numPr>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rPr>
            <w:t>Eslabones de los procesos misionales.</w:t>
          </w:r>
        </w:p>
        <w:p w:rsidRPr="002C6047" w:rsidR="005E3BD6" w:rsidRDefault="005E3BD6" w14:paraId="68FD9B51" w14:textId="28F7A801">
          <w:pPr>
            <w:pStyle w:val="Prrafodelista"/>
            <w:numPr>
              <w:ilvl w:val="1"/>
              <w:numId w:val="43"/>
            </w:numPr>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rPr>
            <w:t>Sistemas de información asociados.</w:t>
          </w:r>
        </w:p>
        <w:p w:rsidRPr="002C6047" w:rsidR="005E3BD6" w:rsidRDefault="005E3BD6" w14:paraId="643C6EF4" w14:textId="3FF50428">
          <w:pPr>
            <w:pStyle w:val="Prrafodelista"/>
            <w:numPr>
              <w:ilvl w:val="1"/>
              <w:numId w:val="43"/>
            </w:numPr>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rPr>
            <w:t>Productos tecnológicos existentes.</w:t>
          </w:r>
        </w:p>
        <w:p w:rsidRPr="002C6047" w:rsidR="005E3BD6" w:rsidRDefault="005E3BD6" w14:paraId="7D79827E" w14:textId="35AD4B8C">
          <w:pPr>
            <w:pStyle w:val="Prrafodelista"/>
            <w:numPr>
              <w:ilvl w:val="1"/>
              <w:numId w:val="43"/>
            </w:numPr>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rPr>
            <w:t>Proyectos TI, interoperabilidad y tecnologías implementadas.</w:t>
          </w:r>
        </w:p>
        <w:p w:rsidRPr="002C6047" w:rsidR="005E3BD6" w:rsidP="005E3BD6" w:rsidRDefault="005E3BD6" w14:paraId="399025A4" w14:textId="77777777">
          <w:pPr>
            <w:ind w:left="851" w:hanging="425"/>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 xml:space="preserve"> </w:t>
          </w:r>
        </w:p>
        <w:p w:rsidRPr="002C6047" w:rsidR="00B6275D" w:rsidRDefault="1F325162" w14:paraId="2F2B9CB0" w14:textId="688E752E">
          <w:pPr>
            <w:pStyle w:val="Prrafodelista"/>
            <w:numPr>
              <w:ilvl w:val="0"/>
              <w:numId w:val="43"/>
            </w:numPr>
            <w:jc w:val="both"/>
            <w:rPr>
              <w:rFonts w:ascii="Nunito Sans" w:hAnsi="Nunito Sans" w:eastAsia="Arial" w:cs="Calibri"/>
              <w:color w:val="000000" w:themeColor="text1"/>
              <w:sz w:val="22"/>
              <w:szCs w:val="22"/>
              <w:lang w:val="es-ES"/>
            </w:rPr>
          </w:pPr>
          <w:r w:rsidRPr="002C6047">
            <w:rPr>
              <w:rFonts w:ascii="Nunito Sans" w:hAnsi="Nunito Sans" w:eastAsia="Arial" w:cs="Calibri"/>
              <w:b/>
              <w:bCs/>
              <w:color w:val="000000" w:themeColor="text1"/>
              <w:sz w:val="22"/>
              <w:szCs w:val="22"/>
              <w:lang w:val="es-ES"/>
            </w:rPr>
            <w:t>Consolidación de información y seguimiento</w:t>
          </w:r>
        </w:p>
        <w:p w:rsidRPr="002C6047" w:rsidR="2B5DE92B" w:rsidP="00B6275D" w:rsidRDefault="2B5DE92B" w14:paraId="57CC0083" w14:textId="6A49E037">
          <w:pPr>
            <w:pStyle w:val="Prrafodelista"/>
            <w:ind w:left="426"/>
            <w:jc w:val="both"/>
            <w:rPr>
              <w:rFonts w:ascii="Nunito Sans" w:hAnsi="Nunito Sans" w:eastAsia="Arial" w:cs="Calibri"/>
              <w:color w:val="000000" w:themeColor="text1"/>
              <w:sz w:val="22"/>
              <w:szCs w:val="22"/>
              <w:lang w:val="es-ES"/>
            </w:rPr>
          </w:pPr>
          <w:r w:rsidRPr="002C6047">
            <w:rPr>
              <w:rFonts w:ascii="Nunito Sans" w:hAnsi="Nunito Sans" w:eastAsia="Nunito Sans" w:cs="Nunito Sans"/>
              <w:sz w:val="22"/>
              <w:szCs w:val="22"/>
              <w:lang w:val="es-ES"/>
            </w:rPr>
            <w:t>Con el fin de consolidar la información obtenida durante los talleres, se adelantaron actividades de seguimiento con las entidades participantes para validar los resultados y recopilar observaciones sobre las cadenas de valor. Los aportes recibidos fueron analizados e incorporados según su pertinencia, permitiendo consolidar las versiones finales de las cadenas de valor de Hidrocarburos, Energía Eléctrica y Minería.</w:t>
          </w:r>
        </w:p>
        <w:p w:rsidRPr="002C6047" w:rsidR="4E60D266" w:rsidP="4E60D266" w:rsidRDefault="4E60D266" w14:paraId="13D7FCDB" w14:textId="31381237">
          <w:pPr>
            <w:ind w:left="426"/>
            <w:jc w:val="both"/>
            <w:rPr>
              <w:rFonts w:ascii="Nunito Sans" w:hAnsi="Nunito Sans" w:eastAsia="Arial" w:cs="Calibri"/>
              <w:color w:val="000000" w:themeColor="text1"/>
              <w:sz w:val="22"/>
              <w:szCs w:val="22"/>
              <w:lang w:val="es-ES"/>
            </w:rPr>
          </w:pPr>
        </w:p>
        <w:p w:rsidRPr="002C6047" w:rsidR="005E3BD6" w:rsidP="00E000B5" w:rsidRDefault="00E000B5" w14:paraId="7C5B81A3" w14:textId="4B7B61BB">
          <w:pPr>
            <w:pStyle w:val="Ttulo4"/>
          </w:pPr>
          <w:r w:rsidRPr="002C6047">
            <w:t xml:space="preserve">6.1.1.1 </w:t>
          </w:r>
          <w:r w:rsidRPr="002C6047" w:rsidR="005E3BD6">
            <w:t>Cadena de Valor de Hidrocarburos</w:t>
          </w:r>
        </w:p>
        <w:p w:rsidRPr="002C6047" w:rsidR="005E3BD6" w:rsidP="005E3BD6" w:rsidRDefault="005E3BD6" w14:paraId="5D894266" w14:textId="77777777">
          <w:pPr>
            <w:spacing w:before="240" w:after="240"/>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lastRenderedPageBreak/>
            <w:t xml:space="preserve">La cadena de valor de Hidrocarburos organiza de manera integral el proceso mediante el cual se transforman los recursos naturales no renovables —como el petróleo, el gas y los biocombustibles— para el país. Este modelo estructura el ciclo sectorial en cuatro etapas principales: </w:t>
          </w:r>
          <w:r w:rsidRPr="002C6047">
            <w:rPr>
              <w:rFonts w:ascii="Nunito Sans" w:hAnsi="Nunito Sans" w:eastAsia="Arial" w:cs="Calibri"/>
              <w:i/>
              <w:iCs/>
              <w:color w:val="000000" w:themeColor="text1"/>
              <w:sz w:val="22"/>
              <w:szCs w:val="22"/>
              <w:lang w:val="es-ES"/>
            </w:rPr>
            <w:t>lineamientos, administración, operación y comercialización.</w:t>
          </w:r>
        </w:p>
        <w:p w:rsidRPr="002C6047" w:rsidR="005E3BD6" w:rsidP="005E3BD6" w:rsidRDefault="005E3BD6" w14:paraId="27F7B796" w14:textId="43B8A537">
          <w:pPr>
            <w:spacing w:before="240" w:after="240"/>
            <w:jc w:val="both"/>
            <w:rPr>
              <w:rFonts w:ascii="Nunito Sans" w:hAnsi="Nunito Sans" w:eastAsia="Arial" w:cs="Calibri"/>
              <w:color w:val="000000" w:themeColor="text1"/>
              <w:sz w:val="22"/>
              <w:szCs w:val="22"/>
              <w:lang w:val="es-ES"/>
            </w:rPr>
          </w:pPr>
          <w:r w:rsidRPr="002C6047">
            <w:rPr>
              <w:rFonts w:ascii="Nunito Sans" w:hAnsi="Nunito Sans" w:eastAsia="Arial" w:cs="Calibri"/>
              <w:color w:val="000000" w:themeColor="text1"/>
              <w:sz w:val="22"/>
              <w:szCs w:val="22"/>
              <w:lang w:val="es-ES"/>
            </w:rPr>
            <w:t xml:space="preserve">Asimismo, articula las actividades que abarcan desde la formulación, regulación y seguimiento de la política de hidrocarburos; la gestión contractual, técnica, ambiental y económica de los proyectos; hasta las fases operativas de </w:t>
          </w:r>
          <w:r w:rsidRPr="002C6047">
            <w:rPr>
              <w:rFonts w:ascii="Nunito Sans" w:hAnsi="Nunito Sans" w:eastAsia="Arial" w:cs="Calibri"/>
              <w:i/>
              <w:iCs/>
              <w:color w:val="000000" w:themeColor="text1"/>
              <w:sz w:val="22"/>
              <w:szCs w:val="22"/>
              <w:lang w:val="es-ES"/>
            </w:rPr>
            <w:t>exploración y producción (upstream), transporte y almacenamiento (midstream)</w:t>
          </w:r>
          <w:r w:rsidRPr="002C6047">
            <w:rPr>
              <w:rFonts w:ascii="Nunito Sans" w:hAnsi="Nunito Sans" w:eastAsia="Arial" w:cs="Calibri"/>
              <w:color w:val="000000" w:themeColor="text1"/>
              <w:sz w:val="22"/>
              <w:szCs w:val="22"/>
              <w:lang w:val="es-ES"/>
            </w:rPr>
            <w:t xml:space="preserve"> y los procesos de </w:t>
          </w:r>
          <w:r w:rsidRPr="002C6047">
            <w:rPr>
              <w:rFonts w:ascii="Nunito Sans" w:hAnsi="Nunito Sans" w:eastAsia="Arial" w:cs="Calibri"/>
              <w:b/>
              <w:bCs/>
              <w:color w:val="000000" w:themeColor="text1"/>
              <w:sz w:val="22"/>
              <w:szCs w:val="22"/>
              <w:lang w:val="es-ES"/>
            </w:rPr>
            <w:t>r</w:t>
          </w:r>
          <w:r w:rsidRPr="002C6047">
            <w:rPr>
              <w:rFonts w:ascii="Nunito Sans" w:hAnsi="Nunito Sans" w:eastAsia="Arial" w:cs="Calibri"/>
              <w:i/>
              <w:iCs/>
              <w:color w:val="000000" w:themeColor="text1"/>
              <w:sz w:val="22"/>
              <w:szCs w:val="22"/>
              <w:lang w:val="es-ES"/>
            </w:rPr>
            <w:t>efinación, distribución y comercialización (downstream)</w:t>
          </w:r>
          <w:r w:rsidRPr="002C6047">
            <w:rPr>
              <w:rFonts w:ascii="Nunito Sans" w:hAnsi="Nunito Sans" w:eastAsia="Arial" w:cs="Calibri"/>
              <w:color w:val="000000" w:themeColor="text1"/>
              <w:sz w:val="22"/>
              <w:szCs w:val="22"/>
              <w:lang w:val="es-ES"/>
            </w:rPr>
            <w:t>, permitiendo visualizar de manera coherente la interacción entre funciones institucionales y eslabones productivos del sector.</w:t>
          </w:r>
        </w:p>
        <w:p w:rsidRPr="00BA147F" w:rsidR="005E3BD6" w:rsidP="00B322C3" w:rsidRDefault="00B322C3" w14:paraId="21A54ADC" w14:textId="7C5743AC">
          <w:pPr>
            <w:pStyle w:val="Descripcin"/>
            <w:keepNext/>
            <w:jc w:val="center"/>
            <w:rPr>
              <w:rStyle w:val="normaltextrun"/>
              <w:b/>
              <w:bCs/>
              <w:color w:val="212745"/>
              <w:shd w:val="clear" w:color="auto" w:fill="FFFFFF"/>
            </w:rPr>
          </w:pPr>
          <w:bookmarkStart w:name="_Toc220664386" w:id="51"/>
          <w:r w:rsidRPr="00BA147F">
            <w:rPr>
              <w:rStyle w:val="normaltextrun"/>
              <w:rFonts w:ascii="Nunito Sans" w:hAnsi="Nunito Sans"/>
              <w:b/>
              <w:bCs/>
              <w:color w:val="212745"/>
              <w:shd w:val="clear" w:color="auto" w:fill="FFFFFF"/>
            </w:rPr>
            <w:t xml:space="preserve">Ilustración </w:t>
          </w:r>
          <w:r w:rsidRPr="00BA147F">
            <w:rPr>
              <w:rStyle w:val="normaltextrun"/>
              <w:rFonts w:ascii="Nunito Sans" w:hAnsi="Nunito Sans"/>
              <w:b/>
              <w:bCs/>
              <w:color w:val="212745"/>
              <w:shd w:val="clear" w:color="auto" w:fill="FFFFFF"/>
            </w:rPr>
            <w:fldChar w:fldCharType="begin"/>
          </w:r>
          <w:r w:rsidRPr="00BA147F">
            <w:rPr>
              <w:rStyle w:val="normaltextrun"/>
              <w:rFonts w:ascii="Nunito Sans" w:hAnsi="Nunito Sans"/>
              <w:b/>
              <w:bCs/>
              <w:color w:val="212745"/>
              <w:shd w:val="clear" w:color="auto" w:fill="FFFFFF"/>
            </w:rPr>
            <w:instrText xml:space="preserve"> SEQ Ilustración \* ARABIC </w:instrText>
          </w:r>
          <w:r w:rsidRPr="00BA147F">
            <w:rPr>
              <w:rStyle w:val="normaltextrun"/>
              <w:rFonts w:ascii="Nunito Sans" w:hAnsi="Nunito Sans"/>
              <w:b/>
              <w:bCs/>
              <w:color w:val="212745"/>
              <w:shd w:val="clear" w:color="auto" w:fill="FFFFFF"/>
            </w:rPr>
            <w:fldChar w:fldCharType="separate"/>
          </w:r>
          <w:r w:rsidR="00C57F7B">
            <w:rPr>
              <w:rStyle w:val="normaltextrun"/>
              <w:rFonts w:ascii="Nunito Sans" w:hAnsi="Nunito Sans"/>
              <w:b/>
              <w:bCs/>
              <w:noProof/>
              <w:color w:val="212745"/>
              <w:shd w:val="clear" w:color="auto" w:fill="FFFFFF"/>
            </w:rPr>
            <w:t>2</w:t>
          </w:r>
          <w:r w:rsidRPr="00BA147F">
            <w:rPr>
              <w:rStyle w:val="normaltextrun"/>
              <w:rFonts w:ascii="Nunito Sans" w:hAnsi="Nunito Sans"/>
              <w:b/>
              <w:bCs/>
              <w:color w:val="212745"/>
              <w:shd w:val="clear" w:color="auto" w:fill="FFFFFF"/>
            </w:rPr>
            <w:fldChar w:fldCharType="end"/>
          </w:r>
          <w:r w:rsidRPr="00BA147F" w:rsidR="005E3BD6">
            <w:rPr>
              <w:rStyle w:val="normaltextrun"/>
              <w:rFonts w:ascii="Nunito Sans" w:hAnsi="Nunito Sans"/>
              <w:b/>
              <w:bCs/>
              <w:color w:val="212745"/>
              <w:shd w:val="clear" w:color="auto" w:fill="FFFFFF"/>
            </w:rPr>
            <w:t>: Cadena de Valor de Hidrocarburos</w:t>
          </w:r>
          <w:bookmarkEnd w:id="51"/>
        </w:p>
        <w:p w:rsidRPr="00CA4194" w:rsidR="005E3BD6" w:rsidP="005E3BD6" w:rsidRDefault="005E3BD6" w14:paraId="5D358C93" w14:textId="36C204B1">
          <w:pPr>
            <w:jc w:val="center"/>
            <w:rPr>
              <w:rFonts w:ascii="Nunito Sans" w:hAnsi="Nunito Sans" w:cs="Calibri"/>
              <w:color w:val="000000" w:themeColor="text1"/>
              <w:sz w:val="22"/>
              <w:szCs w:val="22"/>
              <w:lang w:val="es-ES"/>
            </w:rPr>
          </w:pPr>
          <w:r w:rsidRPr="00CA4194">
            <w:rPr>
              <w:rFonts w:ascii="Nunito Sans" w:hAnsi="Nunito Sans" w:cs="Calibri"/>
              <w:noProof/>
              <w:sz w:val="22"/>
              <w:szCs w:val="22"/>
            </w:rPr>
            <w:drawing>
              <wp:inline distT="0" distB="0" distL="0" distR="0" wp14:anchorId="53800084" wp14:editId="70A0B053">
                <wp:extent cx="5076825" cy="2515949"/>
                <wp:effectExtent l="0" t="0" r="3175" b="0"/>
                <wp:docPr id="187894772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947722" name="Picture 1878947722"/>
                        <pic:cNvPicPr/>
                      </pic:nvPicPr>
                      <pic:blipFill>
                        <a:blip r:embed="rId81">
                          <a:extLst>
                            <a:ext uri="{28A0092B-C50C-407E-A947-70E740481C1C}">
                              <a14:useLocalDpi xmlns:a14="http://schemas.microsoft.com/office/drawing/2010/main"/>
                            </a:ext>
                          </a:extLst>
                        </a:blip>
                        <a:stretch>
                          <a:fillRect/>
                        </a:stretch>
                      </pic:blipFill>
                      <pic:spPr>
                        <a:xfrm>
                          <a:off x="0" y="0"/>
                          <a:ext cx="5083539" cy="2519276"/>
                        </a:xfrm>
                        <a:prstGeom prst="rect">
                          <a:avLst/>
                        </a:prstGeom>
                      </pic:spPr>
                    </pic:pic>
                  </a:graphicData>
                </a:graphic>
              </wp:inline>
            </w:drawing>
          </w:r>
        </w:p>
        <w:p w:rsidRPr="0038010D" w:rsidR="005E3BD6" w:rsidP="005E3BD6" w:rsidRDefault="005E3BD6" w14:paraId="6A5EC2C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r w:rsidRPr="00CA4194">
            <w:rPr>
              <w:rFonts w:ascii="Nunito Sans" w:hAnsi="Nunito Sans" w:eastAsia="Arial" w:cs="Calibri"/>
              <w:color w:val="E1AF3B"/>
              <w:sz w:val="22"/>
              <w:szCs w:val="22"/>
              <w:lang w:val="es-ES"/>
            </w:rPr>
            <w:t xml:space="preserve"> </w:t>
          </w:r>
        </w:p>
        <w:p w:rsidRPr="00CA4194" w:rsidR="005E3BD6" w:rsidP="00E365E9" w:rsidRDefault="005E3BD6" w14:paraId="50637BA0" w14:textId="1DA70321">
          <w:pPr>
            <w:spacing w:before="240" w:after="240"/>
            <w:jc w:val="both"/>
            <w:rPr>
              <w:rFonts w:ascii="Nunito Sans" w:hAnsi="Nunito Sans" w:eastAsia="Arial" w:cs="Calibri"/>
              <w:color w:val="E1AF3B"/>
              <w:sz w:val="22"/>
              <w:szCs w:val="22"/>
              <w:lang w:val="es-ES"/>
            </w:rPr>
          </w:pPr>
          <w:r w:rsidRPr="00CA4194">
            <w:rPr>
              <w:rFonts w:ascii="Nunito Sans" w:hAnsi="Nunito Sans" w:eastAsia="Arial" w:cs="Calibri"/>
              <w:color w:val="000000" w:themeColor="text1"/>
              <w:sz w:val="22"/>
              <w:szCs w:val="22"/>
              <w:lang w:val="es-ES"/>
            </w:rPr>
            <w:t>Para información adicional se puede consultar en</w:t>
          </w:r>
          <w:r w:rsidR="009F30B8">
            <w:rPr>
              <w:rFonts w:ascii="Nunito Sans" w:hAnsi="Nunito Sans" w:eastAsia="Arial" w:cs="Calibri"/>
              <w:color w:val="000000" w:themeColor="text1"/>
              <w:sz w:val="22"/>
              <w:szCs w:val="22"/>
              <w:lang w:val="es-ES"/>
            </w:rPr>
            <w:t xml:space="preserve"> el</w:t>
          </w:r>
          <w:r w:rsidRPr="00CA4194">
            <w:rPr>
              <w:rFonts w:ascii="Nunito Sans" w:hAnsi="Nunito Sans" w:eastAsia="Arial" w:cs="Calibri"/>
              <w:color w:val="000000" w:themeColor="text1"/>
              <w:sz w:val="22"/>
              <w:szCs w:val="22"/>
              <w:lang w:val="es-ES"/>
            </w:rPr>
            <w:t xml:space="preserve"> </w:t>
          </w:r>
          <w:r w:rsidR="009F30B8">
            <w:rPr>
              <w:rStyle w:val="normaltextrun"/>
              <w:rFonts w:ascii="Nunito Sans" w:hAnsi="Nunito Sans"/>
              <w:color w:val="000000"/>
              <w:sz w:val="22"/>
              <w:szCs w:val="22"/>
              <w:shd w:val="clear" w:color="auto" w:fill="FFFFFF"/>
            </w:rPr>
            <w:t>Anexo </w:t>
          </w:r>
          <w:r w:rsidR="009F30B8">
            <w:rPr>
              <w:rStyle w:val="normaltextrun"/>
              <w:rFonts w:ascii="Nunito Sans" w:hAnsi="Nunito Sans"/>
              <w:sz w:val="22"/>
              <w:szCs w:val="22"/>
              <w:shd w:val="clear" w:color="auto" w:fill="FFFFFF"/>
            </w:rPr>
            <w:t>3</w:t>
          </w:r>
          <w:r w:rsidRPr="005E5B77" w:rsidR="009F30B8">
            <w:rPr>
              <w:rStyle w:val="normaltextrun"/>
              <w:rFonts w:ascii="Nunito Sans" w:hAnsi="Nunito Sans"/>
              <w:color w:val="000000"/>
              <w:sz w:val="22"/>
              <w:szCs w:val="22"/>
              <w:shd w:val="clear" w:color="auto" w:fill="FFFFFF"/>
            </w:rPr>
            <w:t xml:space="preserve"> </w:t>
          </w:r>
          <w:r w:rsidR="009F30B8">
            <w:rPr>
              <w:rStyle w:val="normaltextrun"/>
              <w:rFonts w:ascii="Nunito Sans" w:hAnsi="Nunito Sans"/>
              <w:sz w:val="22"/>
              <w:szCs w:val="22"/>
              <w:shd w:val="clear" w:color="auto" w:fill="FFFFFF"/>
            </w:rPr>
            <w:t>–</w:t>
          </w:r>
          <w:r w:rsidRPr="005E5B77" w:rsidR="009F30B8">
            <w:rPr>
              <w:rStyle w:val="normaltextrun"/>
              <w:rFonts w:ascii="Nunito Sans" w:hAnsi="Nunito Sans"/>
              <w:color w:val="000000"/>
              <w:sz w:val="22"/>
              <w:szCs w:val="22"/>
              <w:shd w:val="clear" w:color="auto" w:fill="FFFFFF"/>
            </w:rPr>
            <w:t xml:space="preserve"> </w:t>
          </w:r>
          <w:r w:rsidR="009F30B8">
            <w:rPr>
              <w:rStyle w:val="normaltextrun"/>
              <w:rFonts w:ascii="Nunito Sans" w:hAnsi="Nunito Sans"/>
              <w:sz w:val="22"/>
              <w:szCs w:val="22"/>
              <w:shd w:val="clear" w:color="auto" w:fill="FFFFFF"/>
            </w:rPr>
            <w:t>Cadena de Valor Hidrocarburos y Anexo 4</w:t>
          </w:r>
          <w:r w:rsidR="007D2F18">
            <w:rPr>
              <w:rStyle w:val="normaltextrun"/>
              <w:rFonts w:ascii="Nunito Sans" w:hAnsi="Nunito Sans"/>
              <w:sz w:val="22"/>
              <w:szCs w:val="22"/>
              <w:shd w:val="clear" w:color="auto" w:fill="FFFFFF"/>
            </w:rPr>
            <w:t xml:space="preserve"> – Ecosistema Hidrocarburos</w:t>
          </w:r>
          <w:r w:rsidR="009F30B8">
            <w:rPr>
              <w:rFonts w:ascii="Nunito Sans" w:hAnsi="Nunito Sans" w:eastAsia="Arial" w:cs="Calibri"/>
              <w:color w:val="000000" w:themeColor="text1"/>
              <w:sz w:val="22"/>
              <w:szCs w:val="22"/>
              <w:lang w:val="es-ES"/>
            </w:rPr>
            <w:t xml:space="preserve"> </w:t>
          </w:r>
        </w:p>
        <w:p w:rsidRPr="00CA4194" w:rsidR="00C46FA2" w:rsidP="007D2F18" w:rsidRDefault="00C46FA2" w14:paraId="73278C09" w14:textId="77777777">
          <w:pPr>
            <w:ind w:left="360" w:hanging="360"/>
            <w:rPr>
              <w:rFonts w:ascii="Nunito Sans" w:hAnsi="Nunito Sans" w:cs="Calibri"/>
              <w:color w:val="000000" w:themeColor="text1"/>
              <w:sz w:val="22"/>
              <w:szCs w:val="22"/>
              <w:lang w:val="es-ES"/>
            </w:rPr>
          </w:pPr>
          <w:bookmarkStart w:name="_Hlk215686315" w:id="52"/>
        </w:p>
        <w:bookmarkEnd w:id="52"/>
        <w:p w:rsidRPr="00C46FA2" w:rsidR="005E3BD6" w:rsidP="00E000B5" w:rsidRDefault="00E000B5" w14:paraId="170F01A0" w14:textId="122DF9A2">
          <w:pPr>
            <w:pStyle w:val="Ttulo4"/>
          </w:pPr>
          <w:r w:rsidRPr="00E000B5">
            <w:t>6.1.1.</w:t>
          </w:r>
          <w:r>
            <w:t>2</w:t>
          </w:r>
          <w:r w:rsidRPr="00E000B5">
            <w:t xml:space="preserve"> </w:t>
          </w:r>
          <w:r w:rsidRPr="00C46FA2" w:rsidR="005E3BD6">
            <w:t>Cadena de Valor de Energía Eléctrica</w:t>
          </w:r>
        </w:p>
        <w:p w:rsidRPr="00997793" w:rsidR="005E3BD6" w:rsidP="005E3BD6" w:rsidRDefault="005E3BD6" w14:paraId="35BE067B" w14:textId="77777777">
          <w:pPr>
            <w:spacing w:before="240" w:after="240"/>
            <w:jc w:val="both"/>
            <w:rPr>
              <w:rFonts w:ascii="Nunito Sans" w:hAnsi="Nunito Sans" w:eastAsiaTheme="minorHAnsi" w:cstheme="minorBidi"/>
              <w:sz w:val="22"/>
              <w:szCs w:val="22"/>
              <w:lang w:eastAsia="en-US"/>
            </w:rPr>
          </w:pPr>
          <w:r w:rsidRPr="00997793">
            <w:rPr>
              <w:rFonts w:ascii="Nunito Sans" w:hAnsi="Nunito Sans" w:eastAsiaTheme="minorHAnsi" w:cstheme="minorBidi"/>
              <w:sz w:val="22"/>
              <w:szCs w:val="22"/>
              <w:lang w:eastAsia="en-US"/>
            </w:rPr>
            <w:t>Por su parte, la cadena de valor de Energía Eléctrica organiza de manera integral el proceso mediante el cual se planifica, produce, transporta, distribuye y gestiona el servicio de energía en el país. Este modelo estructura el ciclo sectorial en cuatro etapas principales: lineamientos, planeación, operación y monitoreo y comercialización.</w:t>
          </w:r>
        </w:p>
        <w:p w:rsidR="005E3BD6" w:rsidP="005E3BD6" w:rsidRDefault="005E3BD6" w14:paraId="1C8BE8CB" w14:textId="58CA6DCA">
          <w:pPr>
            <w:spacing w:before="240" w:after="240"/>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 xml:space="preserve">De manera articulada, integra actividades que incluyen la formulación y regulación de la política energética; la elaboración del Plan Energético Nacional y la planeación territorial, ambiental y de expansión del sistema; así como las fases operativas de </w:t>
          </w:r>
          <w:r w:rsidRPr="00CA4194">
            <w:rPr>
              <w:rFonts w:ascii="Nunito Sans" w:hAnsi="Nunito Sans" w:eastAsia="Arial" w:cs="Calibri"/>
              <w:i/>
              <w:iCs/>
              <w:color w:val="000000" w:themeColor="text1"/>
              <w:sz w:val="22"/>
              <w:szCs w:val="22"/>
              <w:lang w:val="es-ES"/>
            </w:rPr>
            <w:t>generación, transmisión y distribución</w:t>
          </w:r>
          <w:r w:rsidRPr="00CA4194">
            <w:rPr>
              <w:rFonts w:ascii="Nunito Sans" w:hAnsi="Nunito Sans" w:eastAsia="Arial" w:cs="Calibri"/>
              <w:color w:val="000000" w:themeColor="text1"/>
              <w:sz w:val="22"/>
              <w:szCs w:val="22"/>
              <w:lang w:val="es-ES"/>
            </w:rPr>
            <w:t xml:space="preserve">. </w:t>
          </w:r>
          <w:r w:rsidRPr="00CA4194">
            <w:rPr>
              <w:rFonts w:ascii="Nunito Sans" w:hAnsi="Nunito Sans" w:eastAsia="Arial" w:cs="Calibri"/>
              <w:color w:val="000000" w:themeColor="text1"/>
              <w:sz w:val="22"/>
              <w:szCs w:val="22"/>
              <w:lang w:val="es-ES"/>
            </w:rPr>
            <w:lastRenderedPageBreak/>
            <w:t>Finalmente, incorpora las funciones de monitoreo, supervisión, administración de los recursos energéticos y consumo final, permitiendo una representación coherente del funcionamiento del sistema eléctrico y de la interacción entre los actores institucionales que lo soportan</w:t>
          </w:r>
        </w:p>
        <w:p w:rsidRPr="00B322C3" w:rsidR="005E3BD6" w:rsidP="00B322C3" w:rsidRDefault="00B322C3" w14:paraId="3E6E6B6B" w14:textId="5D0F3BBE">
          <w:pPr>
            <w:pStyle w:val="Descripcin"/>
            <w:keepNext/>
            <w:jc w:val="center"/>
            <w:rPr>
              <w:rStyle w:val="normaltextrun"/>
              <w:b/>
              <w:bCs/>
              <w:color w:val="212745"/>
              <w:shd w:val="clear" w:color="auto" w:fill="FFFFFF"/>
            </w:rPr>
          </w:pPr>
          <w:bookmarkStart w:name="_Toc220664387" w:id="53"/>
          <w:r w:rsidRPr="00B322C3">
            <w:rPr>
              <w:rStyle w:val="normaltextrun"/>
              <w:rFonts w:ascii="Nunito Sans" w:hAnsi="Nunito Sans"/>
              <w:b/>
              <w:bCs/>
              <w:color w:val="212745"/>
              <w:shd w:val="clear" w:color="auto" w:fill="FFFFFF"/>
            </w:rPr>
            <w:t xml:space="preserve">Ilustración </w:t>
          </w:r>
          <w:r w:rsidRPr="00B322C3">
            <w:rPr>
              <w:rStyle w:val="normaltextrun"/>
              <w:rFonts w:ascii="Nunito Sans" w:hAnsi="Nunito Sans"/>
              <w:b/>
              <w:bCs/>
              <w:color w:val="212745"/>
              <w:shd w:val="clear" w:color="auto" w:fill="FFFFFF"/>
            </w:rPr>
            <w:fldChar w:fldCharType="begin"/>
          </w:r>
          <w:r w:rsidRPr="00B322C3">
            <w:rPr>
              <w:rStyle w:val="normaltextrun"/>
              <w:rFonts w:ascii="Nunito Sans" w:hAnsi="Nunito Sans"/>
              <w:b/>
              <w:bCs/>
              <w:color w:val="212745"/>
              <w:shd w:val="clear" w:color="auto" w:fill="FFFFFF"/>
            </w:rPr>
            <w:instrText xml:space="preserve"> SEQ Ilustración \* ARABIC </w:instrText>
          </w:r>
          <w:r w:rsidRPr="00B322C3">
            <w:rPr>
              <w:rStyle w:val="normaltextrun"/>
              <w:rFonts w:ascii="Nunito Sans" w:hAnsi="Nunito Sans"/>
              <w:b/>
              <w:bCs/>
              <w:color w:val="212745"/>
              <w:shd w:val="clear" w:color="auto" w:fill="FFFFFF"/>
            </w:rPr>
            <w:fldChar w:fldCharType="separate"/>
          </w:r>
          <w:r w:rsidR="00C57F7B">
            <w:rPr>
              <w:rStyle w:val="normaltextrun"/>
              <w:rFonts w:ascii="Nunito Sans" w:hAnsi="Nunito Sans"/>
              <w:b/>
              <w:bCs/>
              <w:noProof/>
              <w:color w:val="212745"/>
              <w:shd w:val="clear" w:color="auto" w:fill="FFFFFF"/>
            </w:rPr>
            <w:t>3</w:t>
          </w:r>
          <w:r w:rsidRPr="00B322C3">
            <w:rPr>
              <w:rStyle w:val="normaltextrun"/>
              <w:rFonts w:ascii="Nunito Sans" w:hAnsi="Nunito Sans"/>
              <w:b/>
              <w:bCs/>
              <w:color w:val="212745"/>
              <w:shd w:val="clear" w:color="auto" w:fill="FFFFFF"/>
            </w:rPr>
            <w:fldChar w:fldCharType="end"/>
          </w:r>
          <w:r w:rsidRPr="00B322C3" w:rsidR="005E3BD6">
            <w:rPr>
              <w:rStyle w:val="normaltextrun"/>
              <w:rFonts w:ascii="Nunito Sans" w:hAnsi="Nunito Sans"/>
              <w:b/>
              <w:bCs/>
              <w:color w:val="212745"/>
              <w:shd w:val="clear" w:color="auto" w:fill="FFFFFF"/>
            </w:rPr>
            <w:t xml:space="preserve">: </w:t>
          </w:r>
          <w:r w:rsidR="005E3BD6">
            <w:rPr>
              <w:rStyle w:val="normaltextrun"/>
              <w:rFonts w:ascii="Nunito Sans" w:hAnsi="Nunito Sans"/>
              <w:b/>
              <w:bCs/>
              <w:color w:val="212745"/>
              <w:shd w:val="clear" w:color="auto" w:fill="FFFFFF"/>
            </w:rPr>
            <w:t xml:space="preserve">Cadena de Valor de Energía </w:t>
          </w:r>
          <w:r>
            <w:rPr>
              <w:rStyle w:val="normaltextrun"/>
              <w:rFonts w:ascii="Nunito Sans" w:hAnsi="Nunito Sans"/>
              <w:b/>
              <w:bCs/>
              <w:color w:val="212745"/>
              <w:shd w:val="clear" w:color="auto" w:fill="FFFFFF"/>
            </w:rPr>
            <w:t>Eléctrica</w:t>
          </w:r>
          <w:bookmarkEnd w:id="53"/>
        </w:p>
        <w:p w:rsidRPr="00CA4194" w:rsidR="005E3BD6" w:rsidP="005E3BD6" w:rsidRDefault="005E3BD6" w14:paraId="2D1BC023" w14:textId="77777777">
          <w:pPr>
            <w:jc w:val="center"/>
            <w:rPr>
              <w:rFonts w:ascii="Nunito Sans" w:hAnsi="Nunito Sans" w:cs="Calibri"/>
              <w:color w:val="000000" w:themeColor="text1"/>
              <w:sz w:val="22"/>
              <w:szCs w:val="22"/>
              <w:lang w:val="es-ES"/>
            </w:rPr>
          </w:pPr>
          <w:r w:rsidRPr="00CA4194">
            <w:rPr>
              <w:rFonts w:ascii="Nunito Sans" w:hAnsi="Nunito Sans" w:cs="Calibri"/>
              <w:noProof/>
              <w:sz w:val="22"/>
              <w:szCs w:val="22"/>
            </w:rPr>
            <w:drawing>
              <wp:inline distT="0" distB="0" distL="0" distR="0" wp14:anchorId="5F996154" wp14:editId="1A37B30D">
                <wp:extent cx="5079506" cy="2507192"/>
                <wp:effectExtent l="0" t="0" r="635" b="0"/>
                <wp:docPr id="20180456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45621" name="Picture 2018045621"/>
                        <pic:cNvPicPr/>
                      </pic:nvPicPr>
                      <pic:blipFill>
                        <a:blip r:embed="rId82">
                          <a:extLst>
                            <a:ext uri="{28A0092B-C50C-407E-A947-70E740481C1C}">
                              <a14:useLocalDpi xmlns:a14="http://schemas.microsoft.com/office/drawing/2010/main"/>
                            </a:ext>
                          </a:extLst>
                        </a:blip>
                        <a:stretch>
                          <a:fillRect/>
                        </a:stretch>
                      </pic:blipFill>
                      <pic:spPr>
                        <a:xfrm>
                          <a:off x="0" y="0"/>
                          <a:ext cx="5088956" cy="2511856"/>
                        </a:xfrm>
                        <a:prstGeom prst="rect">
                          <a:avLst/>
                        </a:prstGeom>
                      </pic:spPr>
                    </pic:pic>
                  </a:graphicData>
                </a:graphic>
              </wp:inline>
            </w:drawing>
          </w:r>
        </w:p>
        <w:p w:rsidRPr="0038010D" w:rsidR="005E3BD6" w:rsidP="005E3BD6" w:rsidRDefault="005E3BD6" w14:paraId="1CA6D782"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r w:rsidRPr="00CA4194">
            <w:rPr>
              <w:rFonts w:ascii="Nunito Sans" w:hAnsi="Nunito Sans" w:eastAsia="Arial" w:cs="Calibri"/>
              <w:color w:val="E1AF3B"/>
              <w:sz w:val="22"/>
              <w:szCs w:val="22"/>
              <w:lang w:val="es-ES"/>
            </w:rPr>
            <w:t xml:space="preserve"> </w:t>
          </w:r>
        </w:p>
        <w:p w:rsidRPr="005C3EC3" w:rsidR="005E3BD6" w:rsidP="00797279" w:rsidRDefault="006E4222" w14:paraId="357C0389" w14:textId="37F07C35">
          <w:pPr>
            <w:spacing w:before="240" w:after="240"/>
            <w:jc w:val="both"/>
            <w:rPr>
              <w:rFonts w:ascii="Nunito Sans" w:hAnsi="Nunito Sans" w:cs="Calibri"/>
              <w:color w:val="000000" w:themeColor="text1"/>
              <w:sz w:val="22"/>
              <w:szCs w:val="22"/>
              <w:lang w:val="es-ES"/>
            </w:rPr>
          </w:pPr>
          <w:r w:rsidRPr="006E4222">
            <w:rPr>
              <w:rStyle w:val="normaltextrun"/>
              <w:rFonts w:ascii="Nunito Sans" w:hAnsi="Nunito Sans"/>
              <w:sz w:val="22"/>
              <w:szCs w:val="22"/>
              <w:shd w:val="clear" w:color="auto" w:fill="FFFFFF"/>
            </w:rPr>
            <w:t xml:space="preserve">La información complementaria se encuentra disponible en el </w:t>
          </w:r>
          <w:r w:rsidRPr="006E4222" w:rsidR="008518DD">
            <w:rPr>
              <w:rStyle w:val="normaltextrun"/>
              <w:rFonts w:ascii="Nunito Sans" w:hAnsi="Nunito Sans"/>
              <w:sz w:val="22"/>
              <w:szCs w:val="22"/>
              <w:shd w:val="clear" w:color="auto" w:fill="FFFFFF"/>
            </w:rPr>
            <w:t>Anexo</w:t>
          </w:r>
          <w:r w:rsidR="008518DD">
            <w:rPr>
              <w:rStyle w:val="normaltextrun"/>
              <w:rFonts w:ascii="Nunito Sans" w:hAnsi="Nunito Sans"/>
              <w:color w:val="000000"/>
              <w:sz w:val="22"/>
              <w:szCs w:val="22"/>
              <w:shd w:val="clear" w:color="auto" w:fill="FFFFFF"/>
            </w:rPr>
            <w:t> 5</w:t>
          </w:r>
          <w:r w:rsidRPr="005E5B77" w:rsidR="008518DD">
            <w:rPr>
              <w:rStyle w:val="normaltextrun"/>
              <w:rFonts w:ascii="Nunito Sans" w:hAnsi="Nunito Sans"/>
              <w:color w:val="000000"/>
              <w:sz w:val="22"/>
              <w:szCs w:val="22"/>
              <w:shd w:val="clear" w:color="auto" w:fill="FFFFFF"/>
            </w:rPr>
            <w:t xml:space="preserve"> </w:t>
          </w:r>
          <w:r w:rsidR="008518DD">
            <w:rPr>
              <w:rStyle w:val="normaltextrun"/>
              <w:rFonts w:ascii="Nunito Sans" w:hAnsi="Nunito Sans"/>
              <w:sz w:val="22"/>
              <w:szCs w:val="22"/>
              <w:shd w:val="clear" w:color="auto" w:fill="FFFFFF"/>
            </w:rPr>
            <w:t>–</w:t>
          </w:r>
          <w:r w:rsidRPr="005E5B77" w:rsidR="008518DD">
            <w:rPr>
              <w:rStyle w:val="normaltextrun"/>
              <w:rFonts w:ascii="Nunito Sans" w:hAnsi="Nunito Sans"/>
              <w:color w:val="000000"/>
              <w:sz w:val="22"/>
              <w:szCs w:val="22"/>
              <w:shd w:val="clear" w:color="auto" w:fill="FFFFFF"/>
            </w:rPr>
            <w:t xml:space="preserve"> </w:t>
          </w:r>
          <w:r w:rsidR="008518DD">
            <w:rPr>
              <w:rStyle w:val="normaltextrun"/>
              <w:rFonts w:ascii="Nunito Sans" w:hAnsi="Nunito Sans"/>
              <w:sz w:val="22"/>
              <w:szCs w:val="22"/>
              <w:shd w:val="clear" w:color="auto" w:fill="FFFFFF"/>
            </w:rPr>
            <w:t xml:space="preserve">Cadena de Valor </w:t>
          </w:r>
          <w:r w:rsidR="00797279">
            <w:rPr>
              <w:rStyle w:val="normaltextrun"/>
              <w:rFonts w:ascii="Nunito Sans" w:hAnsi="Nunito Sans"/>
              <w:sz w:val="22"/>
              <w:szCs w:val="22"/>
              <w:shd w:val="clear" w:color="auto" w:fill="FFFFFF"/>
            </w:rPr>
            <w:t xml:space="preserve">de Energía </w:t>
          </w:r>
          <w:r w:rsidR="008518DD">
            <w:rPr>
              <w:rStyle w:val="normaltextrun"/>
              <w:rFonts w:ascii="Nunito Sans" w:hAnsi="Nunito Sans"/>
              <w:sz w:val="22"/>
              <w:szCs w:val="22"/>
              <w:shd w:val="clear" w:color="auto" w:fill="FFFFFF"/>
            </w:rPr>
            <w:t xml:space="preserve">y Anexo </w:t>
          </w:r>
          <w:r w:rsidR="00797279">
            <w:rPr>
              <w:rStyle w:val="normaltextrun"/>
              <w:rFonts w:ascii="Nunito Sans" w:hAnsi="Nunito Sans"/>
              <w:sz w:val="22"/>
              <w:szCs w:val="22"/>
              <w:shd w:val="clear" w:color="auto" w:fill="FFFFFF"/>
            </w:rPr>
            <w:t>6</w:t>
          </w:r>
          <w:r w:rsidR="008518DD">
            <w:rPr>
              <w:rStyle w:val="normaltextrun"/>
              <w:rFonts w:ascii="Nunito Sans" w:hAnsi="Nunito Sans"/>
              <w:sz w:val="22"/>
              <w:szCs w:val="22"/>
              <w:shd w:val="clear" w:color="auto" w:fill="FFFFFF"/>
            </w:rPr>
            <w:t xml:space="preserve"> – Ecosistema </w:t>
          </w:r>
          <w:r w:rsidR="00797279">
            <w:rPr>
              <w:rStyle w:val="normaltextrun"/>
              <w:rFonts w:ascii="Nunito Sans" w:hAnsi="Nunito Sans"/>
              <w:sz w:val="22"/>
              <w:szCs w:val="22"/>
              <w:shd w:val="clear" w:color="auto" w:fill="FFFFFF"/>
            </w:rPr>
            <w:t>Energía</w:t>
          </w:r>
        </w:p>
        <w:p w:rsidR="005E3BD6" w:rsidP="005E3BD6" w:rsidRDefault="005E3BD6" w14:paraId="33C70FC7" w14:textId="77777777">
          <w:pPr>
            <w:rPr>
              <w:rFonts w:ascii="Nunito Sans" w:hAnsi="Nunito Sans" w:eastAsia="Arial" w:cs="Calibri"/>
              <w:b/>
              <w:bCs/>
              <w:color w:val="E1AF3B"/>
              <w:sz w:val="22"/>
              <w:szCs w:val="22"/>
              <w:lang w:val="es-ES"/>
            </w:rPr>
          </w:pPr>
        </w:p>
        <w:p w:rsidRPr="00491CD0" w:rsidR="005E3BD6" w:rsidP="00E000B5" w:rsidRDefault="4DEEDCF7" w14:paraId="76B50BF3" w14:textId="0EE25AAB">
          <w:pPr>
            <w:pStyle w:val="Ttulo4"/>
          </w:pPr>
          <w:r>
            <w:t xml:space="preserve">6.1.1.3 Cadena de Valor </w:t>
          </w:r>
          <w:r w:rsidR="74A03D8F">
            <w:t>Minera</w:t>
          </w:r>
          <w:r w:rsidR="6445665B">
            <w:t xml:space="preserve"> </w:t>
          </w:r>
        </w:p>
        <w:p w:rsidRPr="00F13294" w:rsidR="00F13294" w:rsidP="00F13294" w:rsidRDefault="00F13294" w14:paraId="1C71841E" w14:textId="77777777">
          <w:pPr>
            <w:rPr>
              <w:lang w:val="es-ES"/>
            </w:rPr>
          </w:pPr>
        </w:p>
        <w:p w:rsidR="005E3BD6" w:rsidP="005E3BD6" w:rsidRDefault="21B72EA1" w14:paraId="3C9D5F95" w14:textId="59B9DB90">
          <w:pPr>
            <w:jc w:val="both"/>
            <w:rPr>
              <w:rFonts w:ascii="Nunito Sans" w:hAnsi="Nunito Sans" w:eastAsia="Nunito Sans" w:cs="Nunito Sans"/>
              <w:sz w:val="22"/>
              <w:szCs w:val="22"/>
            </w:rPr>
          </w:pPr>
          <w:r w:rsidRPr="4E60D266">
            <w:rPr>
              <w:rFonts w:ascii="Nunito Sans" w:hAnsi="Nunito Sans" w:eastAsia="Nunito Sans" w:cs="Nunito Sans"/>
              <w:sz w:val="22"/>
              <w:szCs w:val="22"/>
            </w:rPr>
            <w:t>Finalmente, la cadena de valor minera organiza de manera integral el proceso mediante el cual se definen los lineamientos, se administran los derechos y condiciones para el desarrollo de la actividad minera, se ejecutan las fases operativas de exploración y explotación, y se gestionan los procesos de comercialización y cierre. Para ello, se estructura en cuatro etapas principales: lineamientos, administración, operación y comercialización, las cuales permiten representar de manera integral el ciclo de la actividad minera.</w:t>
          </w:r>
        </w:p>
        <w:p w:rsidR="00E365E9" w:rsidP="005E3BD6" w:rsidRDefault="00E365E9" w14:paraId="04AB9696" w14:textId="77777777">
          <w:pPr>
            <w:jc w:val="both"/>
          </w:pPr>
        </w:p>
        <w:p w:rsidR="005E3BD6" w:rsidP="005E3BD6" w:rsidRDefault="21B72EA1" w14:paraId="6B666081" w14:textId="317BB1FF">
          <w:pPr>
            <w:jc w:val="both"/>
            <w:rPr>
              <w:rFonts w:ascii="Nunito Sans" w:hAnsi="Nunito Sans" w:eastAsia="Nunito Sans" w:cs="Nunito Sans"/>
              <w:sz w:val="22"/>
              <w:szCs w:val="22"/>
            </w:rPr>
          </w:pPr>
          <w:r w:rsidRPr="4E60D266">
            <w:rPr>
              <w:rFonts w:ascii="Nunito Sans" w:hAnsi="Nunito Sans" w:eastAsia="Nunito Sans" w:cs="Nunito Sans"/>
              <w:sz w:val="22"/>
              <w:szCs w:val="22"/>
            </w:rPr>
            <w:t>La cadena de valor minera organiza el proceso mediante el cual se establecen los lineamientos sectoriales, se gestionan los derechos y requisitos para el desarrollo de la actividad, se ejecutan las fases operativas de exploración y producción, y se adelantan los procesos de comercialización y cierre. Su estructura permite visualizar de manera integrada las actividades, actores y procesos que intervienen a lo largo del ciclo productivo minero.</w:t>
          </w:r>
        </w:p>
        <w:p w:rsidR="00E365E9" w:rsidP="005E3BD6" w:rsidRDefault="00E365E9" w14:paraId="34251A1E" w14:textId="77777777">
          <w:pPr>
            <w:jc w:val="both"/>
          </w:pPr>
        </w:p>
        <w:p w:rsidR="005E3BD6" w:rsidP="005E3BD6" w:rsidRDefault="21B72EA1" w14:paraId="62E5BBAA" w14:textId="351387D4">
          <w:pPr>
            <w:jc w:val="both"/>
          </w:pPr>
          <w:r w:rsidRPr="4E60D266">
            <w:rPr>
              <w:rFonts w:ascii="Nunito Sans" w:hAnsi="Nunito Sans" w:eastAsia="Nunito Sans" w:cs="Nunito Sans"/>
              <w:sz w:val="22"/>
              <w:szCs w:val="22"/>
            </w:rPr>
            <w:t xml:space="preserve">De manera articulada, integra actividades que incluyen la formulación y regulación de la política minera; la planeación estratégica del sector y la definición de lineamientos técnicos, económicos y </w:t>
          </w:r>
          <w:r w:rsidRPr="4E60D266">
            <w:rPr>
              <w:rFonts w:ascii="Nunito Sans" w:hAnsi="Nunito Sans" w:eastAsia="Nunito Sans" w:cs="Nunito Sans"/>
              <w:sz w:val="22"/>
              <w:szCs w:val="22"/>
            </w:rPr>
            <w:lastRenderedPageBreak/>
            <w:t>ambientales; así como la administración de derechos, el licenciamiento, la fiscalización y la gestión socioambiental. En su dimensión operativa, incorpora las fases de prospección, exploración, estimación y reporte de recursos y reservas, construcción y montaje, explotación, beneficio y logística. Finalmente, abarca las funciones de comercialización y de cierre y postcierre minero, permitiendo una representación coherente del funcionamiento del sector, de su ciclo productivo y de la interacción entre los actores institucionales que lo soportan.</w:t>
          </w:r>
        </w:p>
        <w:p w:rsidR="005E3BD6" w:rsidP="005E3BD6" w:rsidRDefault="005E3BD6" w14:paraId="7F86D2B1" w14:textId="7E9971E1">
          <w:pPr>
            <w:jc w:val="both"/>
            <w:rPr>
              <w:rFonts w:ascii="Nunito Sans" w:hAnsi="Nunito Sans" w:eastAsia="Arial" w:cs="Calibri"/>
              <w:color w:val="000000" w:themeColor="text1"/>
              <w:sz w:val="22"/>
              <w:szCs w:val="22"/>
            </w:rPr>
          </w:pPr>
        </w:p>
        <w:p w:rsidRPr="00B322C3" w:rsidR="005E3BD6" w:rsidP="001C5ECA" w:rsidRDefault="16B44CD3" w14:paraId="724DBCDE" w14:textId="35E2039C">
          <w:pPr>
            <w:pStyle w:val="Descripcin"/>
            <w:keepNext/>
            <w:spacing w:after="0"/>
            <w:jc w:val="center"/>
            <w:rPr>
              <w:rStyle w:val="normaltextrun"/>
              <w:b/>
              <w:bCs/>
              <w:color w:val="212745"/>
              <w:shd w:val="clear" w:color="auto" w:fill="FFFFFF"/>
            </w:rPr>
          </w:pPr>
          <w:bookmarkStart w:name="_Toc220664388" w:id="54"/>
          <w:r w:rsidRPr="00B322C3">
            <w:rPr>
              <w:rStyle w:val="normaltextrun"/>
              <w:rFonts w:ascii="Nunito Sans" w:hAnsi="Nunito Sans"/>
              <w:b/>
              <w:bCs/>
              <w:color w:val="212745"/>
              <w:shd w:val="clear" w:color="auto" w:fill="FFFFFF"/>
            </w:rPr>
            <w:t xml:space="preserve">Ilustración </w:t>
          </w:r>
          <w:r w:rsidRPr="00B322C3" w:rsidR="00B322C3">
            <w:rPr>
              <w:rStyle w:val="normaltextrun"/>
              <w:rFonts w:ascii="Nunito Sans" w:hAnsi="Nunito Sans"/>
              <w:b/>
              <w:bCs/>
              <w:color w:val="212745"/>
              <w:shd w:val="clear" w:color="auto" w:fill="FFFFFF"/>
            </w:rPr>
            <w:fldChar w:fldCharType="begin"/>
          </w:r>
          <w:r w:rsidRPr="00B322C3" w:rsidR="00B322C3">
            <w:rPr>
              <w:rStyle w:val="normaltextrun"/>
              <w:rFonts w:ascii="Nunito Sans" w:hAnsi="Nunito Sans"/>
              <w:b/>
              <w:bCs/>
              <w:color w:val="212745"/>
              <w:shd w:val="clear" w:color="auto" w:fill="FFFFFF"/>
            </w:rPr>
            <w:instrText xml:space="preserve"> SEQ Ilustración \* ARABIC </w:instrText>
          </w:r>
          <w:r w:rsidRPr="00B322C3" w:rsidR="00B322C3">
            <w:rPr>
              <w:rStyle w:val="normaltextrun"/>
              <w:rFonts w:ascii="Nunito Sans" w:hAnsi="Nunito Sans"/>
              <w:b/>
              <w:bCs/>
              <w:color w:val="212745"/>
              <w:shd w:val="clear" w:color="auto" w:fill="FFFFFF"/>
            </w:rPr>
            <w:fldChar w:fldCharType="separate"/>
          </w:r>
          <w:r w:rsidR="337D899C">
            <w:rPr>
              <w:rStyle w:val="normaltextrun"/>
              <w:rFonts w:ascii="Nunito Sans" w:hAnsi="Nunito Sans"/>
              <w:b/>
              <w:bCs/>
              <w:noProof/>
              <w:color w:val="212745"/>
              <w:shd w:val="clear" w:color="auto" w:fill="FFFFFF"/>
            </w:rPr>
            <w:t>4</w:t>
          </w:r>
          <w:r w:rsidRPr="00B322C3" w:rsidR="00B322C3">
            <w:rPr>
              <w:rStyle w:val="normaltextrun"/>
              <w:rFonts w:ascii="Nunito Sans" w:hAnsi="Nunito Sans"/>
              <w:b/>
              <w:bCs/>
              <w:color w:val="212745"/>
              <w:shd w:val="clear" w:color="auto" w:fill="FFFFFF"/>
            </w:rPr>
            <w:fldChar w:fldCharType="end"/>
          </w:r>
          <w:r w:rsidRPr="00B322C3" w:rsidR="1F325162">
            <w:rPr>
              <w:rStyle w:val="normaltextrun"/>
              <w:rFonts w:ascii="Nunito Sans" w:hAnsi="Nunito Sans"/>
              <w:b/>
              <w:bCs/>
              <w:color w:val="212745"/>
              <w:shd w:val="clear" w:color="auto" w:fill="FFFFFF"/>
            </w:rPr>
            <w:t xml:space="preserve">: </w:t>
          </w:r>
          <w:r w:rsidR="1F325162">
            <w:rPr>
              <w:rStyle w:val="normaltextrun"/>
              <w:rFonts w:ascii="Nunito Sans" w:hAnsi="Nunito Sans"/>
              <w:b/>
              <w:bCs/>
              <w:color w:val="212745"/>
              <w:shd w:val="clear" w:color="auto" w:fill="FFFFFF"/>
            </w:rPr>
            <w:t>Cadena de Valor de Minería</w:t>
          </w:r>
          <w:bookmarkEnd w:id="54"/>
        </w:p>
        <w:p w:rsidR="005E3BD6" w:rsidP="00E365E9" w:rsidRDefault="02DAB86A" w14:paraId="2B53987F" w14:textId="29A3EBD2">
          <w:pPr>
            <w:pStyle w:val="Prrafodelista"/>
            <w:keepNext/>
            <w:keepLines/>
            <w:spacing w:after="240" w:line="276" w:lineRule="auto"/>
            <w:ind w:left="360"/>
          </w:pPr>
          <w:r>
            <w:rPr>
              <w:noProof/>
            </w:rPr>
            <w:drawing>
              <wp:inline distT="0" distB="0" distL="0" distR="0" wp14:anchorId="5FFEBCEA" wp14:editId="28EDFE4C">
                <wp:extent cx="5701135" cy="3133725"/>
                <wp:effectExtent l="0" t="0" r="0" b="0"/>
                <wp:docPr id="29979865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98657" name="Picture 299798657"/>
                        <pic:cNvPicPr/>
                      </pic:nvPicPr>
                      <pic:blipFill>
                        <a:blip r:embed="rId83">
                          <a:extLst>
                            <a:ext uri="{28A0092B-C50C-407E-A947-70E740481C1C}">
                              <a14:useLocalDpi xmlns:a14="http://schemas.microsoft.com/office/drawing/2010/main"/>
                            </a:ext>
                          </a:extLst>
                        </a:blip>
                        <a:stretch>
                          <a:fillRect/>
                        </a:stretch>
                      </pic:blipFill>
                      <pic:spPr>
                        <a:xfrm>
                          <a:off x="0" y="0"/>
                          <a:ext cx="5701135" cy="3133725"/>
                        </a:xfrm>
                        <a:prstGeom prst="rect">
                          <a:avLst/>
                        </a:prstGeom>
                      </pic:spPr>
                    </pic:pic>
                  </a:graphicData>
                </a:graphic>
              </wp:inline>
            </w:drawing>
          </w:r>
        </w:p>
        <w:p w:rsidRPr="0038010D" w:rsidR="005E3BD6" w:rsidP="005E3BD6" w:rsidRDefault="005E3BD6" w14:paraId="410DFFC0"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A3EB8" w:rsidRDefault="00C22631" w14:paraId="189A2033" w14:textId="71F3B73D">
          <w:pPr>
            <w:spacing w:before="240" w:after="240"/>
            <w:jc w:val="both"/>
            <w:rPr>
              <w:rFonts w:ascii="Nunito Sans" w:hAnsi="Nunito Sans" w:cs="Calibri"/>
              <w:sz w:val="22"/>
              <w:szCs w:val="22"/>
            </w:rPr>
          </w:pPr>
          <w:bookmarkStart w:name="_Hlk215686528" w:id="55"/>
          <w:r w:rsidRPr="00C22631">
            <w:rPr>
              <w:rFonts w:ascii="Nunito Sans" w:hAnsi="Nunito Sans" w:eastAsia="Arial" w:cs="Calibri"/>
              <w:color w:val="000000" w:themeColor="text1"/>
              <w:sz w:val="22"/>
              <w:szCs w:val="22"/>
            </w:rPr>
            <w:t>La información adicional se encuentra consignada en e</w:t>
          </w:r>
          <w:r>
            <w:rPr>
              <w:rFonts w:ascii="Nunito Sans" w:hAnsi="Nunito Sans" w:eastAsia="Arial" w:cs="Calibri"/>
              <w:color w:val="000000" w:themeColor="text1"/>
              <w:sz w:val="22"/>
              <w:szCs w:val="22"/>
            </w:rPr>
            <w:t>l</w:t>
          </w:r>
          <w:r w:rsidRPr="006B5F34" w:rsidR="006B5F34">
            <w:t xml:space="preserve"> </w:t>
          </w:r>
          <w:r w:rsidRPr="006B5F34" w:rsidR="006B5F34">
            <w:rPr>
              <w:rFonts w:ascii="Nunito Sans" w:hAnsi="Nunito Sans" w:eastAsia="Arial" w:cs="Calibri"/>
              <w:color w:val="000000" w:themeColor="text1"/>
              <w:sz w:val="22"/>
              <w:szCs w:val="22"/>
            </w:rPr>
            <w:t xml:space="preserve">Anexo </w:t>
          </w:r>
          <w:r w:rsidR="006B5F34">
            <w:rPr>
              <w:rFonts w:ascii="Nunito Sans" w:hAnsi="Nunito Sans" w:eastAsia="Arial" w:cs="Calibri"/>
              <w:color w:val="000000" w:themeColor="text1"/>
              <w:sz w:val="22"/>
              <w:szCs w:val="22"/>
            </w:rPr>
            <w:t>7</w:t>
          </w:r>
          <w:r w:rsidRPr="006B5F34" w:rsidR="006B5F34">
            <w:rPr>
              <w:rFonts w:ascii="Nunito Sans" w:hAnsi="Nunito Sans" w:eastAsia="Arial" w:cs="Calibri"/>
              <w:color w:val="000000" w:themeColor="text1"/>
              <w:sz w:val="22"/>
              <w:szCs w:val="22"/>
            </w:rPr>
            <w:t xml:space="preserve"> – Cadena de Valor de </w:t>
          </w:r>
          <w:r w:rsidR="006B5F34">
            <w:rPr>
              <w:rFonts w:ascii="Nunito Sans" w:hAnsi="Nunito Sans" w:eastAsia="Arial" w:cs="Calibri"/>
              <w:color w:val="000000" w:themeColor="text1"/>
              <w:sz w:val="22"/>
              <w:szCs w:val="22"/>
            </w:rPr>
            <w:t xml:space="preserve">Minería y </w:t>
          </w:r>
          <w:r w:rsidRPr="006B5F34" w:rsidR="006B5F34">
            <w:rPr>
              <w:rFonts w:ascii="Nunito Sans" w:hAnsi="Nunito Sans" w:eastAsia="Arial" w:cs="Calibri"/>
              <w:color w:val="000000" w:themeColor="text1"/>
              <w:sz w:val="22"/>
              <w:szCs w:val="22"/>
            </w:rPr>
            <w:t xml:space="preserve">Anexo </w:t>
          </w:r>
          <w:r w:rsidR="006B5F34">
            <w:rPr>
              <w:rFonts w:ascii="Nunito Sans" w:hAnsi="Nunito Sans" w:eastAsia="Arial" w:cs="Calibri"/>
              <w:color w:val="000000" w:themeColor="text1"/>
              <w:sz w:val="22"/>
              <w:szCs w:val="22"/>
            </w:rPr>
            <w:t>8</w:t>
          </w:r>
          <w:r w:rsidRPr="006B5F34" w:rsidR="006B5F34">
            <w:rPr>
              <w:rFonts w:ascii="Nunito Sans" w:hAnsi="Nunito Sans" w:eastAsia="Arial" w:cs="Calibri"/>
              <w:color w:val="000000" w:themeColor="text1"/>
              <w:sz w:val="22"/>
              <w:szCs w:val="22"/>
            </w:rPr>
            <w:t xml:space="preserve"> – Ecosistema </w:t>
          </w:r>
          <w:r w:rsidR="006B5F34">
            <w:rPr>
              <w:rFonts w:ascii="Nunito Sans" w:hAnsi="Nunito Sans" w:eastAsia="Arial" w:cs="Calibri"/>
              <w:color w:val="000000" w:themeColor="text1"/>
              <w:sz w:val="22"/>
              <w:szCs w:val="22"/>
            </w:rPr>
            <w:t>Minería</w:t>
          </w:r>
          <w:r>
            <w:rPr>
              <w:rFonts w:ascii="Nunito Sans" w:hAnsi="Nunito Sans" w:eastAsia="Arial" w:cs="Calibri"/>
              <w:color w:val="000000" w:themeColor="text1"/>
              <w:sz w:val="22"/>
              <w:szCs w:val="22"/>
            </w:rPr>
            <w:t xml:space="preserve"> </w:t>
          </w:r>
          <w:r w:rsidRPr="00CA4194" w:rsidR="005E3BD6">
            <w:rPr>
              <w:rFonts w:ascii="Nunito Sans" w:hAnsi="Nunito Sans" w:eastAsia="Arial" w:cs="Calibri"/>
              <w:color w:val="E1AF3B"/>
              <w:sz w:val="22"/>
              <w:szCs w:val="22"/>
              <w:lang w:val="es-ES"/>
            </w:rPr>
            <w:t xml:space="preserve"> </w:t>
          </w:r>
          <w:bookmarkEnd w:id="55"/>
        </w:p>
        <w:p w:rsidRPr="00491CD0" w:rsidR="00886A61" w:rsidRDefault="005E3BD6" w14:paraId="0427166C" w14:textId="68EE1214">
          <w:pPr>
            <w:pStyle w:val="Ttulo3"/>
            <w:keepNext/>
            <w:keepLines/>
            <w:numPr>
              <w:ilvl w:val="2"/>
              <w:numId w:val="34"/>
            </w:numPr>
            <w:spacing w:before="40" w:after="240" w:line="276" w:lineRule="auto"/>
            <w:ind w:left="0" w:firstLine="0"/>
            <w:rPr>
              <w:rFonts w:eastAsiaTheme="majorEastAsia" w:cstheme="majorBidi"/>
              <w:bCs w:val="0"/>
              <w:i/>
              <w:iCs w:val="0"/>
              <w:szCs w:val="26"/>
              <w:lang w:val="es-CO" w:eastAsia="en-US"/>
            </w:rPr>
          </w:pPr>
          <w:bookmarkStart w:name="_Toc1048700019" w:id="56"/>
          <w:bookmarkStart w:name="_Toc234234452" w:id="57"/>
          <w:r w:rsidRPr="00491CD0">
            <w:rPr>
              <w:rFonts w:eastAsiaTheme="majorEastAsia" w:cstheme="majorBidi"/>
              <w:bCs w:val="0"/>
              <w:iCs w:val="0"/>
              <w:szCs w:val="26"/>
              <w:lang w:val="es-CO" w:eastAsia="en-US"/>
            </w:rPr>
            <w:t>Trámites y servicios Sectoriales</w:t>
          </w:r>
          <w:bookmarkEnd w:id="56"/>
          <w:bookmarkEnd w:id="57"/>
        </w:p>
        <w:p w:rsidRPr="00CA4194" w:rsidR="005E3BD6" w:rsidP="005E3BD6" w:rsidRDefault="005E3BD6" w14:paraId="71AE09D3"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 xml:space="preserve">Los noventa y nueve (99) trámites, servicios y OPAS identificados </w:t>
          </w:r>
          <w:r>
            <w:rPr>
              <w:rFonts w:ascii="Nunito Sans" w:hAnsi="Nunito Sans" w:eastAsia="Arial" w:cs="Calibri"/>
              <w:color w:val="000000" w:themeColor="text1"/>
              <w:sz w:val="22"/>
              <w:szCs w:val="22"/>
              <w:lang w:val="es-ES"/>
            </w:rPr>
            <w:t xml:space="preserve">asociados a las cadenas de valor </w:t>
          </w:r>
          <w:r w:rsidRPr="00CA4194">
            <w:rPr>
              <w:rFonts w:ascii="Nunito Sans" w:hAnsi="Nunito Sans" w:eastAsia="Arial" w:cs="Calibri"/>
              <w:color w:val="000000" w:themeColor="text1"/>
              <w:sz w:val="22"/>
              <w:szCs w:val="22"/>
              <w:lang w:val="es-ES"/>
            </w:rPr>
            <w:t>para las entidades del sector (MME, ANH, ANM, SGC, UPME, IPSE y CREG) fueron obtenidos mediante un proceso de levantamiento y revisión exhaustiva de la información disponible en la plataforma SUIT y contrastados con la información publicada en GOV.CO, con el propósito de asegurar precisión, consistencia y cobertura:</w:t>
          </w:r>
        </w:p>
        <w:p w:rsidR="005E3BD6" w:rsidP="005E3BD6" w:rsidRDefault="005E3BD6" w14:paraId="3CBBDD90" w14:textId="77777777">
          <w:pPr>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 xml:space="preserve"> </w:t>
          </w:r>
        </w:p>
        <w:p w:rsidRPr="008B176D" w:rsidR="005E3BD6" w:rsidP="005E3BD6" w:rsidRDefault="00B322C3" w14:paraId="0E2FA52C" w14:textId="38C791FF">
          <w:pPr>
            <w:ind w:left="360" w:hanging="360"/>
            <w:jc w:val="center"/>
            <w:rPr>
              <w:rFonts w:ascii="Nunito Sans" w:hAnsi="Nunito Sans" w:cs="Calibri"/>
              <w:b/>
              <w:bCs/>
              <w:sz w:val="18"/>
              <w:szCs w:val="18"/>
            </w:rPr>
          </w:pPr>
          <w:bookmarkStart w:name="_Toc220664182" w:id="58"/>
          <w:r w:rsidRPr="00B322C3">
            <w:rPr>
              <w:rFonts w:ascii="Nunito Sans" w:hAnsi="Nunito Sans" w:cs="Calibri"/>
              <w:b/>
              <w:bCs/>
              <w:sz w:val="18"/>
              <w:szCs w:val="18"/>
            </w:rPr>
            <w:t xml:space="preserve">Tabla </w:t>
          </w:r>
          <w:r w:rsidRPr="00B322C3">
            <w:rPr>
              <w:rFonts w:ascii="Nunito Sans" w:hAnsi="Nunito Sans" w:cs="Calibri"/>
              <w:b/>
              <w:bCs/>
              <w:sz w:val="18"/>
              <w:szCs w:val="18"/>
            </w:rPr>
            <w:fldChar w:fldCharType="begin"/>
          </w:r>
          <w:r w:rsidRPr="00B322C3">
            <w:rPr>
              <w:rFonts w:ascii="Nunito Sans" w:hAnsi="Nunito Sans" w:cs="Calibri"/>
              <w:b/>
              <w:bCs/>
              <w:sz w:val="18"/>
              <w:szCs w:val="18"/>
            </w:rPr>
            <w:instrText xml:space="preserve"> SEQ Tabla \* ARABIC </w:instrText>
          </w:r>
          <w:r w:rsidRPr="00B322C3">
            <w:rPr>
              <w:rFonts w:ascii="Nunito Sans" w:hAnsi="Nunito Sans" w:cs="Calibri"/>
              <w:b/>
              <w:bCs/>
              <w:sz w:val="18"/>
              <w:szCs w:val="18"/>
            </w:rPr>
            <w:fldChar w:fldCharType="separate"/>
          </w:r>
          <w:r w:rsidR="00C57F7B">
            <w:rPr>
              <w:rFonts w:ascii="Nunito Sans" w:hAnsi="Nunito Sans" w:cs="Calibri"/>
              <w:b/>
              <w:bCs/>
              <w:noProof/>
              <w:sz w:val="18"/>
              <w:szCs w:val="18"/>
            </w:rPr>
            <w:t>11</w:t>
          </w:r>
          <w:r w:rsidRPr="00B322C3">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Tramites y Servicios del Sector</w:t>
          </w:r>
          <w:bookmarkEnd w:id="58"/>
        </w:p>
        <w:tbl>
          <w:tblPr>
            <w:tblW w:w="9351"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CellMar>
              <w:left w:w="70" w:type="dxa"/>
              <w:right w:w="70" w:type="dxa"/>
            </w:tblCellMar>
            <w:tblLook w:val="04A0" w:firstRow="1" w:lastRow="0" w:firstColumn="1" w:lastColumn="0" w:noHBand="0" w:noVBand="1"/>
          </w:tblPr>
          <w:tblGrid>
            <w:gridCol w:w="420"/>
            <w:gridCol w:w="993"/>
            <w:gridCol w:w="6237"/>
            <w:gridCol w:w="1701"/>
          </w:tblGrid>
          <w:tr w:rsidRPr="00CA4194" w:rsidR="005E3BD6" w:rsidTr="00186045" w14:paraId="0DAC6E91" w14:textId="77777777">
            <w:trPr>
              <w:trHeight w:val="683"/>
            </w:trPr>
            <w:tc>
              <w:tcPr>
                <w:tcW w:w="42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3D3358" w:rsidR="005E3BD6" w:rsidP="00B4771C" w:rsidRDefault="005E3BD6" w14:paraId="54E043E1" w14:textId="77777777">
                <w:pPr>
                  <w:jc w:val="center"/>
                  <w:rPr>
                    <w:rFonts w:ascii="Nunito Sans" w:hAnsi="Nunito Sans" w:cs="Calibri"/>
                    <w:b/>
                    <w:bCs/>
                    <w:color w:val="FFFFFF"/>
                    <w:sz w:val="18"/>
                    <w:szCs w:val="18"/>
                  </w:rPr>
                </w:pPr>
                <w:r w:rsidRPr="003D3358">
                  <w:rPr>
                    <w:rFonts w:ascii="Nunito Sans" w:hAnsi="Nunito Sans" w:cs="Calibri"/>
                    <w:b/>
                    <w:bCs/>
                    <w:color w:val="FFFFFF"/>
                    <w:sz w:val="18"/>
                    <w:szCs w:val="18"/>
                  </w:rPr>
                  <w:t>ID</w:t>
                </w:r>
              </w:p>
            </w:tc>
            <w:tc>
              <w:tcPr>
                <w:tcW w:w="9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3D3358" w:rsidR="005E3BD6" w:rsidP="00B4771C" w:rsidRDefault="005E3BD6" w14:paraId="3A98DFBD" w14:textId="77777777">
                <w:pPr>
                  <w:jc w:val="center"/>
                  <w:rPr>
                    <w:rFonts w:ascii="Nunito Sans" w:hAnsi="Nunito Sans" w:cs="Calibri"/>
                    <w:b/>
                    <w:bCs/>
                    <w:color w:val="FFFFFF"/>
                    <w:sz w:val="18"/>
                    <w:szCs w:val="18"/>
                  </w:rPr>
                </w:pPr>
                <w:r w:rsidRPr="003D3358">
                  <w:rPr>
                    <w:rFonts w:ascii="Nunito Sans" w:hAnsi="Nunito Sans" w:cs="Calibri"/>
                    <w:b/>
                    <w:bCs/>
                    <w:color w:val="FFFFFF"/>
                    <w:sz w:val="18"/>
                    <w:szCs w:val="18"/>
                  </w:rPr>
                  <w:t>ENTIDAD</w:t>
                </w:r>
              </w:p>
            </w:tc>
            <w:tc>
              <w:tcPr>
                <w:tcW w:w="623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3D3358" w:rsidR="005E3BD6" w:rsidP="00B4771C" w:rsidRDefault="005E3BD6" w14:paraId="15CC16B3" w14:textId="77777777">
                <w:pPr>
                  <w:jc w:val="center"/>
                  <w:rPr>
                    <w:rFonts w:ascii="Nunito Sans" w:hAnsi="Nunito Sans" w:cs="Calibri"/>
                    <w:b/>
                    <w:bCs/>
                    <w:color w:val="FFFFFF"/>
                    <w:sz w:val="18"/>
                    <w:szCs w:val="18"/>
                  </w:rPr>
                </w:pPr>
                <w:r w:rsidRPr="003D3358">
                  <w:rPr>
                    <w:rFonts w:ascii="Nunito Sans" w:hAnsi="Nunito Sans" w:cs="Calibri"/>
                    <w:b/>
                    <w:bCs/>
                    <w:color w:val="FFFFFF"/>
                    <w:sz w:val="18"/>
                    <w:szCs w:val="18"/>
                  </w:rPr>
                  <w:t>NOMBRE</w:t>
                </w:r>
              </w:p>
            </w:tc>
            <w:tc>
              <w:tcPr>
                <w:tcW w:w="17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3D3358" w:rsidR="005E3BD6" w:rsidP="00B4771C" w:rsidRDefault="005E3BD6" w14:paraId="518F9DFA" w14:textId="77777777">
                <w:pPr>
                  <w:jc w:val="center"/>
                  <w:rPr>
                    <w:rFonts w:ascii="Nunito Sans" w:hAnsi="Nunito Sans" w:cs="Calibri"/>
                    <w:b/>
                    <w:bCs/>
                    <w:color w:val="FFFFFF"/>
                    <w:sz w:val="18"/>
                    <w:szCs w:val="18"/>
                  </w:rPr>
                </w:pPr>
                <w:r w:rsidRPr="003D3358">
                  <w:rPr>
                    <w:rFonts w:ascii="Nunito Sans" w:hAnsi="Nunito Sans" w:cs="Calibri"/>
                    <w:b/>
                    <w:bCs/>
                    <w:color w:val="FFFFFF"/>
                    <w:sz w:val="18"/>
                    <w:szCs w:val="18"/>
                  </w:rPr>
                  <w:t>TRAMITE / SERVICIO / OPA</w:t>
                </w:r>
              </w:p>
            </w:tc>
          </w:tr>
          <w:tr w:rsidRPr="00CA4194" w:rsidR="005E3BD6" w:rsidTr="00186045" w14:paraId="5913FD5C" w14:textId="77777777">
            <w:trPr>
              <w:trHeight w:val="720"/>
            </w:trPr>
            <w:tc>
              <w:tcPr>
                <w:tcW w:w="420" w:type="dxa"/>
                <w:tcBorders>
                  <w:top w:val="single" w:color="FFFFFF" w:themeColor="background1" w:sz="4" w:space="0"/>
                </w:tcBorders>
                <w:vAlign w:val="center"/>
                <w:hideMark/>
              </w:tcPr>
              <w:p w:rsidRPr="003D3358" w:rsidR="005E3BD6" w:rsidP="00B4771C" w:rsidRDefault="005E3BD6" w14:paraId="2B1A75FC" w14:textId="77777777">
                <w:pPr>
                  <w:rPr>
                    <w:rFonts w:ascii="Nunito Sans" w:hAnsi="Nunito Sans" w:cs="Calibri"/>
                    <w:color w:val="000000"/>
                    <w:sz w:val="18"/>
                    <w:szCs w:val="18"/>
                  </w:rPr>
                </w:pPr>
                <w:r w:rsidRPr="003D3358">
                  <w:rPr>
                    <w:rFonts w:ascii="Nunito Sans" w:hAnsi="Nunito Sans" w:cs="Calibri"/>
                    <w:color w:val="000000"/>
                    <w:sz w:val="18"/>
                    <w:szCs w:val="18"/>
                  </w:rPr>
                  <w:lastRenderedPageBreak/>
                  <w:t>1</w:t>
                </w:r>
              </w:p>
            </w:tc>
            <w:tc>
              <w:tcPr>
                <w:tcW w:w="993" w:type="dxa"/>
                <w:tcBorders>
                  <w:top w:val="single" w:color="FFFFFF" w:themeColor="background1" w:sz="4" w:space="0"/>
                </w:tcBorders>
                <w:vAlign w:val="center"/>
                <w:hideMark/>
              </w:tcPr>
              <w:p w:rsidRPr="003D3358" w:rsidR="005E3BD6" w:rsidP="00B4771C" w:rsidRDefault="005E3BD6" w14:paraId="312D1F1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tcBorders>
                  <w:top w:val="single" w:color="FFFFFF" w:themeColor="background1" w:sz="4" w:space="0"/>
                </w:tcBorders>
                <w:shd w:val="clear" w:color="auto" w:fill="FFFFFF" w:themeFill="background1"/>
                <w:vAlign w:val="center"/>
                <w:hideMark/>
              </w:tcPr>
              <w:p w:rsidRPr="003D3358" w:rsidR="005E3BD6" w:rsidP="00B4771C" w:rsidRDefault="005E3BD6" w14:paraId="2B0D6C79" w14:textId="77777777">
                <w:pPr>
                  <w:rPr>
                    <w:rFonts w:ascii="Nunito Sans" w:hAnsi="Nunito Sans" w:cs="Calibri"/>
                    <w:color w:val="000000"/>
                    <w:sz w:val="18"/>
                    <w:szCs w:val="18"/>
                  </w:rPr>
                </w:pPr>
                <w:r w:rsidRPr="003D3358">
                  <w:rPr>
                    <w:rFonts w:ascii="Nunito Sans" w:hAnsi="Nunito Sans" w:cs="Calibri"/>
                    <w:color w:val="000000"/>
                    <w:sz w:val="18"/>
                    <w:szCs w:val="18"/>
                  </w:rPr>
                  <w:t>Declaración de utilidad pública de áreas destinadas a proyectos de generación, transmisión y distribución de energía eléctrica</w:t>
                </w:r>
              </w:p>
            </w:tc>
            <w:tc>
              <w:tcPr>
                <w:tcW w:w="1701" w:type="dxa"/>
                <w:tcBorders>
                  <w:top w:val="single" w:color="FFFFFF" w:themeColor="background1" w:sz="4" w:space="0"/>
                </w:tcBorders>
                <w:shd w:val="clear" w:color="auto" w:fill="FFFFFF" w:themeFill="background1"/>
                <w:vAlign w:val="center"/>
                <w:hideMark/>
              </w:tcPr>
              <w:p w:rsidRPr="003D3358" w:rsidR="005E3BD6" w:rsidP="00B4771C" w:rsidRDefault="005E3BD6" w14:paraId="3D07389F"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403E6C2" w14:textId="77777777">
            <w:trPr>
              <w:trHeight w:val="720"/>
            </w:trPr>
            <w:tc>
              <w:tcPr>
                <w:tcW w:w="420" w:type="dxa"/>
                <w:vAlign w:val="center"/>
                <w:hideMark/>
              </w:tcPr>
              <w:p w:rsidRPr="003D3358" w:rsidR="005E3BD6" w:rsidP="00B4771C" w:rsidRDefault="005E3BD6" w14:paraId="6EEB84D7" w14:textId="77777777">
                <w:pPr>
                  <w:rPr>
                    <w:rFonts w:ascii="Nunito Sans" w:hAnsi="Nunito Sans" w:cs="Calibri"/>
                    <w:color w:val="000000"/>
                    <w:sz w:val="18"/>
                    <w:szCs w:val="18"/>
                  </w:rPr>
                </w:pPr>
                <w:r w:rsidRPr="003D3358">
                  <w:rPr>
                    <w:rFonts w:ascii="Nunito Sans" w:hAnsi="Nunito Sans" w:cs="Calibri"/>
                    <w:color w:val="000000"/>
                    <w:sz w:val="18"/>
                    <w:szCs w:val="18"/>
                  </w:rPr>
                  <w:t>2</w:t>
                </w:r>
              </w:p>
            </w:tc>
            <w:tc>
              <w:tcPr>
                <w:tcW w:w="993" w:type="dxa"/>
                <w:vAlign w:val="center"/>
                <w:hideMark/>
              </w:tcPr>
              <w:p w:rsidRPr="003D3358" w:rsidR="005E3BD6" w:rsidP="00B4771C" w:rsidRDefault="005E3BD6" w14:paraId="5C5424D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3153161" w14:textId="77777777">
                <w:pPr>
                  <w:rPr>
                    <w:rFonts w:ascii="Nunito Sans" w:hAnsi="Nunito Sans" w:cs="Calibri"/>
                    <w:color w:val="000000"/>
                    <w:sz w:val="18"/>
                    <w:szCs w:val="18"/>
                  </w:rPr>
                </w:pPr>
                <w:r w:rsidRPr="003D3358">
                  <w:rPr>
                    <w:rFonts w:ascii="Nunito Sans" w:hAnsi="Nunito Sans" w:cs="Calibri"/>
                    <w:color w:val="000000"/>
                    <w:sz w:val="18"/>
                    <w:szCs w:val="18"/>
                  </w:rPr>
                  <w:t>Fijar la proporción en que debe distribuirse el impuesto de industria y comercio entre los municipios afectados por la construcción de centrales de generación eléctrica</w:t>
                </w:r>
              </w:p>
            </w:tc>
            <w:tc>
              <w:tcPr>
                <w:tcW w:w="1701" w:type="dxa"/>
                <w:shd w:val="clear" w:color="auto" w:fill="FFFFFF" w:themeFill="background1"/>
                <w:vAlign w:val="center"/>
                <w:hideMark/>
              </w:tcPr>
              <w:p w:rsidRPr="003D3358" w:rsidR="005E3BD6" w:rsidP="00B4771C" w:rsidRDefault="005E3BD6" w14:paraId="7F142CB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A3B0A9E" w14:textId="77777777">
            <w:trPr>
              <w:trHeight w:val="480"/>
            </w:trPr>
            <w:tc>
              <w:tcPr>
                <w:tcW w:w="420" w:type="dxa"/>
                <w:vAlign w:val="center"/>
                <w:hideMark/>
              </w:tcPr>
              <w:p w:rsidRPr="003D3358" w:rsidR="005E3BD6" w:rsidP="00B4771C" w:rsidRDefault="005E3BD6" w14:paraId="64B87392" w14:textId="77777777">
                <w:pPr>
                  <w:rPr>
                    <w:rFonts w:ascii="Nunito Sans" w:hAnsi="Nunito Sans" w:cs="Calibri"/>
                    <w:color w:val="000000"/>
                    <w:sz w:val="18"/>
                    <w:szCs w:val="18"/>
                  </w:rPr>
                </w:pPr>
                <w:r w:rsidRPr="003D3358">
                  <w:rPr>
                    <w:rFonts w:ascii="Nunito Sans" w:hAnsi="Nunito Sans" w:cs="Calibri"/>
                    <w:color w:val="000000"/>
                    <w:sz w:val="18"/>
                    <w:szCs w:val="18"/>
                  </w:rPr>
                  <w:t>3</w:t>
                </w:r>
              </w:p>
            </w:tc>
            <w:tc>
              <w:tcPr>
                <w:tcW w:w="993" w:type="dxa"/>
                <w:vAlign w:val="center"/>
                <w:hideMark/>
              </w:tcPr>
              <w:p w:rsidRPr="003D3358" w:rsidR="005E3BD6" w:rsidP="00B4771C" w:rsidRDefault="005E3BD6" w14:paraId="133692B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FA82950" w14:textId="77777777">
                <w:pPr>
                  <w:rPr>
                    <w:rFonts w:ascii="Nunito Sans" w:hAnsi="Nunito Sans" w:cs="Calibri"/>
                    <w:color w:val="000000"/>
                    <w:sz w:val="18"/>
                    <w:szCs w:val="18"/>
                  </w:rPr>
                </w:pPr>
                <w:r w:rsidRPr="003D3358">
                  <w:rPr>
                    <w:rFonts w:ascii="Nunito Sans" w:hAnsi="Nunito Sans" w:cs="Calibri"/>
                    <w:color w:val="000000"/>
                    <w:sz w:val="18"/>
                    <w:szCs w:val="18"/>
                  </w:rPr>
                  <w:t>Fijación de capacidad instalada y fecha de entrada en operación comercial de una central de generación eléctrica</w:t>
                </w:r>
              </w:p>
            </w:tc>
            <w:tc>
              <w:tcPr>
                <w:tcW w:w="1701" w:type="dxa"/>
                <w:shd w:val="clear" w:color="auto" w:fill="FFFFFF" w:themeFill="background1"/>
                <w:vAlign w:val="center"/>
                <w:hideMark/>
              </w:tcPr>
              <w:p w:rsidRPr="003D3358" w:rsidR="005E3BD6" w:rsidP="00B4771C" w:rsidRDefault="005E3BD6" w14:paraId="6145B4EE"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0C74370" w14:textId="77777777">
            <w:trPr>
              <w:trHeight w:val="240"/>
            </w:trPr>
            <w:tc>
              <w:tcPr>
                <w:tcW w:w="420" w:type="dxa"/>
                <w:vAlign w:val="center"/>
                <w:hideMark/>
              </w:tcPr>
              <w:p w:rsidRPr="003D3358" w:rsidR="005E3BD6" w:rsidP="00B4771C" w:rsidRDefault="005E3BD6" w14:paraId="5613286A" w14:textId="77777777">
                <w:pPr>
                  <w:rPr>
                    <w:rFonts w:ascii="Nunito Sans" w:hAnsi="Nunito Sans" w:cs="Calibri"/>
                    <w:color w:val="000000"/>
                    <w:sz w:val="18"/>
                    <w:szCs w:val="18"/>
                  </w:rPr>
                </w:pPr>
                <w:r w:rsidRPr="003D3358">
                  <w:rPr>
                    <w:rFonts w:ascii="Nunito Sans" w:hAnsi="Nunito Sans" w:cs="Calibri"/>
                    <w:color w:val="000000"/>
                    <w:sz w:val="18"/>
                    <w:szCs w:val="18"/>
                  </w:rPr>
                  <w:t>4</w:t>
                </w:r>
              </w:p>
            </w:tc>
            <w:tc>
              <w:tcPr>
                <w:tcW w:w="993" w:type="dxa"/>
                <w:vAlign w:val="center"/>
                <w:hideMark/>
              </w:tcPr>
              <w:p w:rsidRPr="003D3358" w:rsidR="005E3BD6" w:rsidP="00B4771C" w:rsidRDefault="005E3BD6" w14:paraId="38023C41"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8CE69F9" w14:textId="77777777">
                <w:pPr>
                  <w:rPr>
                    <w:rFonts w:ascii="Nunito Sans" w:hAnsi="Nunito Sans" w:cs="Calibri"/>
                    <w:color w:val="000000"/>
                    <w:sz w:val="18"/>
                    <w:szCs w:val="18"/>
                  </w:rPr>
                </w:pPr>
                <w:r w:rsidRPr="003D3358">
                  <w:rPr>
                    <w:rFonts w:ascii="Nunito Sans" w:hAnsi="Nunito Sans" w:cs="Calibri"/>
                    <w:color w:val="000000"/>
                    <w:sz w:val="18"/>
                    <w:szCs w:val="18"/>
                  </w:rPr>
                  <w:t>Registro como productor de alcohol carburante</w:t>
                </w:r>
              </w:p>
            </w:tc>
            <w:tc>
              <w:tcPr>
                <w:tcW w:w="1701" w:type="dxa"/>
                <w:shd w:val="clear" w:color="auto" w:fill="FFFFFF" w:themeFill="background1"/>
                <w:vAlign w:val="center"/>
                <w:hideMark/>
              </w:tcPr>
              <w:p w:rsidRPr="003D3358" w:rsidR="005E3BD6" w:rsidP="00B4771C" w:rsidRDefault="005E3BD6" w14:paraId="31C43F9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3E2E63B" w14:textId="77777777">
            <w:trPr>
              <w:trHeight w:val="720"/>
            </w:trPr>
            <w:tc>
              <w:tcPr>
                <w:tcW w:w="420" w:type="dxa"/>
                <w:vAlign w:val="center"/>
                <w:hideMark/>
              </w:tcPr>
              <w:p w:rsidRPr="003D3358" w:rsidR="005E3BD6" w:rsidP="00B4771C" w:rsidRDefault="005E3BD6" w14:paraId="07730E83" w14:textId="77777777">
                <w:pPr>
                  <w:rPr>
                    <w:rFonts w:ascii="Nunito Sans" w:hAnsi="Nunito Sans" w:cs="Calibri"/>
                    <w:color w:val="000000"/>
                    <w:sz w:val="18"/>
                    <w:szCs w:val="18"/>
                  </w:rPr>
                </w:pPr>
                <w:r w:rsidRPr="003D3358">
                  <w:rPr>
                    <w:rFonts w:ascii="Nunito Sans" w:hAnsi="Nunito Sans" w:cs="Calibri"/>
                    <w:color w:val="000000"/>
                    <w:sz w:val="18"/>
                    <w:szCs w:val="18"/>
                  </w:rPr>
                  <w:t>5</w:t>
                </w:r>
              </w:p>
            </w:tc>
            <w:tc>
              <w:tcPr>
                <w:tcW w:w="993" w:type="dxa"/>
                <w:vAlign w:val="center"/>
                <w:hideMark/>
              </w:tcPr>
              <w:p w:rsidRPr="003D3358" w:rsidR="005E3BD6" w:rsidP="00B4771C" w:rsidRDefault="005E3BD6" w14:paraId="64005D8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D0FF441" w14:textId="77777777">
                <w:pPr>
                  <w:rPr>
                    <w:rFonts w:ascii="Nunito Sans" w:hAnsi="Nunito Sans" w:cs="Calibri"/>
                    <w:color w:val="000000"/>
                    <w:sz w:val="18"/>
                    <w:szCs w:val="18"/>
                  </w:rPr>
                </w:pPr>
                <w:r w:rsidRPr="003D3358">
                  <w:rPr>
                    <w:rFonts w:ascii="Nunito Sans" w:hAnsi="Nunito Sans" w:cs="Calibri"/>
                    <w:color w:val="000000"/>
                    <w:sz w:val="18"/>
                    <w:szCs w:val="18"/>
                  </w:rPr>
                  <w:t>Aprobación y registro de transportadores para la distribución de combustibles en los departamentos de zona de frontera</w:t>
                </w:r>
              </w:p>
            </w:tc>
            <w:tc>
              <w:tcPr>
                <w:tcW w:w="1701" w:type="dxa"/>
                <w:shd w:val="clear" w:color="auto" w:fill="FFFFFF" w:themeFill="background1"/>
                <w:vAlign w:val="center"/>
                <w:hideMark/>
              </w:tcPr>
              <w:p w:rsidRPr="003D3358" w:rsidR="005E3BD6" w:rsidP="00B4771C" w:rsidRDefault="005E3BD6" w14:paraId="681A4C0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3ADEF8C9" w14:textId="77777777">
            <w:trPr>
              <w:trHeight w:val="480"/>
            </w:trPr>
            <w:tc>
              <w:tcPr>
                <w:tcW w:w="420" w:type="dxa"/>
                <w:vAlign w:val="center"/>
                <w:hideMark/>
              </w:tcPr>
              <w:p w:rsidRPr="003D3358" w:rsidR="005E3BD6" w:rsidP="00B4771C" w:rsidRDefault="005E3BD6" w14:paraId="42A748CA" w14:textId="77777777">
                <w:pPr>
                  <w:rPr>
                    <w:rFonts w:ascii="Nunito Sans" w:hAnsi="Nunito Sans" w:cs="Calibri"/>
                    <w:color w:val="000000"/>
                    <w:sz w:val="18"/>
                    <w:szCs w:val="18"/>
                  </w:rPr>
                </w:pPr>
                <w:r w:rsidRPr="003D3358">
                  <w:rPr>
                    <w:rFonts w:ascii="Nunito Sans" w:hAnsi="Nunito Sans" w:cs="Calibri"/>
                    <w:color w:val="000000"/>
                    <w:sz w:val="18"/>
                    <w:szCs w:val="18"/>
                  </w:rPr>
                  <w:t>6</w:t>
                </w:r>
              </w:p>
            </w:tc>
            <w:tc>
              <w:tcPr>
                <w:tcW w:w="993" w:type="dxa"/>
                <w:vAlign w:val="center"/>
                <w:hideMark/>
              </w:tcPr>
              <w:p w:rsidRPr="003D3358" w:rsidR="005E3BD6" w:rsidP="00B4771C" w:rsidRDefault="005E3BD6" w14:paraId="26A041AE"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6D0470F2" w14:textId="77777777">
                <w:pPr>
                  <w:rPr>
                    <w:rFonts w:ascii="Nunito Sans" w:hAnsi="Nunito Sans" w:cs="Calibri"/>
                    <w:color w:val="000000"/>
                    <w:sz w:val="18"/>
                    <w:szCs w:val="18"/>
                  </w:rPr>
                </w:pPr>
                <w:r w:rsidRPr="003D3358">
                  <w:rPr>
                    <w:rFonts w:ascii="Nunito Sans" w:hAnsi="Nunito Sans" w:cs="Calibri"/>
                    <w:color w:val="000000"/>
                    <w:sz w:val="18"/>
                    <w:szCs w:val="18"/>
                  </w:rPr>
                  <w:t>Registro de agentes y actores en el Sistema de Información de Combustibles SICOM - GNCV y reportes de información</w:t>
                </w:r>
              </w:p>
            </w:tc>
            <w:tc>
              <w:tcPr>
                <w:tcW w:w="1701" w:type="dxa"/>
                <w:shd w:val="clear" w:color="auto" w:fill="FFFFFF" w:themeFill="background1"/>
                <w:vAlign w:val="center"/>
                <w:hideMark/>
              </w:tcPr>
              <w:p w:rsidRPr="003D3358" w:rsidR="005E3BD6" w:rsidP="00B4771C" w:rsidRDefault="005E3BD6" w14:paraId="5E6DF1B8"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C4C7D23" w14:textId="77777777">
            <w:trPr>
              <w:trHeight w:val="720"/>
            </w:trPr>
            <w:tc>
              <w:tcPr>
                <w:tcW w:w="420" w:type="dxa"/>
                <w:vAlign w:val="center"/>
                <w:hideMark/>
              </w:tcPr>
              <w:p w:rsidRPr="003D3358" w:rsidR="005E3BD6" w:rsidP="00B4771C" w:rsidRDefault="005E3BD6" w14:paraId="16FB01CD" w14:textId="77777777">
                <w:pPr>
                  <w:rPr>
                    <w:rFonts w:ascii="Nunito Sans" w:hAnsi="Nunito Sans" w:cs="Calibri"/>
                    <w:color w:val="000000"/>
                    <w:sz w:val="18"/>
                    <w:szCs w:val="18"/>
                  </w:rPr>
                </w:pPr>
                <w:r w:rsidRPr="003D3358">
                  <w:rPr>
                    <w:rFonts w:ascii="Nunito Sans" w:hAnsi="Nunito Sans" w:cs="Calibri"/>
                    <w:color w:val="000000"/>
                    <w:sz w:val="18"/>
                    <w:szCs w:val="18"/>
                  </w:rPr>
                  <w:t>7</w:t>
                </w:r>
              </w:p>
            </w:tc>
            <w:tc>
              <w:tcPr>
                <w:tcW w:w="993" w:type="dxa"/>
                <w:vAlign w:val="center"/>
                <w:hideMark/>
              </w:tcPr>
              <w:p w:rsidRPr="003D3358" w:rsidR="005E3BD6" w:rsidP="00B4771C" w:rsidRDefault="005E3BD6" w14:paraId="3680D397"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07421197" w14:textId="77777777">
                <w:pPr>
                  <w:rPr>
                    <w:rFonts w:ascii="Nunito Sans" w:hAnsi="Nunito Sans" w:cs="Calibri"/>
                    <w:color w:val="000000"/>
                    <w:sz w:val="18"/>
                    <w:szCs w:val="18"/>
                  </w:rPr>
                </w:pPr>
                <w:r w:rsidRPr="003D3358">
                  <w:rPr>
                    <w:rFonts w:ascii="Nunito Sans" w:hAnsi="Nunito Sans" w:cs="Calibri"/>
                    <w:color w:val="000000"/>
                    <w:sz w:val="18"/>
                    <w:szCs w:val="18"/>
                  </w:rPr>
                  <w:t>Autorización para desarrollar un programa piloto de mezclas superiores de biocombustibles para su uso exclusivo en vehículos automotores o fuentes móviles terrestres</w:t>
                </w:r>
              </w:p>
            </w:tc>
            <w:tc>
              <w:tcPr>
                <w:tcW w:w="1701" w:type="dxa"/>
                <w:shd w:val="clear" w:color="auto" w:fill="FFFFFF" w:themeFill="background1"/>
                <w:vAlign w:val="center"/>
                <w:hideMark/>
              </w:tcPr>
              <w:p w:rsidRPr="003D3358" w:rsidR="005E3BD6" w:rsidP="00B4771C" w:rsidRDefault="005E3BD6" w14:paraId="0CA9772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B98A4B1" w14:textId="77777777">
            <w:trPr>
              <w:trHeight w:val="480"/>
            </w:trPr>
            <w:tc>
              <w:tcPr>
                <w:tcW w:w="420" w:type="dxa"/>
                <w:vAlign w:val="center"/>
                <w:hideMark/>
              </w:tcPr>
              <w:p w:rsidRPr="003D3358" w:rsidR="005E3BD6" w:rsidP="00B4771C" w:rsidRDefault="005E3BD6" w14:paraId="7D69987A" w14:textId="77777777">
                <w:pPr>
                  <w:rPr>
                    <w:rFonts w:ascii="Nunito Sans" w:hAnsi="Nunito Sans" w:cs="Calibri"/>
                    <w:color w:val="000000"/>
                    <w:sz w:val="18"/>
                    <w:szCs w:val="18"/>
                  </w:rPr>
                </w:pPr>
                <w:r w:rsidRPr="003D3358">
                  <w:rPr>
                    <w:rFonts w:ascii="Nunito Sans" w:hAnsi="Nunito Sans" w:cs="Calibri"/>
                    <w:color w:val="000000"/>
                    <w:sz w:val="18"/>
                    <w:szCs w:val="18"/>
                  </w:rPr>
                  <w:t>8</w:t>
                </w:r>
              </w:p>
            </w:tc>
            <w:tc>
              <w:tcPr>
                <w:tcW w:w="993" w:type="dxa"/>
                <w:vAlign w:val="center"/>
                <w:hideMark/>
              </w:tcPr>
              <w:p w:rsidRPr="003D3358" w:rsidR="005E3BD6" w:rsidP="00B4771C" w:rsidRDefault="005E3BD6" w14:paraId="570B8EAF"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16DADE8" w14:textId="77777777">
                <w:pPr>
                  <w:rPr>
                    <w:rFonts w:ascii="Nunito Sans" w:hAnsi="Nunito Sans" w:cs="Calibri"/>
                    <w:color w:val="000000"/>
                    <w:sz w:val="18"/>
                    <w:szCs w:val="18"/>
                  </w:rPr>
                </w:pPr>
                <w:r w:rsidRPr="003D3358">
                  <w:rPr>
                    <w:rFonts w:ascii="Nunito Sans" w:hAnsi="Nunito Sans" w:cs="Calibri"/>
                    <w:color w:val="000000"/>
                    <w:sz w:val="18"/>
                    <w:szCs w:val="18"/>
                  </w:rPr>
                  <w:t>Certificado de dedicación exclusiva en el sector de hidrocarburos</w:t>
                </w:r>
              </w:p>
            </w:tc>
            <w:tc>
              <w:tcPr>
                <w:tcW w:w="1701" w:type="dxa"/>
                <w:shd w:val="clear" w:color="auto" w:fill="FFFFFF" w:themeFill="background1"/>
                <w:vAlign w:val="center"/>
                <w:hideMark/>
              </w:tcPr>
              <w:p w:rsidRPr="003D3358" w:rsidR="005E3BD6" w:rsidP="00B4771C" w:rsidRDefault="005E3BD6" w14:paraId="17B5916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6AFD660" w14:textId="77777777">
            <w:trPr>
              <w:trHeight w:val="480"/>
            </w:trPr>
            <w:tc>
              <w:tcPr>
                <w:tcW w:w="420" w:type="dxa"/>
                <w:vAlign w:val="center"/>
                <w:hideMark/>
              </w:tcPr>
              <w:p w:rsidRPr="003D3358" w:rsidR="005E3BD6" w:rsidP="00B4771C" w:rsidRDefault="005E3BD6" w14:paraId="19F2E695" w14:textId="77777777">
                <w:pPr>
                  <w:rPr>
                    <w:rFonts w:ascii="Nunito Sans" w:hAnsi="Nunito Sans" w:cs="Calibri"/>
                    <w:color w:val="000000"/>
                    <w:sz w:val="18"/>
                    <w:szCs w:val="18"/>
                  </w:rPr>
                </w:pPr>
                <w:r w:rsidRPr="003D3358">
                  <w:rPr>
                    <w:rFonts w:ascii="Nunito Sans" w:hAnsi="Nunito Sans" w:cs="Calibri"/>
                    <w:color w:val="000000"/>
                    <w:sz w:val="18"/>
                    <w:szCs w:val="18"/>
                  </w:rPr>
                  <w:t>9</w:t>
                </w:r>
              </w:p>
            </w:tc>
            <w:tc>
              <w:tcPr>
                <w:tcW w:w="993" w:type="dxa"/>
                <w:vAlign w:val="center"/>
                <w:hideMark/>
              </w:tcPr>
              <w:p w:rsidRPr="003D3358" w:rsidR="005E3BD6" w:rsidP="00B4771C" w:rsidRDefault="005E3BD6" w14:paraId="16849229"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6E7F2ED" w14:textId="77777777">
                <w:pPr>
                  <w:rPr>
                    <w:rFonts w:ascii="Nunito Sans" w:hAnsi="Nunito Sans" w:cs="Calibri"/>
                    <w:color w:val="000000"/>
                    <w:sz w:val="18"/>
                    <w:szCs w:val="18"/>
                  </w:rPr>
                </w:pPr>
                <w:r w:rsidRPr="003D3358">
                  <w:rPr>
                    <w:rFonts w:ascii="Nunito Sans" w:hAnsi="Nunito Sans" w:cs="Calibri"/>
                    <w:color w:val="000000"/>
                    <w:sz w:val="18"/>
                    <w:szCs w:val="18"/>
                  </w:rPr>
                  <w:t>Solicitud de Permiso de Exploración o Explotación para Registro Geotérmico</w:t>
                </w:r>
              </w:p>
            </w:tc>
            <w:tc>
              <w:tcPr>
                <w:tcW w:w="1701" w:type="dxa"/>
                <w:shd w:val="clear" w:color="auto" w:fill="FFFFFF" w:themeFill="background1"/>
                <w:vAlign w:val="center"/>
                <w:hideMark/>
              </w:tcPr>
              <w:p w:rsidRPr="003D3358" w:rsidR="005E3BD6" w:rsidP="00B4771C" w:rsidRDefault="005E3BD6" w14:paraId="3B5F6B9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53F9B1D" w14:textId="77777777">
            <w:trPr>
              <w:trHeight w:val="480"/>
            </w:trPr>
            <w:tc>
              <w:tcPr>
                <w:tcW w:w="420" w:type="dxa"/>
                <w:vAlign w:val="center"/>
                <w:hideMark/>
              </w:tcPr>
              <w:p w:rsidRPr="003D3358" w:rsidR="005E3BD6" w:rsidP="00B4771C" w:rsidRDefault="005E3BD6" w14:paraId="32BFFC24" w14:textId="77777777">
                <w:pPr>
                  <w:rPr>
                    <w:rFonts w:ascii="Nunito Sans" w:hAnsi="Nunito Sans" w:cs="Calibri"/>
                    <w:color w:val="000000"/>
                    <w:sz w:val="18"/>
                    <w:szCs w:val="18"/>
                  </w:rPr>
                </w:pPr>
                <w:r w:rsidRPr="003D3358">
                  <w:rPr>
                    <w:rFonts w:ascii="Nunito Sans" w:hAnsi="Nunito Sans" w:cs="Calibri"/>
                    <w:color w:val="000000"/>
                    <w:sz w:val="18"/>
                    <w:szCs w:val="18"/>
                  </w:rPr>
                  <w:t>10</w:t>
                </w:r>
              </w:p>
            </w:tc>
            <w:tc>
              <w:tcPr>
                <w:tcW w:w="993" w:type="dxa"/>
                <w:vAlign w:val="center"/>
                <w:hideMark/>
              </w:tcPr>
              <w:p w:rsidRPr="003D3358" w:rsidR="005E3BD6" w:rsidP="00B4771C" w:rsidRDefault="005E3BD6" w14:paraId="0A38ADB3"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3B6C5D7B" w14:textId="77777777">
                <w:pPr>
                  <w:rPr>
                    <w:rFonts w:ascii="Nunito Sans" w:hAnsi="Nunito Sans" w:cs="Calibri"/>
                    <w:color w:val="000000"/>
                    <w:sz w:val="18"/>
                    <w:szCs w:val="18"/>
                  </w:rPr>
                </w:pPr>
                <w:r w:rsidRPr="003D3358">
                  <w:rPr>
                    <w:rFonts w:ascii="Nunito Sans" w:hAnsi="Nunito Sans" w:cs="Calibri"/>
                    <w:color w:val="000000"/>
                    <w:sz w:val="18"/>
                    <w:szCs w:val="18"/>
                  </w:rPr>
                  <w:t>Licencia para la prestación del servicio de dosimetría personal</w:t>
                </w:r>
              </w:p>
            </w:tc>
            <w:tc>
              <w:tcPr>
                <w:tcW w:w="1701" w:type="dxa"/>
                <w:vAlign w:val="center"/>
                <w:hideMark/>
              </w:tcPr>
              <w:p w:rsidRPr="003D3358" w:rsidR="005E3BD6" w:rsidP="00B4771C" w:rsidRDefault="005E3BD6" w14:paraId="474B0D07"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A259537" w14:textId="77777777">
            <w:trPr>
              <w:trHeight w:val="240"/>
            </w:trPr>
            <w:tc>
              <w:tcPr>
                <w:tcW w:w="420" w:type="dxa"/>
                <w:vAlign w:val="center"/>
                <w:hideMark/>
              </w:tcPr>
              <w:p w:rsidRPr="003D3358" w:rsidR="005E3BD6" w:rsidP="00B4771C" w:rsidRDefault="005E3BD6" w14:paraId="142E6BA6" w14:textId="77777777">
                <w:pPr>
                  <w:rPr>
                    <w:rFonts w:ascii="Nunito Sans" w:hAnsi="Nunito Sans" w:cs="Calibri"/>
                    <w:color w:val="000000"/>
                    <w:sz w:val="18"/>
                    <w:szCs w:val="18"/>
                  </w:rPr>
                </w:pPr>
                <w:r w:rsidRPr="003D3358">
                  <w:rPr>
                    <w:rFonts w:ascii="Nunito Sans" w:hAnsi="Nunito Sans" w:cs="Calibri"/>
                    <w:color w:val="000000"/>
                    <w:sz w:val="18"/>
                    <w:szCs w:val="18"/>
                  </w:rPr>
                  <w:t>11</w:t>
                </w:r>
              </w:p>
            </w:tc>
            <w:tc>
              <w:tcPr>
                <w:tcW w:w="993" w:type="dxa"/>
                <w:vAlign w:val="center"/>
                <w:hideMark/>
              </w:tcPr>
              <w:p w:rsidRPr="003D3358" w:rsidR="005E3BD6" w:rsidP="00B4771C" w:rsidRDefault="005E3BD6" w14:paraId="53E4770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EB80CF4" w14:textId="77777777">
                <w:pPr>
                  <w:rPr>
                    <w:rFonts w:ascii="Nunito Sans" w:hAnsi="Nunito Sans" w:cs="Calibri"/>
                    <w:color w:val="000000"/>
                    <w:sz w:val="18"/>
                    <w:szCs w:val="18"/>
                  </w:rPr>
                </w:pPr>
                <w:r w:rsidRPr="003D3358">
                  <w:rPr>
                    <w:rFonts w:ascii="Nunito Sans" w:hAnsi="Nunito Sans" w:cs="Calibri"/>
                    <w:color w:val="000000"/>
                    <w:sz w:val="18"/>
                    <w:szCs w:val="18"/>
                  </w:rPr>
                  <w:t>Autorización para la importación de materiales radiactivos</w:t>
                </w:r>
              </w:p>
            </w:tc>
            <w:tc>
              <w:tcPr>
                <w:tcW w:w="1701" w:type="dxa"/>
                <w:shd w:val="clear" w:color="auto" w:fill="FFFFFF" w:themeFill="background1"/>
                <w:vAlign w:val="center"/>
                <w:hideMark/>
              </w:tcPr>
              <w:p w:rsidRPr="003D3358" w:rsidR="005E3BD6" w:rsidP="00B4771C" w:rsidRDefault="005E3BD6" w14:paraId="75D5E7A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71C10FA4" w14:textId="77777777">
            <w:trPr>
              <w:trHeight w:val="480"/>
            </w:trPr>
            <w:tc>
              <w:tcPr>
                <w:tcW w:w="420" w:type="dxa"/>
                <w:vAlign w:val="center"/>
                <w:hideMark/>
              </w:tcPr>
              <w:p w:rsidRPr="003D3358" w:rsidR="005E3BD6" w:rsidP="00B4771C" w:rsidRDefault="005E3BD6" w14:paraId="7EDA2FD3" w14:textId="77777777">
                <w:pPr>
                  <w:rPr>
                    <w:rFonts w:ascii="Nunito Sans" w:hAnsi="Nunito Sans" w:cs="Calibri"/>
                    <w:color w:val="000000"/>
                    <w:sz w:val="18"/>
                    <w:szCs w:val="18"/>
                  </w:rPr>
                </w:pPr>
                <w:r w:rsidRPr="003D3358">
                  <w:rPr>
                    <w:rFonts w:ascii="Nunito Sans" w:hAnsi="Nunito Sans" w:cs="Calibri"/>
                    <w:color w:val="000000"/>
                    <w:sz w:val="18"/>
                    <w:szCs w:val="18"/>
                  </w:rPr>
                  <w:t>12</w:t>
                </w:r>
              </w:p>
            </w:tc>
            <w:tc>
              <w:tcPr>
                <w:tcW w:w="993" w:type="dxa"/>
                <w:vAlign w:val="center"/>
                <w:hideMark/>
              </w:tcPr>
              <w:p w:rsidRPr="003D3358" w:rsidR="005E3BD6" w:rsidP="00B4771C" w:rsidRDefault="005E3BD6" w14:paraId="1369B17C"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58CA9107" w14:textId="77777777">
                <w:pPr>
                  <w:rPr>
                    <w:rFonts w:ascii="Nunito Sans" w:hAnsi="Nunito Sans" w:cs="Calibri"/>
                    <w:color w:val="000000"/>
                    <w:sz w:val="18"/>
                    <w:szCs w:val="18"/>
                  </w:rPr>
                </w:pPr>
                <w:r w:rsidRPr="003D3358">
                  <w:rPr>
                    <w:rFonts w:ascii="Nunito Sans" w:hAnsi="Nunito Sans" w:cs="Calibri"/>
                    <w:color w:val="000000"/>
                    <w:sz w:val="18"/>
                    <w:szCs w:val="18"/>
                  </w:rPr>
                  <w:t>Licencia para la operación, parada prolongada, modificación y desmantelamiento de instalaciones nucleares</w:t>
                </w:r>
              </w:p>
            </w:tc>
            <w:tc>
              <w:tcPr>
                <w:tcW w:w="1701" w:type="dxa"/>
                <w:shd w:val="clear" w:color="auto" w:fill="FFFFFF" w:themeFill="background1"/>
                <w:vAlign w:val="center"/>
                <w:hideMark/>
              </w:tcPr>
              <w:p w:rsidRPr="003D3358" w:rsidR="005E3BD6" w:rsidP="00B4771C" w:rsidRDefault="005E3BD6" w14:paraId="6E2A8F1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1F36BA8" w14:textId="77777777">
            <w:trPr>
              <w:trHeight w:val="240"/>
            </w:trPr>
            <w:tc>
              <w:tcPr>
                <w:tcW w:w="420" w:type="dxa"/>
                <w:vAlign w:val="center"/>
                <w:hideMark/>
              </w:tcPr>
              <w:p w:rsidRPr="003D3358" w:rsidR="005E3BD6" w:rsidP="00B4771C" w:rsidRDefault="005E3BD6" w14:paraId="16820B21" w14:textId="77777777">
                <w:pPr>
                  <w:rPr>
                    <w:rFonts w:ascii="Nunito Sans" w:hAnsi="Nunito Sans" w:cs="Calibri"/>
                    <w:color w:val="000000"/>
                    <w:sz w:val="18"/>
                    <w:szCs w:val="18"/>
                  </w:rPr>
                </w:pPr>
                <w:r w:rsidRPr="003D3358">
                  <w:rPr>
                    <w:rFonts w:ascii="Nunito Sans" w:hAnsi="Nunito Sans" w:cs="Calibri"/>
                    <w:color w:val="000000"/>
                    <w:sz w:val="18"/>
                    <w:szCs w:val="18"/>
                  </w:rPr>
                  <w:t>13</w:t>
                </w:r>
              </w:p>
            </w:tc>
            <w:tc>
              <w:tcPr>
                <w:tcW w:w="993" w:type="dxa"/>
                <w:vAlign w:val="center"/>
                <w:hideMark/>
              </w:tcPr>
              <w:p w:rsidRPr="003D3358" w:rsidR="005E3BD6" w:rsidP="00B4771C" w:rsidRDefault="005E3BD6" w14:paraId="15F1B0E8"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41C656E" w14:textId="77777777">
                <w:pPr>
                  <w:rPr>
                    <w:rFonts w:ascii="Nunito Sans" w:hAnsi="Nunito Sans" w:cs="Calibri"/>
                    <w:color w:val="000000"/>
                    <w:sz w:val="18"/>
                    <w:szCs w:val="18"/>
                  </w:rPr>
                </w:pPr>
                <w:r w:rsidRPr="003D3358">
                  <w:rPr>
                    <w:rFonts w:ascii="Nunito Sans" w:hAnsi="Nunito Sans" w:cs="Calibri"/>
                    <w:color w:val="000000"/>
                    <w:sz w:val="18"/>
                    <w:szCs w:val="18"/>
                  </w:rPr>
                  <w:t>Estación de Servicio Privada</w:t>
                </w:r>
              </w:p>
            </w:tc>
            <w:tc>
              <w:tcPr>
                <w:tcW w:w="1701" w:type="dxa"/>
                <w:vAlign w:val="center"/>
                <w:hideMark/>
              </w:tcPr>
              <w:p w:rsidRPr="003D3358" w:rsidR="005E3BD6" w:rsidP="00B4771C" w:rsidRDefault="005E3BD6" w14:paraId="006C332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44D819ED" w14:textId="77777777">
            <w:trPr>
              <w:trHeight w:val="240"/>
            </w:trPr>
            <w:tc>
              <w:tcPr>
                <w:tcW w:w="420" w:type="dxa"/>
                <w:vAlign w:val="center"/>
                <w:hideMark/>
              </w:tcPr>
              <w:p w:rsidRPr="003D3358" w:rsidR="005E3BD6" w:rsidP="00B4771C" w:rsidRDefault="005E3BD6" w14:paraId="0275FBFB" w14:textId="77777777">
                <w:pPr>
                  <w:rPr>
                    <w:rFonts w:ascii="Nunito Sans" w:hAnsi="Nunito Sans" w:cs="Calibri"/>
                    <w:color w:val="000000"/>
                    <w:sz w:val="18"/>
                    <w:szCs w:val="18"/>
                  </w:rPr>
                </w:pPr>
                <w:r w:rsidRPr="003D3358">
                  <w:rPr>
                    <w:rFonts w:ascii="Nunito Sans" w:hAnsi="Nunito Sans" w:cs="Calibri"/>
                    <w:color w:val="000000"/>
                    <w:sz w:val="18"/>
                    <w:szCs w:val="18"/>
                  </w:rPr>
                  <w:t>14</w:t>
                </w:r>
              </w:p>
            </w:tc>
            <w:tc>
              <w:tcPr>
                <w:tcW w:w="993" w:type="dxa"/>
                <w:vAlign w:val="center"/>
                <w:hideMark/>
              </w:tcPr>
              <w:p w:rsidRPr="003D3358" w:rsidR="005E3BD6" w:rsidP="00B4771C" w:rsidRDefault="005E3BD6" w14:paraId="0350730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0587DED" w14:textId="77777777">
                <w:pPr>
                  <w:rPr>
                    <w:rFonts w:ascii="Nunito Sans" w:hAnsi="Nunito Sans" w:cs="Calibri"/>
                    <w:color w:val="000000"/>
                    <w:sz w:val="18"/>
                    <w:szCs w:val="18"/>
                  </w:rPr>
                </w:pPr>
                <w:r w:rsidRPr="003D3358">
                  <w:rPr>
                    <w:rFonts w:ascii="Nunito Sans" w:hAnsi="Nunito Sans" w:cs="Calibri"/>
                    <w:color w:val="000000"/>
                    <w:sz w:val="18"/>
                    <w:szCs w:val="18"/>
                  </w:rPr>
                  <w:t>Estación de Servicio de Aviación</w:t>
                </w:r>
              </w:p>
            </w:tc>
            <w:tc>
              <w:tcPr>
                <w:tcW w:w="1701" w:type="dxa"/>
                <w:vAlign w:val="center"/>
                <w:hideMark/>
              </w:tcPr>
              <w:p w:rsidRPr="003D3358" w:rsidR="005E3BD6" w:rsidP="00B4771C" w:rsidRDefault="005E3BD6" w14:paraId="1DE3BD0B"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276CE8BE" w14:textId="77777777">
            <w:trPr>
              <w:trHeight w:val="240"/>
            </w:trPr>
            <w:tc>
              <w:tcPr>
                <w:tcW w:w="420" w:type="dxa"/>
                <w:vAlign w:val="center"/>
                <w:hideMark/>
              </w:tcPr>
              <w:p w:rsidRPr="003D3358" w:rsidR="005E3BD6" w:rsidP="00B4771C" w:rsidRDefault="005E3BD6" w14:paraId="31676527" w14:textId="77777777">
                <w:pPr>
                  <w:rPr>
                    <w:rFonts w:ascii="Nunito Sans" w:hAnsi="Nunito Sans" w:cs="Calibri"/>
                    <w:color w:val="000000"/>
                    <w:sz w:val="18"/>
                    <w:szCs w:val="18"/>
                  </w:rPr>
                </w:pPr>
                <w:r w:rsidRPr="003D3358">
                  <w:rPr>
                    <w:rFonts w:ascii="Nunito Sans" w:hAnsi="Nunito Sans" w:cs="Calibri"/>
                    <w:color w:val="000000"/>
                    <w:sz w:val="18"/>
                    <w:szCs w:val="18"/>
                  </w:rPr>
                  <w:t>15</w:t>
                </w:r>
              </w:p>
            </w:tc>
            <w:tc>
              <w:tcPr>
                <w:tcW w:w="993" w:type="dxa"/>
                <w:vAlign w:val="center"/>
                <w:hideMark/>
              </w:tcPr>
              <w:p w:rsidRPr="003D3358" w:rsidR="005E3BD6" w:rsidP="00B4771C" w:rsidRDefault="005E3BD6" w14:paraId="66A04AA7"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E5CDF6E" w14:textId="77777777">
                <w:pPr>
                  <w:rPr>
                    <w:rFonts w:ascii="Nunito Sans" w:hAnsi="Nunito Sans" w:cs="Calibri"/>
                    <w:color w:val="000000"/>
                    <w:sz w:val="18"/>
                    <w:szCs w:val="18"/>
                  </w:rPr>
                </w:pPr>
                <w:r w:rsidRPr="003D3358">
                  <w:rPr>
                    <w:rFonts w:ascii="Nunito Sans" w:hAnsi="Nunito Sans" w:cs="Calibri"/>
                    <w:color w:val="000000"/>
                    <w:sz w:val="18"/>
                    <w:szCs w:val="18"/>
                  </w:rPr>
                  <w:t>Estación de Servicio Automotriz Pública</w:t>
                </w:r>
              </w:p>
            </w:tc>
            <w:tc>
              <w:tcPr>
                <w:tcW w:w="1701" w:type="dxa"/>
                <w:vAlign w:val="center"/>
                <w:hideMark/>
              </w:tcPr>
              <w:p w:rsidRPr="003D3358" w:rsidR="005E3BD6" w:rsidP="00B4771C" w:rsidRDefault="005E3BD6" w14:paraId="3BF454FB"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0834FC64" w14:textId="77777777">
            <w:trPr>
              <w:trHeight w:val="240"/>
            </w:trPr>
            <w:tc>
              <w:tcPr>
                <w:tcW w:w="420" w:type="dxa"/>
                <w:vAlign w:val="center"/>
                <w:hideMark/>
              </w:tcPr>
              <w:p w:rsidRPr="003D3358" w:rsidR="005E3BD6" w:rsidP="00B4771C" w:rsidRDefault="005E3BD6" w14:paraId="18298669" w14:textId="77777777">
                <w:pPr>
                  <w:rPr>
                    <w:rFonts w:ascii="Nunito Sans" w:hAnsi="Nunito Sans" w:cs="Calibri"/>
                    <w:color w:val="000000"/>
                    <w:sz w:val="18"/>
                    <w:szCs w:val="18"/>
                  </w:rPr>
                </w:pPr>
                <w:r w:rsidRPr="003D3358">
                  <w:rPr>
                    <w:rFonts w:ascii="Nunito Sans" w:hAnsi="Nunito Sans" w:cs="Calibri"/>
                    <w:color w:val="000000"/>
                    <w:sz w:val="18"/>
                    <w:szCs w:val="18"/>
                  </w:rPr>
                  <w:t>16</w:t>
                </w:r>
              </w:p>
            </w:tc>
            <w:tc>
              <w:tcPr>
                <w:tcW w:w="993" w:type="dxa"/>
                <w:vAlign w:val="center"/>
                <w:hideMark/>
              </w:tcPr>
              <w:p w:rsidRPr="003D3358" w:rsidR="005E3BD6" w:rsidP="00B4771C" w:rsidRDefault="005E3BD6" w14:paraId="0C162544"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8A0613E" w14:textId="77777777">
                <w:pPr>
                  <w:rPr>
                    <w:rFonts w:ascii="Nunito Sans" w:hAnsi="Nunito Sans" w:cs="Calibri"/>
                    <w:color w:val="000000"/>
                    <w:sz w:val="18"/>
                    <w:szCs w:val="18"/>
                  </w:rPr>
                </w:pPr>
                <w:r w:rsidRPr="003D3358">
                  <w:rPr>
                    <w:rFonts w:ascii="Nunito Sans" w:hAnsi="Nunito Sans" w:cs="Calibri"/>
                    <w:color w:val="000000"/>
                    <w:sz w:val="18"/>
                    <w:szCs w:val="18"/>
                  </w:rPr>
                  <w:t>Estación de Servicio Fluvial</w:t>
                </w:r>
              </w:p>
            </w:tc>
            <w:tc>
              <w:tcPr>
                <w:tcW w:w="1701" w:type="dxa"/>
                <w:vAlign w:val="center"/>
                <w:hideMark/>
              </w:tcPr>
              <w:p w:rsidRPr="003D3358" w:rsidR="005E3BD6" w:rsidP="00B4771C" w:rsidRDefault="005E3BD6" w14:paraId="4BBF629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733C1CF2" w14:textId="77777777">
            <w:trPr>
              <w:trHeight w:val="240"/>
            </w:trPr>
            <w:tc>
              <w:tcPr>
                <w:tcW w:w="420" w:type="dxa"/>
                <w:vAlign w:val="center"/>
                <w:hideMark/>
              </w:tcPr>
              <w:p w:rsidRPr="003D3358" w:rsidR="005E3BD6" w:rsidP="00B4771C" w:rsidRDefault="005E3BD6" w14:paraId="73C34624" w14:textId="77777777">
                <w:pPr>
                  <w:rPr>
                    <w:rFonts w:ascii="Nunito Sans" w:hAnsi="Nunito Sans" w:cs="Calibri"/>
                    <w:color w:val="000000"/>
                    <w:sz w:val="18"/>
                    <w:szCs w:val="18"/>
                  </w:rPr>
                </w:pPr>
                <w:r w:rsidRPr="003D3358">
                  <w:rPr>
                    <w:rFonts w:ascii="Nunito Sans" w:hAnsi="Nunito Sans" w:cs="Calibri"/>
                    <w:color w:val="000000"/>
                    <w:sz w:val="18"/>
                    <w:szCs w:val="18"/>
                  </w:rPr>
                  <w:t>17</w:t>
                </w:r>
              </w:p>
            </w:tc>
            <w:tc>
              <w:tcPr>
                <w:tcW w:w="993" w:type="dxa"/>
                <w:vAlign w:val="center"/>
                <w:hideMark/>
              </w:tcPr>
              <w:p w:rsidRPr="003D3358" w:rsidR="005E3BD6" w:rsidP="00B4771C" w:rsidRDefault="005E3BD6" w14:paraId="2566CDAA"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3ECAC86" w14:textId="77777777">
                <w:pPr>
                  <w:rPr>
                    <w:rFonts w:ascii="Nunito Sans" w:hAnsi="Nunito Sans" w:cs="Calibri"/>
                    <w:color w:val="000000"/>
                    <w:sz w:val="18"/>
                    <w:szCs w:val="18"/>
                  </w:rPr>
                </w:pPr>
                <w:r w:rsidRPr="003D3358">
                  <w:rPr>
                    <w:rFonts w:ascii="Nunito Sans" w:hAnsi="Nunito Sans" w:cs="Calibri"/>
                    <w:color w:val="000000"/>
                    <w:sz w:val="18"/>
                    <w:szCs w:val="18"/>
                  </w:rPr>
                  <w:t>Estación de Servicio Marítima</w:t>
                </w:r>
              </w:p>
            </w:tc>
            <w:tc>
              <w:tcPr>
                <w:tcW w:w="1701" w:type="dxa"/>
                <w:vAlign w:val="center"/>
                <w:hideMark/>
              </w:tcPr>
              <w:p w:rsidRPr="003D3358" w:rsidR="005E3BD6" w:rsidP="00B4771C" w:rsidRDefault="005E3BD6" w14:paraId="59A3929B"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56303829" w14:textId="77777777">
            <w:trPr>
              <w:trHeight w:val="240"/>
            </w:trPr>
            <w:tc>
              <w:tcPr>
                <w:tcW w:w="420" w:type="dxa"/>
                <w:vAlign w:val="center"/>
                <w:hideMark/>
              </w:tcPr>
              <w:p w:rsidRPr="003D3358" w:rsidR="005E3BD6" w:rsidP="00B4771C" w:rsidRDefault="005E3BD6" w14:paraId="642F6B8B" w14:textId="77777777">
                <w:pPr>
                  <w:rPr>
                    <w:rFonts w:ascii="Nunito Sans" w:hAnsi="Nunito Sans" w:cs="Calibri"/>
                    <w:color w:val="000000"/>
                    <w:sz w:val="18"/>
                    <w:szCs w:val="18"/>
                  </w:rPr>
                </w:pPr>
                <w:r w:rsidRPr="003D3358">
                  <w:rPr>
                    <w:rFonts w:ascii="Nunito Sans" w:hAnsi="Nunito Sans" w:cs="Calibri"/>
                    <w:color w:val="000000"/>
                    <w:sz w:val="18"/>
                    <w:szCs w:val="18"/>
                  </w:rPr>
                  <w:t>18</w:t>
                </w:r>
              </w:p>
            </w:tc>
            <w:tc>
              <w:tcPr>
                <w:tcW w:w="993" w:type="dxa"/>
                <w:vAlign w:val="center"/>
                <w:hideMark/>
              </w:tcPr>
              <w:p w:rsidRPr="003D3358" w:rsidR="005E3BD6" w:rsidP="00B4771C" w:rsidRDefault="005E3BD6" w14:paraId="0A3DA89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A7A3ED6" w14:textId="77777777">
                <w:pPr>
                  <w:rPr>
                    <w:rFonts w:ascii="Nunito Sans" w:hAnsi="Nunito Sans" w:cs="Calibri"/>
                    <w:color w:val="000000"/>
                    <w:sz w:val="18"/>
                    <w:szCs w:val="18"/>
                  </w:rPr>
                </w:pPr>
                <w:r w:rsidRPr="003D3358">
                  <w:rPr>
                    <w:rFonts w:ascii="Nunito Sans" w:hAnsi="Nunito Sans" w:cs="Calibri"/>
                    <w:color w:val="000000"/>
                    <w:sz w:val="18"/>
                    <w:szCs w:val="18"/>
                  </w:rPr>
                  <w:t>Registro Inicial Distribuidor Minorista</w:t>
                </w:r>
              </w:p>
            </w:tc>
            <w:tc>
              <w:tcPr>
                <w:tcW w:w="1701" w:type="dxa"/>
                <w:vAlign w:val="center"/>
                <w:hideMark/>
              </w:tcPr>
              <w:p w:rsidRPr="003D3358" w:rsidR="005E3BD6" w:rsidP="00B4771C" w:rsidRDefault="005E3BD6" w14:paraId="3EC9939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476438D4" w14:textId="77777777">
            <w:trPr>
              <w:trHeight w:val="240"/>
            </w:trPr>
            <w:tc>
              <w:tcPr>
                <w:tcW w:w="420" w:type="dxa"/>
                <w:vAlign w:val="center"/>
                <w:hideMark/>
              </w:tcPr>
              <w:p w:rsidRPr="003D3358" w:rsidR="005E3BD6" w:rsidP="00B4771C" w:rsidRDefault="005E3BD6" w14:paraId="12E76619" w14:textId="77777777">
                <w:pPr>
                  <w:rPr>
                    <w:rFonts w:ascii="Nunito Sans" w:hAnsi="Nunito Sans" w:cs="Calibri"/>
                    <w:color w:val="000000"/>
                    <w:sz w:val="18"/>
                    <w:szCs w:val="18"/>
                  </w:rPr>
                </w:pPr>
                <w:r w:rsidRPr="003D3358">
                  <w:rPr>
                    <w:rFonts w:ascii="Nunito Sans" w:hAnsi="Nunito Sans" w:cs="Calibri"/>
                    <w:color w:val="000000"/>
                    <w:sz w:val="18"/>
                    <w:szCs w:val="18"/>
                  </w:rPr>
                  <w:t>19</w:t>
                </w:r>
              </w:p>
            </w:tc>
            <w:tc>
              <w:tcPr>
                <w:tcW w:w="993" w:type="dxa"/>
                <w:vAlign w:val="center"/>
                <w:hideMark/>
              </w:tcPr>
              <w:p w:rsidRPr="003D3358" w:rsidR="005E3BD6" w:rsidP="00B4771C" w:rsidRDefault="005E3BD6" w14:paraId="52448175"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9273E12" w14:textId="77777777">
                <w:pPr>
                  <w:rPr>
                    <w:rFonts w:ascii="Nunito Sans" w:hAnsi="Nunito Sans" w:cs="Calibri"/>
                    <w:color w:val="000000"/>
                    <w:sz w:val="18"/>
                    <w:szCs w:val="18"/>
                  </w:rPr>
                </w:pPr>
                <w:r w:rsidRPr="003D3358">
                  <w:rPr>
                    <w:rFonts w:ascii="Nunito Sans" w:hAnsi="Nunito Sans" w:cs="Calibri"/>
                    <w:color w:val="000000"/>
                    <w:sz w:val="18"/>
                    <w:szCs w:val="18"/>
                  </w:rPr>
                  <w:t>Gran Consumidor con Instalación fija</w:t>
                </w:r>
              </w:p>
            </w:tc>
            <w:tc>
              <w:tcPr>
                <w:tcW w:w="1701" w:type="dxa"/>
                <w:vAlign w:val="center"/>
                <w:hideMark/>
              </w:tcPr>
              <w:p w:rsidRPr="003D3358" w:rsidR="005E3BD6" w:rsidP="00B4771C" w:rsidRDefault="005E3BD6" w14:paraId="618506D6"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7B36DFB6" w14:textId="77777777">
            <w:trPr>
              <w:trHeight w:val="240"/>
            </w:trPr>
            <w:tc>
              <w:tcPr>
                <w:tcW w:w="420" w:type="dxa"/>
                <w:vAlign w:val="center"/>
                <w:hideMark/>
              </w:tcPr>
              <w:p w:rsidRPr="003D3358" w:rsidR="005E3BD6" w:rsidP="00B4771C" w:rsidRDefault="005E3BD6" w14:paraId="6AE4E4DF" w14:textId="77777777">
                <w:pPr>
                  <w:rPr>
                    <w:rFonts w:ascii="Nunito Sans" w:hAnsi="Nunito Sans" w:cs="Calibri"/>
                    <w:color w:val="000000"/>
                    <w:sz w:val="18"/>
                    <w:szCs w:val="18"/>
                  </w:rPr>
                </w:pPr>
                <w:r w:rsidRPr="003D3358">
                  <w:rPr>
                    <w:rFonts w:ascii="Nunito Sans" w:hAnsi="Nunito Sans" w:cs="Calibri"/>
                    <w:color w:val="000000"/>
                    <w:sz w:val="18"/>
                    <w:szCs w:val="18"/>
                  </w:rPr>
                  <w:t>20</w:t>
                </w:r>
              </w:p>
            </w:tc>
            <w:tc>
              <w:tcPr>
                <w:tcW w:w="993" w:type="dxa"/>
                <w:vAlign w:val="center"/>
                <w:hideMark/>
              </w:tcPr>
              <w:p w:rsidRPr="003D3358" w:rsidR="005E3BD6" w:rsidP="00B4771C" w:rsidRDefault="005E3BD6" w14:paraId="6A2D2044"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603BC836" w14:textId="77777777">
                <w:pPr>
                  <w:rPr>
                    <w:rFonts w:ascii="Nunito Sans" w:hAnsi="Nunito Sans" w:cs="Calibri"/>
                    <w:color w:val="000000"/>
                    <w:sz w:val="18"/>
                    <w:szCs w:val="18"/>
                  </w:rPr>
                </w:pPr>
                <w:r w:rsidRPr="003D3358">
                  <w:rPr>
                    <w:rFonts w:ascii="Nunito Sans" w:hAnsi="Nunito Sans" w:cs="Calibri"/>
                    <w:color w:val="000000"/>
                    <w:sz w:val="18"/>
                    <w:szCs w:val="18"/>
                  </w:rPr>
                  <w:t>Gran Consumidor Temporal con Instalación</w:t>
                </w:r>
              </w:p>
            </w:tc>
            <w:tc>
              <w:tcPr>
                <w:tcW w:w="1701" w:type="dxa"/>
                <w:vAlign w:val="center"/>
                <w:hideMark/>
              </w:tcPr>
              <w:p w:rsidRPr="003D3358" w:rsidR="005E3BD6" w:rsidP="00B4771C" w:rsidRDefault="005E3BD6" w14:paraId="707CB4F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5A952D39" w14:textId="77777777">
            <w:trPr>
              <w:trHeight w:val="240"/>
            </w:trPr>
            <w:tc>
              <w:tcPr>
                <w:tcW w:w="420" w:type="dxa"/>
                <w:vAlign w:val="center"/>
                <w:hideMark/>
              </w:tcPr>
              <w:p w:rsidRPr="003D3358" w:rsidR="005E3BD6" w:rsidP="00B4771C" w:rsidRDefault="005E3BD6" w14:paraId="033138B1" w14:textId="77777777">
                <w:pPr>
                  <w:rPr>
                    <w:rFonts w:ascii="Nunito Sans" w:hAnsi="Nunito Sans" w:cs="Calibri"/>
                    <w:color w:val="000000"/>
                    <w:sz w:val="18"/>
                    <w:szCs w:val="18"/>
                  </w:rPr>
                </w:pPr>
                <w:r w:rsidRPr="003D3358">
                  <w:rPr>
                    <w:rFonts w:ascii="Nunito Sans" w:hAnsi="Nunito Sans" w:cs="Calibri"/>
                    <w:color w:val="000000"/>
                    <w:sz w:val="18"/>
                    <w:szCs w:val="18"/>
                  </w:rPr>
                  <w:t>21</w:t>
                </w:r>
              </w:p>
            </w:tc>
            <w:tc>
              <w:tcPr>
                <w:tcW w:w="993" w:type="dxa"/>
                <w:vAlign w:val="center"/>
                <w:hideMark/>
              </w:tcPr>
              <w:p w:rsidRPr="003D3358" w:rsidR="005E3BD6" w:rsidP="00B4771C" w:rsidRDefault="005E3BD6" w14:paraId="12587D4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67C9B466" w14:textId="77777777">
                <w:pPr>
                  <w:rPr>
                    <w:rFonts w:ascii="Nunito Sans" w:hAnsi="Nunito Sans" w:cs="Calibri"/>
                    <w:color w:val="000000"/>
                    <w:sz w:val="18"/>
                    <w:szCs w:val="18"/>
                  </w:rPr>
                </w:pPr>
                <w:r w:rsidRPr="003D3358">
                  <w:rPr>
                    <w:rFonts w:ascii="Nunito Sans" w:hAnsi="Nunito Sans" w:cs="Calibri"/>
                    <w:color w:val="000000"/>
                    <w:sz w:val="18"/>
                    <w:szCs w:val="18"/>
                  </w:rPr>
                  <w:t>Comercializador Industrial</w:t>
                </w:r>
              </w:p>
            </w:tc>
            <w:tc>
              <w:tcPr>
                <w:tcW w:w="1701" w:type="dxa"/>
                <w:vAlign w:val="center"/>
                <w:hideMark/>
              </w:tcPr>
              <w:p w:rsidRPr="003D3358" w:rsidR="005E3BD6" w:rsidP="00B4771C" w:rsidRDefault="005E3BD6" w14:paraId="401AAE1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00679536" w14:textId="77777777">
            <w:trPr>
              <w:trHeight w:val="240"/>
            </w:trPr>
            <w:tc>
              <w:tcPr>
                <w:tcW w:w="420" w:type="dxa"/>
                <w:vAlign w:val="center"/>
                <w:hideMark/>
              </w:tcPr>
              <w:p w:rsidRPr="003D3358" w:rsidR="005E3BD6" w:rsidP="00B4771C" w:rsidRDefault="005E3BD6" w14:paraId="27F4DC7E" w14:textId="77777777">
                <w:pPr>
                  <w:rPr>
                    <w:rFonts w:ascii="Nunito Sans" w:hAnsi="Nunito Sans" w:cs="Calibri"/>
                    <w:color w:val="000000"/>
                    <w:sz w:val="18"/>
                    <w:szCs w:val="18"/>
                  </w:rPr>
                </w:pPr>
                <w:r w:rsidRPr="003D3358">
                  <w:rPr>
                    <w:rFonts w:ascii="Nunito Sans" w:hAnsi="Nunito Sans" w:cs="Calibri"/>
                    <w:color w:val="000000"/>
                    <w:sz w:val="18"/>
                    <w:szCs w:val="18"/>
                  </w:rPr>
                  <w:t>22</w:t>
                </w:r>
              </w:p>
            </w:tc>
            <w:tc>
              <w:tcPr>
                <w:tcW w:w="993" w:type="dxa"/>
                <w:vAlign w:val="center"/>
                <w:hideMark/>
              </w:tcPr>
              <w:p w:rsidRPr="003D3358" w:rsidR="005E3BD6" w:rsidP="00B4771C" w:rsidRDefault="005E3BD6" w14:paraId="77BBA01E"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3FA90A3" w14:textId="77777777">
                <w:pPr>
                  <w:rPr>
                    <w:rFonts w:ascii="Nunito Sans" w:hAnsi="Nunito Sans" w:cs="Calibri"/>
                    <w:color w:val="000000"/>
                    <w:sz w:val="18"/>
                    <w:szCs w:val="18"/>
                  </w:rPr>
                </w:pPr>
                <w:r w:rsidRPr="003D3358">
                  <w:rPr>
                    <w:rFonts w:ascii="Nunito Sans" w:hAnsi="Nunito Sans" w:cs="Calibri"/>
                    <w:color w:val="000000"/>
                    <w:sz w:val="18"/>
                    <w:szCs w:val="18"/>
                  </w:rPr>
                  <w:t>Refinador</w:t>
                </w:r>
              </w:p>
            </w:tc>
            <w:tc>
              <w:tcPr>
                <w:tcW w:w="1701" w:type="dxa"/>
                <w:vAlign w:val="center"/>
                <w:hideMark/>
              </w:tcPr>
              <w:p w:rsidRPr="003D3358" w:rsidR="005E3BD6" w:rsidP="00B4771C" w:rsidRDefault="005E3BD6" w14:paraId="6E8BB33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4EC9C7EB" w14:textId="77777777">
            <w:trPr>
              <w:trHeight w:val="240"/>
            </w:trPr>
            <w:tc>
              <w:tcPr>
                <w:tcW w:w="420" w:type="dxa"/>
                <w:vAlign w:val="center"/>
                <w:hideMark/>
              </w:tcPr>
              <w:p w:rsidRPr="003D3358" w:rsidR="005E3BD6" w:rsidP="00B4771C" w:rsidRDefault="005E3BD6" w14:paraId="20D3E3B4" w14:textId="77777777">
                <w:pPr>
                  <w:rPr>
                    <w:rFonts w:ascii="Nunito Sans" w:hAnsi="Nunito Sans" w:cs="Calibri"/>
                    <w:color w:val="000000"/>
                    <w:sz w:val="18"/>
                    <w:szCs w:val="18"/>
                  </w:rPr>
                </w:pPr>
                <w:r w:rsidRPr="003D3358">
                  <w:rPr>
                    <w:rFonts w:ascii="Nunito Sans" w:hAnsi="Nunito Sans" w:cs="Calibri"/>
                    <w:color w:val="000000"/>
                    <w:sz w:val="18"/>
                    <w:szCs w:val="18"/>
                  </w:rPr>
                  <w:t>23</w:t>
                </w:r>
              </w:p>
            </w:tc>
            <w:tc>
              <w:tcPr>
                <w:tcW w:w="993" w:type="dxa"/>
                <w:vAlign w:val="center"/>
                <w:hideMark/>
              </w:tcPr>
              <w:p w:rsidRPr="003D3358" w:rsidR="005E3BD6" w:rsidP="00B4771C" w:rsidRDefault="005E3BD6" w14:paraId="7BD334E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0A05E59" w14:textId="77777777">
                <w:pPr>
                  <w:rPr>
                    <w:rFonts w:ascii="Nunito Sans" w:hAnsi="Nunito Sans" w:cs="Calibri"/>
                    <w:color w:val="000000"/>
                    <w:sz w:val="18"/>
                    <w:szCs w:val="18"/>
                  </w:rPr>
                </w:pPr>
                <w:r w:rsidRPr="003D3358">
                  <w:rPr>
                    <w:rFonts w:ascii="Nunito Sans" w:hAnsi="Nunito Sans" w:cs="Calibri"/>
                    <w:color w:val="000000"/>
                    <w:sz w:val="18"/>
                    <w:szCs w:val="18"/>
                  </w:rPr>
                  <w:t>Importador</w:t>
                </w:r>
              </w:p>
            </w:tc>
            <w:tc>
              <w:tcPr>
                <w:tcW w:w="1701" w:type="dxa"/>
                <w:vAlign w:val="center"/>
                <w:hideMark/>
              </w:tcPr>
              <w:p w:rsidRPr="003D3358" w:rsidR="005E3BD6" w:rsidP="00B4771C" w:rsidRDefault="005E3BD6" w14:paraId="5350689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77E21B71" w14:textId="77777777">
            <w:trPr>
              <w:trHeight w:val="240"/>
            </w:trPr>
            <w:tc>
              <w:tcPr>
                <w:tcW w:w="420" w:type="dxa"/>
                <w:vAlign w:val="center"/>
                <w:hideMark/>
              </w:tcPr>
              <w:p w:rsidRPr="003D3358" w:rsidR="005E3BD6" w:rsidP="00B4771C" w:rsidRDefault="005E3BD6" w14:paraId="2E075265" w14:textId="77777777">
                <w:pPr>
                  <w:rPr>
                    <w:rFonts w:ascii="Nunito Sans" w:hAnsi="Nunito Sans" w:cs="Calibri"/>
                    <w:color w:val="000000"/>
                    <w:sz w:val="18"/>
                    <w:szCs w:val="18"/>
                  </w:rPr>
                </w:pPr>
                <w:r w:rsidRPr="003D3358">
                  <w:rPr>
                    <w:rFonts w:ascii="Nunito Sans" w:hAnsi="Nunito Sans" w:cs="Calibri"/>
                    <w:color w:val="000000"/>
                    <w:sz w:val="18"/>
                    <w:szCs w:val="18"/>
                  </w:rPr>
                  <w:t>24</w:t>
                </w:r>
              </w:p>
            </w:tc>
            <w:tc>
              <w:tcPr>
                <w:tcW w:w="993" w:type="dxa"/>
                <w:vAlign w:val="center"/>
                <w:hideMark/>
              </w:tcPr>
              <w:p w:rsidRPr="003D3358" w:rsidR="005E3BD6" w:rsidP="00B4771C" w:rsidRDefault="005E3BD6" w14:paraId="69F0C63A"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54F1A198" w14:textId="77777777">
                <w:pPr>
                  <w:rPr>
                    <w:rFonts w:ascii="Nunito Sans" w:hAnsi="Nunito Sans" w:cs="Calibri"/>
                    <w:color w:val="000000"/>
                    <w:sz w:val="18"/>
                    <w:szCs w:val="18"/>
                  </w:rPr>
                </w:pPr>
                <w:r w:rsidRPr="003D3358">
                  <w:rPr>
                    <w:rFonts w:ascii="Nunito Sans" w:hAnsi="Nunito Sans" w:cs="Calibri"/>
                    <w:color w:val="000000"/>
                    <w:sz w:val="18"/>
                    <w:szCs w:val="18"/>
                  </w:rPr>
                  <w:t xml:space="preserve">Distribuidor Mayorista </w:t>
                </w:r>
              </w:p>
            </w:tc>
            <w:tc>
              <w:tcPr>
                <w:tcW w:w="1701" w:type="dxa"/>
                <w:vAlign w:val="center"/>
                <w:hideMark/>
              </w:tcPr>
              <w:p w:rsidRPr="003D3358" w:rsidR="005E3BD6" w:rsidP="00B4771C" w:rsidRDefault="005E3BD6" w14:paraId="54D12E17"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551B18F7" w14:textId="77777777">
            <w:trPr>
              <w:trHeight w:val="240"/>
            </w:trPr>
            <w:tc>
              <w:tcPr>
                <w:tcW w:w="420" w:type="dxa"/>
                <w:vAlign w:val="center"/>
                <w:hideMark/>
              </w:tcPr>
              <w:p w:rsidRPr="003D3358" w:rsidR="005E3BD6" w:rsidP="00B4771C" w:rsidRDefault="005E3BD6" w14:paraId="3843BE41" w14:textId="77777777">
                <w:pPr>
                  <w:rPr>
                    <w:rFonts w:ascii="Nunito Sans" w:hAnsi="Nunito Sans" w:cs="Calibri"/>
                    <w:color w:val="000000"/>
                    <w:sz w:val="18"/>
                    <w:szCs w:val="18"/>
                  </w:rPr>
                </w:pPr>
                <w:r w:rsidRPr="003D3358">
                  <w:rPr>
                    <w:rFonts w:ascii="Nunito Sans" w:hAnsi="Nunito Sans" w:cs="Calibri"/>
                    <w:color w:val="000000"/>
                    <w:sz w:val="18"/>
                    <w:szCs w:val="18"/>
                  </w:rPr>
                  <w:t>25</w:t>
                </w:r>
              </w:p>
            </w:tc>
            <w:tc>
              <w:tcPr>
                <w:tcW w:w="993" w:type="dxa"/>
                <w:vAlign w:val="center"/>
                <w:hideMark/>
              </w:tcPr>
              <w:p w:rsidRPr="003D3358" w:rsidR="005E3BD6" w:rsidP="00B4771C" w:rsidRDefault="005E3BD6" w14:paraId="19E6955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3DFCCAC8" w14:textId="77777777">
                <w:pPr>
                  <w:rPr>
                    <w:rFonts w:ascii="Nunito Sans" w:hAnsi="Nunito Sans" w:cs="Calibri"/>
                    <w:color w:val="000000"/>
                    <w:sz w:val="18"/>
                    <w:szCs w:val="18"/>
                  </w:rPr>
                </w:pPr>
                <w:r w:rsidRPr="003D3358">
                  <w:rPr>
                    <w:rFonts w:ascii="Nunito Sans" w:hAnsi="Nunito Sans" w:cs="Calibri"/>
                    <w:color w:val="000000"/>
                    <w:sz w:val="18"/>
                    <w:szCs w:val="18"/>
                  </w:rPr>
                  <w:t>Almacenador</w:t>
                </w:r>
              </w:p>
            </w:tc>
            <w:tc>
              <w:tcPr>
                <w:tcW w:w="1701" w:type="dxa"/>
                <w:vAlign w:val="center"/>
                <w:hideMark/>
              </w:tcPr>
              <w:p w:rsidRPr="003D3358" w:rsidR="005E3BD6" w:rsidP="00B4771C" w:rsidRDefault="005E3BD6" w14:paraId="25FC24C3"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4F10B836" w14:textId="77777777">
            <w:trPr>
              <w:trHeight w:val="240"/>
            </w:trPr>
            <w:tc>
              <w:tcPr>
                <w:tcW w:w="420" w:type="dxa"/>
                <w:vAlign w:val="center"/>
                <w:hideMark/>
              </w:tcPr>
              <w:p w:rsidRPr="003D3358" w:rsidR="005E3BD6" w:rsidP="00B4771C" w:rsidRDefault="005E3BD6" w14:paraId="0B99AA8E" w14:textId="77777777">
                <w:pPr>
                  <w:rPr>
                    <w:rFonts w:ascii="Nunito Sans" w:hAnsi="Nunito Sans" w:cs="Calibri"/>
                    <w:color w:val="000000"/>
                    <w:sz w:val="18"/>
                    <w:szCs w:val="18"/>
                  </w:rPr>
                </w:pPr>
                <w:r w:rsidRPr="003D3358">
                  <w:rPr>
                    <w:rFonts w:ascii="Nunito Sans" w:hAnsi="Nunito Sans" w:cs="Calibri"/>
                    <w:color w:val="000000"/>
                    <w:sz w:val="18"/>
                    <w:szCs w:val="18"/>
                  </w:rPr>
                  <w:t>26</w:t>
                </w:r>
              </w:p>
            </w:tc>
            <w:tc>
              <w:tcPr>
                <w:tcW w:w="993" w:type="dxa"/>
                <w:vAlign w:val="center"/>
                <w:hideMark/>
              </w:tcPr>
              <w:p w:rsidRPr="003D3358" w:rsidR="005E3BD6" w:rsidP="00B4771C" w:rsidRDefault="005E3BD6" w14:paraId="2130AF8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63C997E4" w14:textId="77777777">
                <w:pPr>
                  <w:rPr>
                    <w:rFonts w:ascii="Nunito Sans" w:hAnsi="Nunito Sans" w:cs="Calibri"/>
                    <w:color w:val="000000"/>
                    <w:sz w:val="18"/>
                    <w:szCs w:val="18"/>
                  </w:rPr>
                </w:pPr>
                <w:r w:rsidRPr="003D3358">
                  <w:rPr>
                    <w:rFonts w:ascii="Nunito Sans" w:hAnsi="Nunito Sans" w:cs="Calibri"/>
                    <w:color w:val="000000"/>
                    <w:sz w:val="18"/>
                    <w:szCs w:val="18"/>
                  </w:rPr>
                  <w:t>Cambio Propietario</w:t>
                </w:r>
              </w:p>
            </w:tc>
            <w:tc>
              <w:tcPr>
                <w:tcW w:w="1701" w:type="dxa"/>
                <w:vAlign w:val="center"/>
                <w:hideMark/>
              </w:tcPr>
              <w:p w:rsidRPr="003D3358" w:rsidR="005E3BD6" w:rsidP="00B4771C" w:rsidRDefault="005E3BD6" w14:paraId="47D4F03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5E18B227" w14:textId="77777777">
            <w:trPr>
              <w:trHeight w:val="240"/>
            </w:trPr>
            <w:tc>
              <w:tcPr>
                <w:tcW w:w="420" w:type="dxa"/>
                <w:vAlign w:val="center"/>
                <w:hideMark/>
              </w:tcPr>
              <w:p w:rsidRPr="003D3358" w:rsidR="005E3BD6" w:rsidP="00B4771C" w:rsidRDefault="005E3BD6" w14:paraId="4F77D2F9" w14:textId="77777777">
                <w:pPr>
                  <w:rPr>
                    <w:rFonts w:ascii="Nunito Sans" w:hAnsi="Nunito Sans" w:cs="Calibri"/>
                    <w:color w:val="000000"/>
                    <w:sz w:val="18"/>
                    <w:szCs w:val="18"/>
                  </w:rPr>
                </w:pPr>
                <w:r w:rsidRPr="003D3358">
                  <w:rPr>
                    <w:rFonts w:ascii="Nunito Sans" w:hAnsi="Nunito Sans" w:cs="Calibri"/>
                    <w:color w:val="000000"/>
                    <w:sz w:val="18"/>
                    <w:szCs w:val="18"/>
                  </w:rPr>
                  <w:t>27</w:t>
                </w:r>
              </w:p>
            </w:tc>
            <w:tc>
              <w:tcPr>
                <w:tcW w:w="993" w:type="dxa"/>
                <w:vAlign w:val="center"/>
                <w:hideMark/>
              </w:tcPr>
              <w:p w:rsidRPr="003D3358" w:rsidR="005E3BD6" w:rsidP="00B4771C" w:rsidRDefault="005E3BD6" w14:paraId="42E56EC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6D6A2D9" w14:textId="77777777">
                <w:pPr>
                  <w:rPr>
                    <w:rFonts w:ascii="Nunito Sans" w:hAnsi="Nunito Sans" w:cs="Calibri"/>
                    <w:color w:val="000000"/>
                    <w:sz w:val="18"/>
                    <w:szCs w:val="18"/>
                  </w:rPr>
                </w:pPr>
                <w:r w:rsidRPr="003D3358">
                  <w:rPr>
                    <w:rFonts w:ascii="Nunito Sans" w:hAnsi="Nunito Sans" w:cs="Calibri"/>
                    <w:color w:val="000000"/>
                    <w:sz w:val="18"/>
                    <w:szCs w:val="18"/>
                  </w:rPr>
                  <w:t>Cambio Operador</w:t>
                </w:r>
              </w:p>
            </w:tc>
            <w:tc>
              <w:tcPr>
                <w:tcW w:w="1701" w:type="dxa"/>
                <w:vAlign w:val="center"/>
                <w:hideMark/>
              </w:tcPr>
              <w:p w:rsidRPr="003D3358" w:rsidR="005E3BD6" w:rsidP="00B4771C" w:rsidRDefault="005E3BD6" w14:paraId="23325CA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68B747FA" w14:textId="77777777">
            <w:trPr>
              <w:trHeight w:val="240"/>
            </w:trPr>
            <w:tc>
              <w:tcPr>
                <w:tcW w:w="420" w:type="dxa"/>
                <w:vAlign w:val="center"/>
                <w:hideMark/>
              </w:tcPr>
              <w:p w:rsidRPr="003D3358" w:rsidR="005E3BD6" w:rsidP="00B4771C" w:rsidRDefault="005E3BD6" w14:paraId="7477734F" w14:textId="77777777">
                <w:pPr>
                  <w:rPr>
                    <w:rFonts w:ascii="Nunito Sans" w:hAnsi="Nunito Sans" w:cs="Calibri"/>
                    <w:color w:val="000000"/>
                    <w:sz w:val="18"/>
                    <w:szCs w:val="18"/>
                  </w:rPr>
                </w:pPr>
                <w:r w:rsidRPr="003D3358">
                  <w:rPr>
                    <w:rFonts w:ascii="Nunito Sans" w:hAnsi="Nunito Sans" w:cs="Calibri"/>
                    <w:color w:val="000000"/>
                    <w:sz w:val="18"/>
                    <w:szCs w:val="18"/>
                  </w:rPr>
                  <w:t>28</w:t>
                </w:r>
              </w:p>
            </w:tc>
            <w:tc>
              <w:tcPr>
                <w:tcW w:w="993" w:type="dxa"/>
                <w:vAlign w:val="center"/>
                <w:hideMark/>
              </w:tcPr>
              <w:p w:rsidRPr="003D3358" w:rsidR="005E3BD6" w:rsidP="00B4771C" w:rsidRDefault="005E3BD6" w14:paraId="258F822E"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0D81E885" w14:textId="77777777">
                <w:pPr>
                  <w:rPr>
                    <w:rFonts w:ascii="Nunito Sans" w:hAnsi="Nunito Sans" w:cs="Calibri"/>
                    <w:color w:val="000000"/>
                    <w:sz w:val="18"/>
                    <w:szCs w:val="18"/>
                  </w:rPr>
                </w:pPr>
                <w:r w:rsidRPr="003D3358">
                  <w:rPr>
                    <w:rFonts w:ascii="Nunito Sans" w:hAnsi="Nunito Sans" w:cs="Calibri"/>
                    <w:color w:val="000000"/>
                    <w:sz w:val="18"/>
                    <w:szCs w:val="18"/>
                  </w:rPr>
                  <w:t>Cambio Distribuidor Mayorista</w:t>
                </w:r>
              </w:p>
            </w:tc>
            <w:tc>
              <w:tcPr>
                <w:tcW w:w="1701" w:type="dxa"/>
                <w:vAlign w:val="center"/>
                <w:hideMark/>
              </w:tcPr>
              <w:p w:rsidRPr="003D3358" w:rsidR="005E3BD6" w:rsidP="00B4771C" w:rsidRDefault="005E3BD6" w14:paraId="4BC1E69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2DB2866E" w14:textId="77777777">
            <w:trPr>
              <w:trHeight w:val="240"/>
            </w:trPr>
            <w:tc>
              <w:tcPr>
                <w:tcW w:w="420" w:type="dxa"/>
                <w:vAlign w:val="center"/>
                <w:hideMark/>
              </w:tcPr>
              <w:p w:rsidRPr="003D3358" w:rsidR="005E3BD6" w:rsidP="00B4771C" w:rsidRDefault="005E3BD6" w14:paraId="5A5132F6" w14:textId="77777777">
                <w:pPr>
                  <w:rPr>
                    <w:rFonts w:ascii="Nunito Sans" w:hAnsi="Nunito Sans" w:cs="Calibri"/>
                    <w:color w:val="000000"/>
                    <w:sz w:val="18"/>
                    <w:szCs w:val="18"/>
                  </w:rPr>
                </w:pPr>
                <w:r w:rsidRPr="003D3358">
                  <w:rPr>
                    <w:rFonts w:ascii="Nunito Sans" w:hAnsi="Nunito Sans" w:cs="Calibri"/>
                    <w:color w:val="000000"/>
                    <w:sz w:val="18"/>
                    <w:szCs w:val="18"/>
                  </w:rPr>
                  <w:t>29</w:t>
                </w:r>
              </w:p>
            </w:tc>
            <w:tc>
              <w:tcPr>
                <w:tcW w:w="993" w:type="dxa"/>
                <w:vAlign w:val="center"/>
                <w:hideMark/>
              </w:tcPr>
              <w:p w:rsidRPr="003D3358" w:rsidR="005E3BD6" w:rsidP="00B4771C" w:rsidRDefault="005E3BD6" w14:paraId="781CEBD8"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0890AD91" w14:textId="77777777">
                <w:pPr>
                  <w:rPr>
                    <w:rFonts w:ascii="Nunito Sans" w:hAnsi="Nunito Sans" w:cs="Calibri"/>
                    <w:color w:val="000000"/>
                    <w:sz w:val="18"/>
                    <w:szCs w:val="18"/>
                  </w:rPr>
                </w:pPr>
                <w:r w:rsidRPr="003D3358">
                  <w:rPr>
                    <w:rFonts w:ascii="Nunito Sans" w:hAnsi="Nunito Sans" w:cs="Calibri"/>
                    <w:color w:val="000000"/>
                    <w:sz w:val="18"/>
                    <w:szCs w:val="18"/>
                  </w:rPr>
                  <w:t>Cambio de Razón Social</w:t>
                </w:r>
              </w:p>
            </w:tc>
            <w:tc>
              <w:tcPr>
                <w:tcW w:w="1701" w:type="dxa"/>
                <w:vAlign w:val="center"/>
                <w:hideMark/>
              </w:tcPr>
              <w:p w:rsidRPr="003D3358" w:rsidR="005E3BD6" w:rsidP="00B4771C" w:rsidRDefault="005E3BD6" w14:paraId="315F3CF6"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103075EC" w14:textId="77777777">
            <w:trPr>
              <w:trHeight w:val="240"/>
            </w:trPr>
            <w:tc>
              <w:tcPr>
                <w:tcW w:w="420" w:type="dxa"/>
                <w:vAlign w:val="center"/>
                <w:hideMark/>
              </w:tcPr>
              <w:p w:rsidRPr="003D3358" w:rsidR="005E3BD6" w:rsidP="00B4771C" w:rsidRDefault="005E3BD6" w14:paraId="34DBF45E" w14:textId="77777777">
                <w:pPr>
                  <w:rPr>
                    <w:rFonts w:ascii="Nunito Sans" w:hAnsi="Nunito Sans" w:cs="Calibri"/>
                    <w:color w:val="000000"/>
                    <w:sz w:val="18"/>
                    <w:szCs w:val="18"/>
                  </w:rPr>
                </w:pPr>
                <w:r w:rsidRPr="003D3358">
                  <w:rPr>
                    <w:rFonts w:ascii="Nunito Sans" w:hAnsi="Nunito Sans" w:cs="Calibri"/>
                    <w:color w:val="000000"/>
                    <w:sz w:val="18"/>
                    <w:szCs w:val="18"/>
                  </w:rPr>
                  <w:t>30</w:t>
                </w:r>
              </w:p>
            </w:tc>
            <w:tc>
              <w:tcPr>
                <w:tcW w:w="993" w:type="dxa"/>
                <w:vAlign w:val="center"/>
                <w:hideMark/>
              </w:tcPr>
              <w:p w:rsidRPr="003D3358" w:rsidR="005E3BD6" w:rsidP="00B4771C" w:rsidRDefault="005E3BD6" w14:paraId="753A7BC8"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5FABAC5A" w14:textId="77777777">
                <w:pPr>
                  <w:rPr>
                    <w:rFonts w:ascii="Nunito Sans" w:hAnsi="Nunito Sans" w:cs="Calibri"/>
                    <w:color w:val="000000"/>
                    <w:sz w:val="18"/>
                    <w:szCs w:val="18"/>
                  </w:rPr>
                </w:pPr>
                <w:r w:rsidRPr="003D3358">
                  <w:rPr>
                    <w:rFonts w:ascii="Nunito Sans" w:hAnsi="Nunito Sans" w:cs="Calibri"/>
                    <w:color w:val="000000"/>
                    <w:sz w:val="18"/>
                    <w:szCs w:val="18"/>
                  </w:rPr>
                  <w:t>Cambio de Organismo Evaluador</w:t>
                </w:r>
              </w:p>
            </w:tc>
            <w:tc>
              <w:tcPr>
                <w:tcW w:w="1701" w:type="dxa"/>
                <w:vAlign w:val="center"/>
                <w:hideMark/>
              </w:tcPr>
              <w:p w:rsidRPr="003D3358" w:rsidR="005E3BD6" w:rsidP="00B4771C" w:rsidRDefault="005E3BD6" w14:paraId="57FFECE8"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68931E24" w14:textId="77777777">
            <w:trPr>
              <w:trHeight w:val="240"/>
            </w:trPr>
            <w:tc>
              <w:tcPr>
                <w:tcW w:w="420" w:type="dxa"/>
                <w:vAlign w:val="center"/>
                <w:hideMark/>
              </w:tcPr>
              <w:p w:rsidRPr="003D3358" w:rsidR="005E3BD6" w:rsidP="00B4771C" w:rsidRDefault="005E3BD6" w14:paraId="2E2898F4" w14:textId="77777777">
                <w:pPr>
                  <w:rPr>
                    <w:rFonts w:ascii="Nunito Sans" w:hAnsi="Nunito Sans" w:cs="Calibri"/>
                    <w:color w:val="000000"/>
                    <w:sz w:val="18"/>
                    <w:szCs w:val="18"/>
                  </w:rPr>
                </w:pPr>
                <w:r w:rsidRPr="003D3358">
                  <w:rPr>
                    <w:rFonts w:ascii="Nunito Sans" w:hAnsi="Nunito Sans" w:cs="Calibri"/>
                    <w:color w:val="000000"/>
                    <w:sz w:val="18"/>
                    <w:szCs w:val="18"/>
                  </w:rPr>
                  <w:t>31</w:t>
                </w:r>
              </w:p>
            </w:tc>
            <w:tc>
              <w:tcPr>
                <w:tcW w:w="993" w:type="dxa"/>
                <w:vAlign w:val="center"/>
                <w:hideMark/>
              </w:tcPr>
              <w:p w:rsidRPr="003D3358" w:rsidR="005E3BD6" w:rsidP="00B4771C" w:rsidRDefault="005E3BD6" w14:paraId="6680A7A6"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0AC716E" w14:textId="77777777">
                <w:pPr>
                  <w:rPr>
                    <w:rFonts w:ascii="Nunito Sans" w:hAnsi="Nunito Sans" w:cs="Calibri"/>
                    <w:color w:val="000000"/>
                    <w:sz w:val="18"/>
                    <w:szCs w:val="18"/>
                  </w:rPr>
                </w:pPr>
                <w:r w:rsidRPr="003D3358">
                  <w:rPr>
                    <w:rFonts w:ascii="Nunito Sans" w:hAnsi="Nunito Sans" w:cs="Calibri"/>
                    <w:color w:val="000000"/>
                    <w:sz w:val="18"/>
                    <w:szCs w:val="18"/>
                  </w:rPr>
                  <w:t>Actualización de Nomenclatura en Sicom</w:t>
                </w:r>
              </w:p>
            </w:tc>
            <w:tc>
              <w:tcPr>
                <w:tcW w:w="1701" w:type="dxa"/>
                <w:vAlign w:val="center"/>
                <w:hideMark/>
              </w:tcPr>
              <w:p w:rsidRPr="003D3358" w:rsidR="005E3BD6" w:rsidP="00B4771C" w:rsidRDefault="005E3BD6" w14:paraId="228878E8"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5FE89B88" w14:textId="77777777">
            <w:trPr>
              <w:trHeight w:val="480"/>
            </w:trPr>
            <w:tc>
              <w:tcPr>
                <w:tcW w:w="420" w:type="dxa"/>
                <w:vAlign w:val="center"/>
                <w:hideMark/>
              </w:tcPr>
              <w:p w:rsidRPr="003D3358" w:rsidR="005E3BD6" w:rsidP="00B4771C" w:rsidRDefault="005E3BD6" w14:paraId="6EF83E51" w14:textId="77777777">
                <w:pPr>
                  <w:rPr>
                    <w:rFonts w:ascii="Nunito Sans" w:hAnsi="Nunito Sans" w:cs="Calibri"/>
                    <w:color w:val="000000"/>
                    <w:sz w:val="18"/>
                    <w:szCs w:val="18"/>
                  </w:rPr>
                </w:pPr>
                <w:r w:rsidRPr="003D3358">
                  <w:rPr>
                    <w:rFonts w:ascii="Nunito Sans" w:hAnsi="Nunito Sans" w:cs="Calibri"/>
                    <w:color w:val="000000"/>
                    <w:sz w:val="18"/>
                    <w:szCs w:val="18"/>
                  </w:rPr>
                  <w:t>32</w:t>
                </w:r>
              </w:p>
            </w:tc>
            <w:tc>
              <w:tcPr>
                <w:tcW w:w="993" w:type="dxa"/>
                <w:vAlign w:val="center"/>
                <w:hideMark/>
              </w:tcPr>
              <w:p w:rsidRPr="003D3358" w:rsidR="005E3BD6" w:rsidP="00B4771C" w:rsidRDefault="005E3BD6" w14:paraId="447B9134"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537E4165" w14:textId="77777777">
                <w:pPr>
                  <w:rPr>
                    <w:rFonts w:ascii="Nunito Sans" w:hAnsi="Nunito Sans" w:cs="Calibri"/>
                    <w:color w:val="000000"/>
                    <w:sz w:val="18"/>
                    <w:szCs w:val="18"/>
                  </w:rPr>
                </w:pPr>
                <w:r w:rsidRPr="003D3358">
                  <w:rPr>
                    <w:rFonts w:ascii="Nunito Sans" w:hAnsi="Nunito Sans" w:cs="Calibri"/>
                    <w:color w:val="000000"/>
                    <w:sz w:val="18"/>
                    <w:szCs w:val="18"/>
                  </w:rPr>
                  <w:t>Solicitud de Vinculación de Vehículo a Comercializador Industrial</w:t>
                </w:r>
              </w:p>
            </w:tc>
            <w:tc>
              <w:tcPr>
                <w:tcW w:w="1701" w:type="dxa"/>
                <w:vAlign w:val="center"/>
                <w:hideMark/>
              </w:tcPr>
              <w:p w:rsidRPr="003D3358" w:rsidR="005E3BD6" w:rsidP="00B4771C" w:rsidRDefault="005E3BD6" w14:paraId="2D9FA0C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01F2BF67" w14:textId="77777777">
            <w:trPr>
              <w:trHeight w:val="480"/>
            </w:trPr>
            <w:tc>
              <w:tcPr>
                <w:tcW w:w="420" w:type="dxa"/>
                <w:vAlign w:val="center"/>
                <w:hideMark/>
              </w:tcPr>
              <w:p w:rsidRPr="003D3358" w:rsidR="005E3BD6" w:rsidP="00B4771C" w:rsidRDefault="005E3BD6" w14:paraId="79A3A00C" w14:textId="77777777">
                <w:pPr>
                  <w:rPr>
                    <w:rFonts w:ascii="Nunito Sans" w:hAnsi="Nunito Sans" w:cs="Calibri"/>
                    <w:color w:val="000000"/>
                    <w:sz w:val="18"/>
                    <w:szCs w:val="18"/>
                  </w:rPr>
                </w:pPr>
                <w:r w:rsidRPr="003D3358">
                  <w:rPr>
                    <w:rFonts w:ascii="Nunito Sans" w:hAnsi="Nunito Sans" w:cs="Calibri"/>
                    <w:color w:val="000000"/>
                    <w:sz w:val="18"/>
                    <w:szCs w:val="18"/>
                  </w:rPr>
                  <w:t>33</w:t>
                </w:r>
              </w:p>
            </w:tc>
            <w:tc>
              <w:tcPr>
                <w:tcW w:w="993" w:type="dxa"/>
                <w:vAlign w:val="center"/>
                <w:hideMark/>
              </w:tcPr>
              <w:p w:rsidRPr="003D3358" w:rsidR="005E3BD6" w:rsidP="00B4771C" w:rsidRDefault="005E3BD6" w14:paraId="153FDEE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E57F999" w14:textId="77777777">
                <w:pPr>
                  <w:rPr>
                    <w:rFonts w:ascii="Nunito Sans" w:hAnsi="Nunito Sans" w:cs="Calibri"/>
                    <w:color w:val="000000"/>
                    <w:sz w:val="18"/>
                    <w:szCs w:val="18"/>
                  </w:rPr>
                </w:pPr>
                <w:r w:rsidRPr="003D3358">
                  <w:rPr>
                    <w:rFonts w:ascii="Nunito Sans" w:hAnsi="Nunito Sans" w:cs="Calibri"/>
                    <w:color w:val="000000"/>
                    <w:sz w:val="18"/>
                    <w:szCs w:val="18"/>
                  </w:rPr>
                  <w:t>Solicitud de Desvinculación de Vehículo a Comercializador Industrial</w:t>
                </w:r>
              </w:p>
            </w:tc>
            <w:tc>
              <w:tcPr>
                <w:tcW w:w="1701" w:type="dxa"/>
                <w:vAlign w:val="center"/>
                <w:hideMark/>
              </w:tcPr>
              <w:p w:rsidRPr="003D3358" w:rsidR="005E3BD6" w:rsidP="00B4771C" w:rsidRDefault="005E3BD6" w14:paraId="200F31B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205D5524" w14:textId="77777777">
            <w:trPr>
              <w:trHeight w:val="240"/>
            </w:trPr>
            <w:tc>
              <w:tcPr>
                <w:tcW w:w="420" w:type="dxa"/>
                <w:vAlign w:val="center"/>
                <w:hideMark/>
              </w:tcPr>
              <w:p w:rsidRPr="003D3358" w:rsidR="005E3BD6" w:rsidP="00B4771C" w:rsidRDefault="005E3BD6" w14:paraId="58A5934E" w14:textId="77777777">
                <w:pPr>
                  <w:rPr>
                    <w:rFonts w:ascii="Nunito Sans" w:hAnsi="Nunito Sans" w:cs="Calibri"/>
                    <w:color w:val="000000"/>
                    <w:sz w:val="18"/>
                    <w:szCs w:val="18"/>
                  </w:rPr>
                </w:pPr>
                <w:r w:rsidRPr="003D3358">
                  <w:rPr>
                    <w:rFonts w:ascii="Nunito Sans" w:hAnsi="Nunito Sans" w:cs="Calibri"/>
                    <w:color w:val="000000"/>
                    <w:sz w:val="18"/>
                    <w:szCs w:val="18"/>
                  </w:rPr>
                  <w:lastRenderedPageBreak/>
                  <w:t>34</w:t>
                </w:r>
              </w:p>
            </w:tc>
            <w:tc>
              <w:tcPr>
                <w:tcW w:w="993" w:type="dxa"/>
                <w:vAlign w:val="center"/>
                <w:hideMark/>
              </w:tcPr>
              <w:p w:rsidRPr="003D3358" w:rsidR="005E3BD6" w:rsidP="00B4771C" w:rsidRDefault="005E3BD6" w14:paraId="6310FCB7"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1DBBE01C" w14:textId="77777777">
                <w:pPr>
                  <w:rPr>
                    <w:rFonts w:ascii="Nunito Sans" w:hAnsi="Nunito Sans" w:cs="Calibri"/>
                    <w:color w:val="000000"/>
                    <w:sz w:val="18"/>
                    <w:szCs w:val="18"/>
                  </w:rPr>
                </w:pPr>
                <w:r w:rsidRPr="003D3358">
                  <w:rPr>
                    <w:rFonts w:ascii="Nunito Sans" w:hAnsi="Nunito Sans" w:cs="Calibri"/>
                    <w:color w:val="000000"/>
                    <w:sz w:val="18"/>
                    <w:szCs w:val="18"/>
                  </w:rPr>
                  <w:t xml:space="preserve">Solicitud Cambio de Representante Legal </w:t>
                </w:r>
              </w:p>
            </w:tc>
            <w:tc>
              <w:tcPr>
                <w:tcW w:w="1701" w:type="dxa"/>
                <w:vAlign w:val="center"/>
                <w:hideMark/>
              </w:tcPr>
              <w:p w:rsidRPr="003D3358" w:rsidR="005E3BD6" w:rsidP="00B4771C" w:rsidRDefault="005E3BD6" w14:paraId="4B914DA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7E8405FB" w14:textId="77777777">
            <w:trPr>
              <w:trHeight w:val="240"/>
            </w:trPr>
            <w:tc>
              <w:tcPr>
                <w:tcW w:w="420" w:type="dxa"/>
                <w:vAlign w:val="center"/>
                <w:hideMark/>
              </w:tcPr>
              <w:p w:rsidRPr="003D3358" w:rsidR="005E3BD6" w:rsidP="00B4771C" w:rsidRDefault="005E3BD6" w14:paraId="37980C83" w14:textId="77777777">
                <w:pPr>
                  <w:rPr>
                    <w:rFonts w:ascii="Nunito Sans" w:hAnsi="Nunito Sans" w:cs="Calibri"/>
                    <w:color w:val="000000"/>
                    <w:sz w:val="18"/>
                    <w:szCs w:val="18"/>
                  </w:rPr>
                </w:pPr>
                <w:r w:rsidRPr="003D3358">
                  <w:rPr>
                    <w:rFonts w:ascii="Nunito Sans" w:hAnsi="Nunito Sans" w:cs="Calibri"/>
                    <w:color w:val="000000"/>
                    <w:sz w:val="18"/>
                    <w:szCs w:val="18"/>
                  </w:rPr>
                  <w:t>35</w:t>
                </w:r>
              </w:p>
            </w:tc>
            <w:tc>
              <w:tcPr>
                <w:tcW w:w="993" w:type="dxa"/>
                <w:vAlign w:val="center"/>
                <w:hideMark/>
              </w:tcPr>
              <w:p w:rsidRPr="003D3358" w:rsidR="005E3BD6" w:rsidP="00B4771C" w:rsidRDefault="005E3BD6" w14:paraId="5F24CD89"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1EDF9B5" w14:textId="77777777">
                <w:pPr>
                  <w:rPr>
                    <w:rFonts w:ascii="Nunito Sans" w:hAnsi="Nunito Sans" w:cs="Calibri"/>
                    <w:color w:val="000000"/>
                    <w:sz w:val="18"/>
                    <w:szCs w:val="18"/>
                  </w:rPr>
                </w:pPr>
                <w:r w:rsidRPr="003D3358">
                  <w:rPr>
                    <w:rFonts w:ascii="Nunito Sans" w:hAnsi="Nunito Sans" w:cs="Calibri"/>
                    <w:color w:val="000000"/>
                    <w:sz w:val="18"/>
                    <w:szCs w:val="18"/>
                  </w:rPr>
                  <w:t>Cambio de Operador de la EDS de GNCV</w:t>
                </w:r>
              </w:p>
            </w:tc>
            <w:tc>
              <w:tcPr>
                <w:tcW w:w="1701" w:type="dxa"/>
                <w:vAlign w:val="center"/>
                <w:hideMark/>
              </w:tcPr>
              <w:p w:rsidRPr="003D3358" w:rsidR="005E3BD6" w:rsidP="00B4771C" w:rsidRDefault="005E3BD6" w14:paraId="41914EA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049EE380" w14:textId="77777777">
            <w:trPr>
              <w:trHeight w:val="240"/>
            </w:trPr>
            <w:tc>
              <w:tcPr>
                <w:tcW w:w="420" w:type="dxa"/>
                <w:vAlign w:val="center"/>
                <w:hideMark/>
              </w:tcPr>
              <w:p w:rsidRPr="003D3358" w:rsidR="005E3BD6" w:rsidP="00B4771C" w:rsidRDefault="005E3BD6" w14:paraId="29E664CC" w14:textId="77777777">
                <w:pPr>
                  <w:rPr>
                    <w:rFonts w:ascii="Nunito Sans" w:hAnsi="Nunito Sans" w:cs="Calibri"/>
                    <w:color w:val="000000"/>
                    <w:sz w:val="18"/>
                    <w:szCs w:val="18"/>
                  </w:rPr>
                </w:pPr>
                <w:r w:rsidRPr="003D3358">
                  <w:rPr>
                    <w:rFonts w:ascii="Nunito Sans" w:hAnsi="Nunito Sans" w:cs="Calibri"/>
                    <w:color w:val="000000"/>
                    <w:sz w:val="18"/>
                    <w:szCs w:val="18"/>
                  </w:rPr>
                  <w:t>36</w:t>
                </w:r>
              </w:p>
            </w:tc>
            <w:tc>
              <w:tcPr>
                <w:tcW w:w="993" w:type="dxa"/>
                <w:vAlign w:val="center"/>
                <w:hideMark/>
              </w:tcPr>
              <w:p w:rsidRPr="003D3358" w:rsidR="005E3BD6" w:rsidP="00B4771C" w:rsidRDefault="005E3BD6" w14:paraId="06B5AE45"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02EB3D79" w14:textId="77777777">
                <w:pPr>
                  <w:rPr>
                    <w:rFonts w:ascii="Nunito Sans" w:hAnsi="Nunito Sans" w:cs="Calibri"/>
                    <w:color w:val="000000"/>
                    <w:sz w:val="18"/>
                    <w:szCs w:val="18"/>
                  </w:rPr>
                </w:pPr>
                <w:r w:rsidRPr="003D3358">
                  <w:rPr>
                    <w:rFonts w:ascii="Nunito Sans" w:hAnsi="Nunito Sans" w:cs="Calibri"/>
                    <w:color w:val="000000"/>
                    <w:sz w:val="18"/>
                    <w:szCs w:val="18"/>
                  </w:rPr>
                  <w:t>Cambio de Propietario de la EDS de GNCV</w:t>
                </w:r>
              </w:p>
            </w:tc>
            <w:tc>
              <w:tcPr>
                <w:tcW w:w="1701" w:type="dxa"/>
                <w:vAlign w:val="center"/>
                <w:hideMark/>
              </w:tcPr>
              <w:p w:rsidRPr="003D3358" w:rsidR="005E3BD6" w:rsidP="00B4771C" w:rsidRDefault="005E3BD6" w14:paraId="15A20B7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2606F23F" w14:textId="77777777">
            <w:trPr>
              <w:trHeight w:val="240"/>
            </w:trPr>
            <w:tc>
              <w:tcPr>
                <w:tcW w:w="420" w:type="dxa"/>
                <w:vAlign w:val="center"/>
                <w:hideMark/>
              </w:tcPr>
              <w:p w:rsidRPr="003D3358" w:rsidR="005E3BD6" w:rsidP="00B4771C" w:rsidRDefault="005E3BD6" w14:paraId="5E8A5501" w14:textId="77777777">
                <w:pPr>
                  <w:rPr>
                    <w:rFonts w:ascii="Nunito Sans" w:hAnsi="Nunito Sans" w:cs="Calibri"/>
                    <w:color w:val="000000"/>
                    <w:sz w:val="18"/>
                    <w:szCs w:val="18"/>
                  </w:rPr>
                </w:pPr>
                <w:r w:rsidRPr="003D3358">
                  <w:rPr>
                    <w:rFonts w:ascii="Nunito Sans" w:hAnsi="Nunito Sans" w:cs="Calibri"/>
                    <w:color w:val="000000"/>
                    <w:sz w:val="18"/>
                    <w:szCs w:val="18"/>
                  </w:rPr>
                  <w:t>37</w:t>
                </w:r>
              </w:p>
            </w:tc>
            <w:tc>
              <w:tcPr>
                <w:tcW w:w="993" w:type="dxa"/>
                <w:vAlign w:val="center"/>
                <w:hideMark/>
              </w:tcPr>
              <w:p w:rsidRPr="003D3358" w:rsidR="005E3BD6" w:rsidP="00B4771C" w:rsidRDefault="005E3BD6" w14:paraId="7BEBE758"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4170EF6" w14:textId="77777777">
                <w:pPr>
                  <w:rPr>
                    <w:rFonts w:ascii="Nunito Sans" w:hAnsi="Nunito Sans" w:cs="Calibri"/>
                    <w:color w:val="000000"/>
                    <w:sz w:val="18"/>
                    <w:szCs w:val="18"/>
                  </w:rPr>
                </w:pPr>
                <w:r w:rsidRPr="003D3358">
                  <w:rPr>
                    <w:rFonts w:ascii="Nunito Sans" w:hAnsi="Nunito Sans" w:cs="Calibri"/>
                    <w:color w:val="000000"/>
                    <w:sz w:val="18"/>
                    <w:szCs w:val="18"/>
                  </w:rPr>
                  <w:t>Solicitud de Corrección en Declaración de Información</w:t>
                </w:r>
              </w:p>
            </w:tc>
            <w:tc>
              <w:tcPr>
                <w:tcW w:w="1701" w:type="dxa"/>
                <w:vAlign w:val="center"/>
                <w:hideMark/>
              </w:tcPr>
              <w:p w:rsidRPr="003D3358" w:rsidR="005E3BD6" w:rsidP="00B4771C" w:rsidRDefault="005E3BD6" w14:paraId="23A5ADB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483CE18D" w14:textId="77777777">
            <w:trPr>
              <w:trHeight w:val="240"/>
            </w:trPr>
            <w:tc>
              <w:tcPr>
                <w:tcW w:w="420" w:type="dxa"/>
                <w:vAlign w:val="center"/>
                <w:hideMark/>
              </w:tcPr>
              <w:p w:rsidRPr="003D3358" w:rsidR="005E3BD6" w:rsidP="00B4771C" w:rsidRDefault="005E3BD6" w14:paraId="73881268" w14:textId="77777777">
                <w:pPr>
                  <w:rPr>
                    <w:rFonts w:ascii="Nunito Sans" w:hAnsi="Nunito Sans" w:cs="Calibri"/>
                    <w:color w:val="000000"/>
                    <w:sz w:val="18"/>
                    <w:szCs w:val="18"/>
                  </w:rPr>
                </w:pPr>
                <w:r w:rsidRPr="003D3358">
                  <w:rPr>
                    <w:rFonts w:ascii="Nunito Sans" w:hAnsi="Nunito Sans" w:cs="Calibri"/>
                    <w:color w:val="000000"/>
                    <w:sz w:val="18"/>
                    <w:szCs w:val="18"/>
                  </w:rPr>
                  <w:t>38</w:t>
                </w:r>
              </w:p>
            </w:tc>
            <w:tc>
              <w:tcPr>
                <w:tcW w:w="993" w:type="dxa"/>
                <w:vAlign w:val="center"/>
                <w:hideMark/>
              </w:tcPr>
              <w:p w:rsidRPr="003D3358" w:rsidR="005E3BD6" w:rsidP="00B4771C" w:rsidRDefault="005E3BD6" w14:paraId="46371079"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97FD2FD" w14:textId="77777777">
                <w:pPr>
                  <w:rPr>
                    <w:rFonts w:ascii="Nunito Sans" w:hAnsi="Nunito Sans" w:cs="Calibri"/>
                    <w:color w:val="000000"/>
                    <w:sz w:val="18"/>
                    <w:szCs w:val="18"/>
                  </w:rPr>
                </w:pPr>
                <w:r w:rsidRPr="003D3358">
                  <w:rPr>
                    <w:rFonts w:ascii="Nunito Sans" w:hAnsi="Nunito Sans" w:cs="Calibri"/>
                    <w:color w:val="000000"/>
                    <w:sz w:val="18"/>
                    <w:szCs w:val="18"/>
                  </w:rPr>
                  <w:t>Solicitud Compra de Combustible a Precio Nacional</w:t>
                </w:r>
              </w:p>
            </w:tc>
            <w:tc>
              <w:tcPr>
                <w:tcW w:w="1701" w:type="dxa"/>
                <w:vAlign w:val="center"/>
                <w:hideMark/>
              </w:tcPr>
              <w:p w:rsidRPr="003D3358" w:rsidR="005E3BD6" w:rsidP="00B4771C" w:rsidRDefault="005E3BD6" w14:paraId="47CE165E"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0930B1C3" w14:textId="77777777">
            <w:trPr>
              <w:trHeight w:val="480"/>
            </w:trPr>
            <w:tc>
              <w:tcPr>
                <w:tcW w:w="420" w:type="dxa"/>
                <w:vAlign w:val="center"/>
                <w:hideMark/>
              </w:tcPr>
              <w:p w:rsidRPr="003D3358" w:rsidR="005E3BD6" w:rsidP="00B4771C" w:rsidRDefault="005E3BD6" w14:paraId="62A5AA0C" w14:textId="77777777">
                <w:pPr>
                  <w:rPr>
                    <w:rFonts w:ascii="Nunito Sans" w:hAnsi="Nunito Sans" w:cs="Calibri"/>
                    <w:color w:val="000000"/>
                    <w:sz w:val="18"/>
                    <w:szCs w:val="18"/>
                  </w:rPr>
                </w:pPr>
                <w:r w:rsidRPr="003D3358">
                  <w:rPr>
                    <w:rFonts w:ascii="Nunito Sans" w:hAnsi="Nunito Sans" w:cs="Calibri"/>
                    <w:color w:val="000000"/>
                    <w:sz w:val="18"/>
                    <w:szCs w:val="18"/>
                  </w:rPr>
                  <w:t>39</w:t>
                </w:r>
              </w:p>
            </w:tc>
            <w:tc>
              <w:tcPr>
                <w:tcW w:w="993" w:type="dxa"/>
                <w:vAlign w:val="center"/>
                <w:hideMark/>
              </w:tcPr>
              <w:p w:rsidRPr="003D3358" w:rsidR="005E3BD6" w:rsidP="00B4771C" w:rsidRDefault="005E3BD6" w14:paraId="087987AC"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395687E2" w14:textId="45636E92">
                <w:pPr>
                  <w:rPr>
                    <w:rFonts w:ascii="Nunito Sans" w:hAnsi="Nunito Sans" w:cs="Calibri"/>
                    <w:color w:val="000000"/>
                    <w:sz w:val="18"/>
                    <w:szCs w:val="18"/>
                  </w:rPr>
                </w:pPr>
                <w:r w:rsidRPr="003D3358">
                  <w:rPr>
                    <w:rFonts w:ascii="Nunito Sans" w:hAnsi="Nunito Sans" w:cs="Calibri"/>
                    <w:color w:val="000000"/>
                    <w:sz w:val="18"/>
                    <w:szCs w:val="18"/>
                  </w:rPr>
                  <w:t xml:space="preserve">Visto Bueno para </w:t>
                </w:r>
                <w:r w:rsidRPr="003D3358" w:rsidR="004C3EDA">
                  <w:rPr>
                    <w:rFonts w:ascii="Nunito Sans" w:hAnsi="Nunito Sans" w:cs="Calibri"/>
                    <w:color w:val="000000"/>
                    <w:sz w:val="18"/>
                    <w:szCs w:val="18"/>
                  </w:rPr>
                  <w:t>importación de</w:t>
                </w:r>
                <w:r w:rsidRPr="003D3358">
                  <w:rPr>
                    <w:rFonts w:ascii="Nunito Sans" w:hAnsi="Nunito Sans" w:cs="Calibri"/>
                    <w:color w:val="000000"/>
                    <w:sz w:val="18"/>
                    <w:szCs w:val="18"/>
                  </w:rPr>
                  <w:t xml:space="preserve"> Combustibles (VUCE) Ministerio de Comercio Industria y Turismo</w:t>
                </w:r>
              </w:p>
            </w:tc>
            <w:tc>
              <w:tcPr>
                <w:tcW w:w="1701" w:type="dxa"/>
                <w:vAlign w:val="center"/>
                <w:hideMark/>
              </w:tcPr>
              <w:p w:rsidRPr="003D3358" w:rsidR="005E3BD6" w:rsidP="00B4771C" w:rsidRDefault="005E3BD6" w14:paraId="47A7BDFF"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11773776" w14:textId="77777777">
            <w:trPr>
              <w:trHeight w:val="240"/>
            </w:trPr>
            <w:tc>
              <w:tcPr>
                <w:tcW w:w="420" w:type="dxa"/>
                <w:vAlign w:val="center"/>
                <w:hideMark/>
              </w:tcPr>
              <w:p w:rsidRPr="003D3358" w:rsidR="005E3BD6" w:rsidP="00B4771C" w:rsidRDefault="005E3BD6" w14:paraId="2C203C50" w14:textId="77777777">
                <w:pPr>
                  <w:rPr>
                    <w:rFonts w:ascii="Nunito Sans" w:hAnsi="Nunito Sans" w:cs="Calibri"/>
                    <w:color w:val="000000"/>
                    <w:sz w:val="18"/>
                    <w:szCs w:val="18"/>
                  </w:rPr>
                </w:pPr>
                <w:r w:rsidRPr="003D3358">
                  <w:rPr>
                    <w:rFonts w:ascii="Nunito Sans" w:hAnsi="Nunito Sans" w:cs="Calibri"/>
                    <w:color w:val="000000"/>
                    <w:sz w:val="18"/>
                    <w:szCs w:val="18"/>
                  </w:rPr>
                  <w:t>40</w:t>
                </w:r>
              </w:p>
            </w:tc>
            <w:tc>
              <w:tcPr>
                <w:tcW w:w="993" w:type="dxa"/>
                <w:vAlign w:val="center"/>
                <w:hideMark/>
              </w:tcPr>
              <w:p w:rsidRPr="003D3358" w:rsidR="005E3BD6" w:rsidP="00B4771C" w:rsidRDefault="005E3BD6" w14:paraId="6BB6A4EC"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58E1E619" w14:textId="77777777">
                <w:pPr>
                  <w:rPr>
                    <w:rFonts w:ascii="Nunito Sans" w:hAnsi="Nunito Sans" w:cs="Calibri"/>
                    <w:color w:val="000000"/>
                    <w:sz w:val="18"/>
                    <w:szCs w:val="18"/>
                  </w:rPr>
                </w:pPr>
                <w:r w:rsidRPr="003D3358">
                  <w:rPr>
                    <w:rFonts w:ascii="Nunito Sans" w:hAnsi="Nunito Sans" w:cs="Calibri"/>
                    <w:color w:val="000000"/>
                    <w:sz w:val="18"/>
                    <w:szCs w:val="18"/>
                  </w:rPr>
                  <w:t>Derogación o cancelación de código Sicom</w:t>
                </w:r>
              </w:p>
            </w:tc>
            <w:tc>
              <w:tcPr>
                <w:tcW w:w="1701" w:type="dxa"/>
                <w:vAlign w:val="center"/>
                <w:hideMark/>
              </w:tcPr>
              <w:p w:rsidRPr="003D3358" w:rsidR="005E3BD6" w:rsidP="00B4771C" w:rsidRDefault="005E3BD6" w14:paraId="6D452A5E"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6D8A1C65" w14:textId="77777777">
            <w:trPr>
              <w:trHeight w:val="240"/>
            </w:trPr>
            <w:tc>
              <w:tcPr>
                <w:tcW w:w="420" w:type="dxa"/>
                <w:vAlign w:val="center"/>
                <w:hideMark/>
              </w:tcPr>
              <w:p w:rsidRPr="003D3358" w:rsidR="005E3BD6" w:rsidP="00B4771C" w:rsidRDefault="005E3BD6" w14:paraId="25975F25" w14:textId="77777777">
                <w:pPr>
                  <w:rPr>
                    <w:rFonts w:ascii="Nunito Sans" w:hAnsi="Nunito Sans" w:cs="Calibri"/>
                    <w:color w:val="000000"/>
                    <w:sz w:val="18"/>
                    <w:szCs w:val="18"/>
                  </w:rPr>
                </w:pPr>
                <w:r w:rsidRPr="003D3358">
                  <w:rPr>
                    <w:rFonts w:ascii="Nunito Sans" w:hAnsi="Nunito Sans" w:cs="Calibri"/>
                    <w:color w:val="000000"/>
                    <w:sz w:val="18"/>
                    <w:szCs w:val="18"/>
                  </w:rPr>
                  <w:t>41</w:t>
                </w:r>
              </w:p>
            </w:tc>
            <w:tc>
              <w:tcPr>
                <w:tcW w:w="993" w:type="dxa"/>
                <w:vAlign w:val="center"/>
                <w:hideMark/>
              </w:tcPr>
              <w:p w:rsidRPr="003D3358" w:rsidR="005E3BD6" w:rsidP="00B4771C" w:rsidRDefault="005E3BD6" w14:paraId="3B29C78A"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4C3EDA" w14:paraId="4CD8BC58" w14:textId="72E367C5">
                <w:pPr>
                  <w:rPr>
                    <w:rFonts w:ascii="Nunito Sans" w:hAnsi="Nunito Sans" w:cs="Calibri"/>
                    <w:color w:val="000000"/>
                    <w:sz w:val="18"/>
                    <w:szCs w:val="18"/>
                  </w:rPr>
                </w:pPr>
                <w:r w:rsidRPr="003D3358">
                  <w:rPr>
                    <w:rFonts w:ascii="Nunito Sans" w:hAnsi="Nunito Sans" w:cs="Calibri"/>
                    <w:color w:val="000000"/>
                    <w:sz w:val="18"/>
                    <w:szCs w:val="18"/>
                  </w:rPr>
                  <w:t>Solicitud Usuario</w:t>
                </w:r>
                <w:r w:rsidRPr="003D3358" w:rsidR="005E3BD6">
                  <w:rPr>
                    <w:rFonts w:ascii="Nunito Sans" w:hAnsi="Nunito Sans" w:cs="Calibri"/>
                    <w:color w:val="000000"/>
                    <w:sz w:val="18"/>
                    <w:szCs w:val="18"/>
                  </w:rPr>
                  <w:t xml:space="preserve"> </w:t>
                </w:r>
                <w:r w:rsidRPr="003D3358">
                  <w:rPr>
                    <w:rFonts w:ascii="Nunito Sans" w:hAnsi="Nunito Sans" w:cs="Calibri"/>
                    <w:color w:val="000000"/>
                    <w:sz w:val="18"/>
                    <w:szCs w:val="18"/>
                  </w:rPr>
                  <w:t>de Consulta</w:t>
                </w:r>
                <w:r w:rsidRPr="003D3358" w:rsidR="005E3BD6">
                  <w:rPr>
                    <w:rFonts w:ascii="Nunito Sans" w:hAnsi="Nunito Sans" w:cs="Calibri"/>
                    <w:color w:val="000000"/>
                    <w:sz w:val="18"/>
                    <w:szCs w:val="18"/>
                  </w:rPr>
                  <w:t xml:space="preserve"> Sicom</w:t>
                </w:r>
              </w:p>
            </w:tc>
            <w:tc>
              <w:tcPr>
                <w:tcW w:w="1701" w:type="dxa"/>
                <w:vAlign w:val="center"/>
                <w:hideMark/>
              </w:tcPr>
              <w:p w:rsidRPr="003D3358" w:rsidR="005E3BD6" w:rsidP="00B4771C" w:rsidRDefault="005E3BD6" w14:paraId="31BE533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6874B446" w14:textId="77777777">
            <w:trPr>
              <w:trHeight w:val="480"/>
            </w:trPr>
            <w:tc>
              <w:tcPr>
                <w:tcW w:w="420" w:type="dxa"/>
                <w:vAlign w:val="center"/>
                <w:hideMark/>
              </w:tcPr>
              <w:p w:rsidRPr="003D3358" w:rsidR="005E3BD6" w:rsidP="00B4771C" w:rsidRDefault="005E3BD6" w14:paraId="6670453A" w14:textId="77777777">
                <w:pPr>
                  <w:rPr>
                    <w:rFonts w:ascii="Nunito Sans" w:hAnsi="Nunito Sans" w:cs="Calibri"/>
                    <w:color w:val="000000"/>
                    <w:sz w:val="18"/>
                    <w:szCs w:val="18"/>
                  </w:rPr>
                </w:pPr>
                <w:r w:rsidRPr="003D3358">
                  <w:rPr>
                    <w:rFonts w:ascii="Nunito Sans" w:hAnsi="Nunito Sans" w:cs="Calibri"/>
                    <w:color w:val="000000"/>
                    <w:sz w:val="18"/>
                    <w:szCs w:val="18"/>
                  </w:rPr>
                  <w:t>42</w:t>
                </w:r>
              </w:p>
            </w:tc>
            <w:tc>
              <w:tcPr>
                <w:tcW w:w="993" w:type="dxa"/>
                <w:vAlign w:val="center"/>
                <w:hideMark/>
              </w:tcPr>
              <w:p w:rsidRPr="003D3358" w:rsidR="005E3BD6" w:rsidP="00B4771C" w:rsidRDefault="005E3BD6" w14:paraId="7C1CA9B1"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72A6F385" w14:textId="77777777">
                <w:pPr>
                  <w:rPr>
                    <w:rFonts w:ascii="Nunito Sans" w:hAnsi="Nunito Sans" w:cs="Calibri"/>
                    <w:color w:val="000000"/>
                    <w:sz w:val="18"/>
                    <w:szCs w:val="18"/>
                  </w:rPr>
                </w:pPr>
                <w:r w:rsidRPr="003D3358">
                  <w:rPr>
                    <w:rFonts w:ascii="Nunito Sans" w:hAnsi="Nunito Sans" w:cs="Calibri"/>
                    <w:color w:val="000000"/>
                    <w:sz w:val="18"/>
                    <w:szCs w:val="18"/>
                  </w:rPr>
                  <w:t>Configuración Productos para compra y venta para Agentes Prima</w:t>
                </w:r>
              </w:p>
            </w:tc>
            <w:tc>
              <w:tcPr>
                <w:tcW w:w="1701" w:type="dxa"/>
                <w:vAlign w:val="center"/>
                <w:hideMark/>
              </w:tcPr>
              <w:p w:rsidRPr="003D3358" w:rsidR="005E3BD6" w:rsidP="00B4771C" w:rsidRDefault="005E3BD6" w14:paraId="09D917D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4BEB57FA" w14:textId="77777777">
            <w:trPr>
              <w:trHeight w:val="240"/>
            </w:trPr>
            <w:tc>
              <w:tcPr>
                <w:tcW w:w="420" w:type="dxa"/>
                <w:vAlign w:val="center"/>
                <w:hideMark/>
              </w:tcPr>
              <w:p w:rsidRPr="003D3358" w:rsidR="005E3BD6" w:rsidP="00B4771C" w:rsidRDefault="005E3BD6" w14:paraId="6034D677" w14:textId="77777777">
                <w:pPr>
                  <w:rPr>
                    <w:rFonts w:ascii="Nunito Sans" w:hAnsi="Nunito Sans" w:cs="Calibri"/>
                    <w:color w:val="000000"/>
                    <w:sz w:val="18"/>
                    <w:szCs w:val="18"/>
                  </w:rPr>
                </w:pPr>
                <w:r w:rsidRPr="003D3358">
                  <w:rPr>
                    <w:rFonts w:ascii="Nunito Sans" w:hAnsi="Nunito Sans" w:cs="Calibri"/>
                    <w:color w:val="000000"/>
                    <w:sz w:val="18"/>
                    <w:szCs w:val="18"/>
                  </w:rPr>
                  <w:t>43</w:t>
                </w:r>
              </w:p>
            </w:tc>
            <w:tc>
              <w:tcPr>
                <w:tcW w:w="993" w:type="dxa"/>
                <w:vAlign w:val="center"/>
                <w:hideMark/>
              </w:tcPr>
              <w:p w:rsidRPr="003D3358" w:rsidR="005E3BD6" w:rsidP="00B4771C" w:rsidRDefault="005E3BD6" w14:paraId="661488CA"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3CD0AD5C" w14:textId="77777777">
                <w:pPr>
                  <w:rPr>
                    <w:rFonts w:ascii="Nunito Sans" w:hAnsi="Nunito Sans" w:cs="Calibri"/>
                    <w:color w:val="000000"/>
                    <w:sz w:val="18"/>
                    <w:szCs w:val="18"/>
                  </w:rPr>
                </w:pPr>
                <w:r w:rsidRPr="003D3358">
                  <w:rPr>
                    <w:rFonts w:ascii="Nunito Sans" w:hAnsi="Nunito Sans" w:cs="Calibri"/>
                    <w:color w:val="000000"/>
                    <w:sz w:val="18"/>
                    <w:szCs w:val="18"/>
                  </w:rPr>
                  <w:t>Levantamiento de Suspensión por No Conformidades</w:t>
                </w:r>
              </w:p>
            </w:tc>
            <w:tc>
              <w:tcPr>
                <w:tcW w:w="1701" w:type="dxa"/>
                <w:vAlign w:val="center"/>
                <w:hideMark/>
              </w:tcPr>
              <w:p w:rsidRPr="003D3358" w:rsidR="005E3BD6" w:rsidP="00B4771C" w:rsidRDefault="005E3BD6" w14:paraId="2C97858E"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Servicio</w:t>
                </w:r>
              </w:p>
            </w:tc>
          </w:tr>
          <w:tr w:rsidRPr="00CA4194" w:rsidR="005E3BD6" w:rsidTr="4E60D266" w14:paraId="2C70ADF1" w14:textId="77777777">
            <w:trPr>
              <w:trHeight w:val="240"/>
            </w:trPr>
            <w:tc>
              <w:tcPr>
                <w:tcW w:w="420" w:type="dxa"/>
                <w:vAlign w:val="center"/>
                <w:hideMark/>
              </w:tcPr>
              <w:p w:rsidRPr="003D3358" w:rsidR="005E3BD6" w:rsidP="00B4771C" w:rsidRDefault="005E3BD6" w14:paraId="1E9ADEED" w14:textId="77777777">
                <w:pPr>
                  <w:rPr>
                    <w:rFonts w:ascii="Nunito Sans" w:hAnsi="Nunito Sans" w:cs="Calibri"/>
                    <w:color w:val="000000"/>
                    <w:sz w:val="18"/>
                    <w:szCs w:val="18"/>
                  </w:rPr>
                </w:pPr>
                <w:r w:rsidRPr="003D3358">
                  <w:rPr>
                    <w:rFonts w:ascii="Nunito Sans" w:hAnsi="Nunito Sans" w:cs="Calibri"/>
                    <w:color w:val="000000"/>
                    <w:sz w:val="18"/>
                    <w:szCs w:val="18"/>
                  </w:rPr>
                  <w:t>44</w:t>
                </w:r>
              </w:p>
            </w:tc>
            <w:tc>
              <w:tcPr>
                <w:tcW w:w="993" w:type="dxa"/>
                <w:vAlign w:val="center"/>
                <w:hideMark/>
              </w:tcPr>
              <w:p w:rsidRPr="003D3358" w:rsidR="005E3BD6" w:rsidP="00B4771C" w:rsidRDefault="005E3BD6" w14:paraId="3666DA0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4C3EDA" w14:paraId="22C80828" w14:textId="39CF08DE">
                <w:pPr>
                  <w:rPr>
                    <w:rFonts w:ascii="Nunito Sans" w:hAnsi="Nunito Sans" w:cs="Calibri"/>
                    <w:color w:val="000000"/>
                    <w:sz w:val="18"/>
                    <w:szCs w:val="18"/>
                  </w:rPr>
                </w:pPr>
                <w:r w:rsidRPr="003D3358">
                  <w:rPr>
                    <w:rFonts w:ascii="Nunito Sans" w:hAnsi="Nunito Sans" w:cs="Calibri"/>
                    <w:color w:val="000000"/>
                    <w:sz w:val="18"/>
                    <w:szCs w:val="18"/>
                  </w:rPr>
                  <w:t>Solicitud Certificación</w:t>
                </w:r>
                <w:r w:rsidRPr="003D3358" w:rsidR="005E3BD6">
                  <w:rPr>
                    <w:rFonts w:ascii="Nunito Sans" w:hAnsi="Nunito Sans" w:cs="Calibri"/>
                    <w:color w:val="000000"/>
                    <w:sz w:val="18"/>
                    <w:szCs w:val="18"/>
                  </w:rPr>
                  <w:t xml:space="preserve"> de Dedicación Exclusiva</w:t>
                </w:r>
              </w:p>
            </w:tc>
            <w:tc>
              <w:tcPr>
                <w:tcW w:w="1701" w:type="dxa"/>
                <w:vAlign w:val="center"/>
                <w:hideMark/>
              </w:tcPr>
              <w:p w:rsidRPr="003D3358" w:rsidR="005E3BD6" w:rsidP="00B4771C" w:rsidRDefault="005E3BD6" w14:paraId="6EED9B6E"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Opas</w:t>
                </w:r>
              </w:p>
            </w:tc>
          </w:tr>
          <w:tr w:rsidRPr="00CA4194" w:rsidR="005E3BD6" w:rsidTr="4E60D266" w14:paraId="525DCCBE" w14:textId="77777777">
            <w:trPr>
              <w:trHeight w:val="240"/>
            </w:trPr>
            <w:tc>
              <w:tcPr>
                <w:tcW w:w="420" w:type="dxa"/>
                <w:vAlign w:val="center"/>
                <w:hideMark/>
              </w:tcPr>
              <w:p w:rsidRPr="003D3358" w:rsidR="005E3BD6" w:rsidP="00B4771C" w:rsidRDefault="005E3BD6" w14:paraId="79CDCE70" w14:textId="77777777">
                <w:pPr>
                  <w:rPr>
                    <w:rFonts w:ascii="Nunito Sans" w:hAnsi="Nunito Sans" w:cs="Calibri"/>
                    <w:color w:val="000000"/>
                    <w:sz w:val="18"/>
                    <w:szCs w:val="18"/>
                  </w:rPr>
                </w:pPr>
                <w:r w:rsidRPr="003D3358">
                  <w:rPr>
                    <w:rFonts w:ascii="Nunito Sans" w:hAnsi="Nunito Sans" w:cs="Calibri"/>
                    <w:color w:val="000000"/>
                    <w:sz w:val="18"/>
                    <w:szCs w:val="18"/>
                  </w:rPr>
                  <w:t>45</w:t>
                </w:r>
              </w:p>
            </w:tc>
            <w:tc>
              <w:tcPr>
                <w:tcW w:w="993" w:type="dxa"/>
                <w:vAlign w:val="center"/>
                <w:hideMark/>
              </w:tcPr>
              <w:p w:rsidRPr="003D3358" w:rsidR="005E3BD6" w:rsidP="00B4771C" w:rsidRDefault="005E3BD6" w14:paraId="6775A15C"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6BC3E3C" w14:textId="77777777">
                <w:pPr>
                  <w:rPr>
                    <w:rFonts w:ascii="Nunito Sans" w:hAnsi="Nunito Sans" w:cs="Calibri"/>
                    <w:color w:val="000000"/>
                    <w:sz w:val="18"/>
                    <w:szCs w:val="18"/>
                  </w:rPr>
                </w:pPr>
                <w:r w:rsidRPr="003D3358">
                  <w:rPr>
                    <w:rFonts w:ascii="Nunito Sans" w:hAnsi="Nunito Sans" w:cs="Calibri"/>
                    <w:color w:val="000000"/>
                    <w:sz w:val="18"/>
                    <w:szCs w:val="18"/>
                  </w:rPr>
                  <w:t>Autorización Mezclas Biocombustibles</w:t>
                </w:r>
              </w:p>
            </w:tc>
            <w:tc>
              <w:tcPr>
                <w:tcW w:w="1701" w:type="dxa"/>
                <w:vAlign w:val="center"/>
                <w:hideMark/>
              </w:tcPr>
              <w:p w:rsidRPr="003D3358" w:rsidR="005E3BD6" w:rsidP="00B4771C" w:rsidRDefault="005E3BD6" w14:paraId="1EAC484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Opas</w:t>
                </w:r>
              </w:p>
            </w:tc>
          </w:tr>
          <w:tr w:rsidRPr="00CA4194" w:rsidR="005E3BD6" w:rsidTr="4E60D266" w14:paraId="28981B2F" w14:textId="77777777">
            <w:trPr>
              <w:trHeight w:val="240"/>
            </w:trPr>
            <w:tc>
              <w:tcPr>
                <w:tcW w:w="420" w:type="dxa"/>
                <w:vAlign w:val="center"/>
                <w:hideMark/>
              </w:tcPr>
              <w:p w:rsidRPr="003D3358" w:rsidR="005E3BD6" w:rsidP="00B4771C" w:rsidRDefault="005E3BD6" w14:paraId="73848603" w14:textId="77777777">
                <w:pPr>
                  <w:rPr>
                    <w:rFonts w:ascii="Nunito Sans" w:hAnsi="Nunito Sans" w:cs="Calibri"/>
                    <w:color w:val="000000"/>
                    <w:sz w:val="18"/>
                    <w:szCs w:val="18"/>
                  </w:rPr>
                </w:pPr>
                <w:r w:rsidRPr="003D3358">
                  <w:rPr>
                    <w:rFonts w:ascii="Nunito Sans" w:hAnsi="Nunito Sans" w:cs="Calibri"/>
                    <w:color w:val="000000"/>
                    <w:sz w:val="18"/>
                    <w:szCs w:val="18"/>
                  </w:rPr>
                  <w:t>46</w:t>
                </w:r>
              </w:p>
            </w:tc>
            <w:tc>
              <w:tcPr>
                <w:tcW w:w="993" w:type="dxa"/>
                <w:vAlign w:val="center"/>
                <w:hideMark/>
              </w:tcPr>
              <w:p w:rsidRPr="003D3358" w:rsidR="005E3BD6" w:rsidP="00B4771C" w:rsidRDefault="005E3BD6" w14:paraId="3E161DFF"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718991AE" w14:textId="77777777">
                <w:pPr>
                  <w:rPr>
                    <w:rFonts w:ascii="Nunito Sans" w:hAnsi="Nunito Sans" w:cs="Calibri"/>
                    <w:color w:val="000000"/>
                    <w:sz w:val="18"/>
                    <w:szCs w:val="18"/>
                  </w:rPr>
                </w:pPr>
                <w:r w:rsidRPr="003D3358">
                  <w:rPr>
                    <w:rFonts w:ascii="Nunito Sans" w:hAnsi="Nunito Sans" w:cs="Calibri"/>
                    <w:color w:val="000000"/>
                    <w:sz w:val="18"/>
                    <w:szCs w:val="18"/>
                  </w:rPr>
                  <w:t>Delimitación y devolución de áreas</w:t>
                </w:r>
              </w:p>
            </w:tc>
            <w:tc>
              <w:tcPr>
                <w:tcW w:w="1701" w:type="dxa"/>
                <w:shd w:val="clear" w:color="auto" w:fill="FFFFFF" w:themeFill="background1"/>
                <w:vAlign w:val="center"/>
                <w:hideMark/>
              </w:tcPr>
              <w:p w:rsidRPr="003D3358" w:rsidR="005E3BD6" w:rsidP="00B4771C" w:rsidRDefault="005E3BD6" w14:paraId="45A6BC71"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84B1A1D" w14:textId="77777777">
            <w:trPr>
              <w:trHeight w:val="240"/>
            </w:trPr>
            <w:tc>
              <w:tcPr>
                <w:tcW w:w="420" w:type="dxa"/>
                <w:vAlign w:val="center"/>
                <w:hideMark/>
              </w:tcPr>
              <w:p w:rsidRPr="003D3358" w:rsidR="005E3BD6" w:rsidP="00B4771C" w:rsidRDefault="005E3BD6" w14:paraId="6E57B5A2" w14:textId="77777777">
                <w:pPr>
                  <w:rPr>
                    <w:rFonts w:ascii="Nunito Sans" w:hAnsi="Nunito Sans" w:cs="Calibri"/>
                    <w:color w:val="000000"/>
                    <w:sz w:val="18"/>
                    <w:szCs w:val="18"/>
                  </w:rPr>
                </w:pPr>
                <w:r w:rsidRPr="003D3358">
                  <w:rPr>
                    <w:rFonts w:ascii="Nunito Sans" w:hAnsi="Nunito Sans" w:cs="Calibri"/>
                    <w:color w:val="000000"/>
                    <w:sz w:val="18"/>
                    <w:szCs w:val="18"/>
                  </w:rPr>
                  <w:t>47</w:t>
                </w:r>
              </w:p>
            </w:tc>
            <w:tc>
              <w:tcPr>
                <w:tcW w:w="993" w:type="dxa"/>
                <w:vAlign w:val="center"/>
                <w:hideMark/>
              </w:tcPr>
              <w:p w:rsidRPr="003D3358" w:rsidR="005E3BD6" w:rsidP="00B4771C" w:rsidRDefault="005E3BD6" w14:paraId="35E006B5"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6E6E1528" w14:textId="77777777">
                <w:pPr>
                  <w:rPr>
                    <w:rFonts w:ascii="Nunito Sans" w:hAnsi="Nunito Sans" w:cs="Calibri"/>
                    <w:color w:val="000000"/>
                    <w:sz w:val="18"/>
                    <w:szCs w:val="18"/>
                  </w:rPr>
                </w:pPr>
                <w:r w:rsidRPr="003D3358">
                  <w:rPr>
                    <w:rFonts w:ascii="Nunito Sans" w:hAnsi="Nunito Sans" w:cs="Calibri"/>
                    <w:color w:val="000000"/>
                    <w:sz w:val="18"/>
                    <w:szCs w:val="18"/>
                  </w:rPr>
                  <w:t>Renuncia a título minero</w:t>
                </w:r>
              </w:p>
            </w:tc>
            <w:tc>
              <w:tcPr>
                <w:tcW w:w="1701" w:type="dxa"/>
                <w:shd w:val="clear" w:color="auto" w:fill="FFFFFF" w:themeFill="background1"/>
                <w:vAlign w:val="center"/>
                <w:hideMark/>
              </w:tcPr>
              <w:p w:rsidRPr="003D3358" w:rsidR="005E3BD6" w:rsidP="00B4771C" w:rsidRDefault="005E3BD6" w14:paraId="102EA3B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A2129DD" w14:textId="77777777">
            <w:trPr>
              <w:trHeight w:val="240"/>
            </w:trPr>
            <w:tc>
              <w:tcPr>
                <w:tcW w:w="420" w:type="dxa"/>
                <w:vAlign w:val="center"/>
                <w:hideMark/>
              </w:tcPr>
              <w:p w:rsidRPr="003D3358" w:rsidR="005E3BD6" w:rsidP="00B4771C" w:rsidRDefault="005E3BD6" w14:paraId="2435AFB1" w14:textId="77777777">
                <w:pPr>
                  <w:rPr>
                    <w:rFonts w:ascii="Nunito Sans" w:hAnsi="Nunito Sans" w:cs="Calibri"/>
                    <w:color w:val="000000"/>
                    <w:sz w:val="18"/>
                    <w:szCs w:val="18"/>
                  </w:rPr>
                </w:pPr>
                <w:r w:rsidRPr="003D3358">
                  <w:rPr>
                    <w:rFonts w:ascii="Nunito Sans" w:hAnsi="Nunito Sans" w:cs="Calibri"/>
                    <w:color w:val="000000"/>
                    <w:sz w:val="18"/>
                    <w:szCs w:val="18"/>
                  </w:rPr>
                  <w:t>48</w:t>
                </w:r>
              </w:p>
            </w:tc>
            <w:tc>
              <w:tcPr>
                <w:tcW w:w="993" w:type="dxa"/>
                <w:vAlign w:val="center"/>
                <w:hideMark/>
              </w:tcPr>
              <w:p w:rsidRPr="003D3358" w:rsidR="005E3BD6" w:rsidP="00B4771C" w:rsidRDefault="005E3BD6" w14:paraId="3AA1D505"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6D75F1BD" w14:textId="77777777">
                <w:pPr>
                  <w:rPr>
                    <w:rFonts w:ascii="Nunito Sans" w:hAnsi="Nunito Sans" w:cs="Calibri"/>
                    <w:color w:val="000000"/>
                    <w:sz w:val="18"/>
                    <w:szCs w:val="18"/>
                  </w:rPr>
                </w:pPr>
                <w:r w:rsidRPr="003D3358">
                  <w:rPr>
                    <w:rFonts w:ascii="Nunito Sans" w:hAnsi="Nunito Sans" w:cs="Calibri"/>
                    <w:color w:val="000000"/>
                    <w:sz w:val="18"/>
                    <w:szCs w:val="18"/>
                  </w:rPr>
                  <w:t>Integración de áreas</w:t>
                </w:r>
              </w:p>
            </w:tc>
            <w:tc>
              <w:tcPr>
                <w:tcW w:w="1701" w:type="dxa"/>
                <w:shd w:val="clear" w:color="auto" w:fill="FFFFFF" w:themeFill="background1"/>
                <w:vAlign w:val="center"/>
                <w:hideMark/>
              </w:tcPr>
              <w:p w:rsidRPr="003D3358" w:rsidR="005E3BD6" w:rsidP="00B4771C" w:rsidRDefault="005E3BD6" w14:paraId="60C7C017"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D14763E" w14:textId="77777777">
            <w:trPr>
              <w:trHeight w:val="240"/>
            </w:trPr>
            <w:tc>
              <w:tcPr>
                <w:tcW w:w="420" w:type="dxa"/>
                <w:vAlign w:val="center"/>
                <w:hideMark/>
              </w:tcPr>
              <w:p w:rsidRPr="003D3358" w:rsidR="005E3BD6" w:rsidP="00B4771C" w:rsidRDefault="005E3BD6" w14:paraId="154FF8A0" w14:textId="77777777">
                <w:pPr>
                  <w:rPr>
                    <w:rFonts w:ascii="Nunito Sans" w:hAnsi="Nunito Sans" w:cs="Calibri"/>
                    <w:color w:val="000000"/>
                    <w:sz w:val="18"/>
                    <w:szCs w:val="18"/>
                  </w:rPr>
                </w:pPr>
                <w:r w:rsidRPr="003D3358">
                  <w:rPr>
                    <w:rFonts w:ascii="Nunito Sans" w:hAnsi="Nunito Sans" w:cs="Calibri"/>
                    <w:color w:val="000000"/>
                    <w:sz w:val="18"/>
                    <w:szCs w:val="18"/>
                  </w:rPr>
                  <w:t>49</w:t>
                </w:r>
              </w:p>
            </w:tc>
            <w:tc>
              <w:tcPr>
                <w:tcW w:w="993" w:type="dxa"/>
                <w:vAlign w:val="center"/>
                <w:hideMark/>
              </w:tcPr>
              <w:p w:rsidRPr="003D3358" w:rsidR="005E3BD6" w:rsidP="00B4771C" w:rsidRDefault="005E3BD6" w14:paraId="3801D6D6"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399B98DF" w14:textId="77777777">
                <w:pPr>
                  <w:rPr>
                    <w:rFonts w:ascii="Nunito Sans" w:hAnsi="Nunito Sans" w:cs="Calibri"/>
                    <w:color w:val="000000"/>
                    <w:sz w:val="18"/>
                    <w:szCs w:val="18"/>
                  </w:rPr>
                </w:pPr>
                <w:r w:rsidRPr="003D3358">
                  <w:rPr>
                    <w:rFonts w:ascii="Nunito Sans" w:hAnsi="Nunito Sans" w:cs="Calibri"/>
                    <w:color w:val="000000"/>
                    <w:sz w:val="18"/>
                    <w:szCs w:val="18"/>
                  </w:rPr>
                  <w:t>Prórrogas para títulos mineros</w:t>
                </w:r>
              </w:p>
            </w:tc>
            <w:tc>
              <w:tcPr>
                <w:tcW w:w="1701" w:type="dxa"/>
                <w:shd w:val="clear" w:color="auto" w:fill="FFFFFF" w:themeFill="background1"/>
                <w:vAlign w:val="center"/>
                <w:hideMark/>
              </w:tcPr>
              <w:p w:rsidRPr="003D3358" w:rsidR="005E3BD6" w:rsidP="00B4771C" w:rsidRDefault="005E3BD6" w14:paraId="214487A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1E54FA5" w14:textId="77777777">
            <w:trPr>
              <w:trHeight w:val="240"/>
            </w:trPr>
            <w:tc>
              <w:tcPr>
                <w:tcW w:w="420" w:type="dxa"/>
                <w:vAlign w:val="center"/>
                <w:hideMark/>
              </w:tcPr>
              <w:p w:rsidRPr="003D3358" w:rsidR="005E3BD6" w:rsidP="00B4771C" w:rsidRDefault="005E3BD6" w14:paraId="7509164A" w14:textId="77777777">
                <w:pPr>
                  <w:rPr>
                    <w:rFonts w:ascii="Nunito Sans" w:hAnsi="Nunito Sans" w:cs="Calibri"/>
                    <w:color w:val="000000"/>
                    <w:sz w:val="18"/>
                    <w:szCs w:val="18"/>
                  </w:rPr>
                </w:pPr>
                <w:r w:rsidRPr="003D3358">
                  <w:rPr>
                    <w:rFonts w:ascii="Nunito Sans" w:hAnsi="Nunito Sans" w:cs="Calibri"/>
                    <w:color w:val="000000"/>
                    <w:sz w:val="18"/>
                    <w:szCs w:val="18"/>
                  </w:rPr>
                  <w:t>50</w:t>
                </w:r>
              </w:p>
            </w:tc>
            <w:tc>
              <w:tcPr>
                <w:tcW w:w="993" w:type="dxa"/>
                <w:vAlign w:val="center"/>
                <w:hideMark/>
              </w:tcPr>
              <w:p w:rsidRPr="003D3358" w:rsidR="005E3BD6" w:rsidP="00B4771C" w:rsidRDefault="005E3BD6" w14:paraId="78A9190E"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0A3317D0" w14:textId="77777777">
                <w:pPr>
                  <w:rPr>
                    <w:rFonts w:ascii="Nunito Sans" w:hAnsi="Nunito Sans" w:cs="Calibri"/>
                    <w:color w:val="000000"/>
                    <w:sz w:val="18"/>
                    <w:szCs w:val="18"/>
                  </w:rPr>
                </w:pPr>
                <w:r w:rsidRPr="003D3358">
                  <w:rPr>
                    <w:rFonts w:ascii="Nunito Sans" w:hAnsi="Nunito Sans" w:cs="Calibri"/>
                    <w:color w:val="000000"/>
                    <w:sz w:val="18"/>
                    <w:szCs w:val="18"/>
                  </w:rPr>
                  <w:t>Propuesta de Contrato de Concesión</w:t>
                </w:r>
              </w:p>
            </w:tc>
            <w:tc>
              <w:tcPr>
                <w:tcW w:w="1701" w:type="dxa"/>
                <w:shd w:val="clear" w:color="auto" w:fill="FFFFFF" w:themeFill="background1"/>
                <w:vAlign w:val="center"/>
                <w:hideMark/>
              </w:tcPr>
              <w:p w:rsidRPr="003D3358" w:rsidR="005E3BD6" w:rsidP="00B4771C" w:rsidRDefault="005E3BD6" w14:paraId="6525456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80C9D06" w14:textId="77777777">
            <w:trPr>
              <w:trHeight w:val="240"/>
            </w:trPr>
            <w:tc>
              <w:tcPr>
                <w:tcW w:w="420" w:type="dxa"/>
                <w:vAlign w:val="center"/>
                <w:hideMark/>
              </w:tcPr>
              <w:p w:rsidRPr="003D3358" w:rsidR="005E3BD6" w:rsidP="00B4771C" w:rsidRDefault="1F325162" w14:paraId="5335B289" w14:textId="2A82CCDE">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18FEF247">
                  <w:rPr>
                    <w:rFonts w:ascii="Nunito Sans" w:hAnsi="Nunito Sans" w:cs="Calibri"/>
                    <w:color w:val="000000" w:themeColor="text1"/>
                    <w:sz w:val="18"/>
                    <w:szCs w:val="18"/>
                  </w:rPr>
                  <w:t>1</w:t>
                </w:r>
              </w:p>
            </w:tc>
            <w:tc>
              <w:tcPr>
                <w:tcW w:w="993" w:type="dxa"/>
                <w:vAlign w:val="center"/>
                <w:hideMark/>
              </w:tcPr>
              <w:p w:rsidRPr="003D3358" w:rsidR="005E3BD6" w:rsidP="00B4771C" w:rsidRDefault="005E3BD6" w14:paraId="4E0F25FC"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363103D2" w14:textId="77777777">
                <w:pPr>
                  <w:rPr>
                    <w:rFonts w:ascii="Nunito Sans" w:hAnsi="Nunito Sans" w:cs="Calibri"/>
                    <w:color w:val="000000"/>
                    <w:sz w:val="18"/>
                    <w:szCs w:val="18"/>
                  </w:rPr>
                </w:pPr>
                <w:r w:rsidRPr="003D3358">
                  <w:rPr>
                    <w:rFonts w:ascii="Nunito Sans" w:hAnsi="Nunito Sans" w:cs="Calibri"/>
                    <w:color w:val="000000"/>
                    <w:sz w:val="18"/>
                    <w:szCs w:val="18"/>
                  </w:rPr>
                  <w:t>Certificado de área libre</w:t>
                </w:r>
              </w:p>
            </w:tc>
            <w:tc>
              <w:tcPr>
                <w:tcW w:w="1701" w:type="dxa"/>
                <w:shd w:val="clear" w:color="auto" w:fill="FFFFFF" w:themeFill="background1"/>
                <w:vAlign w:val="center"/>
                <w:hideMark/>
              </w:tcPr>
              <w:p w:rsidRPr="003D3358" w:rsidR="005E3BD6" w:rsidP="00B4771C" w:rsidRDefault="005E3BD6" w14:paraId="116C6FE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444AA5F" w14:textId="77777777">
            <w:trPr>
              <w:trHeight w:val="240"/>
            </w:trPr>
            <w:tc>
              <w:tcPr>
                <w:tcW w:w="420" w:type="dxa"/>
                <w:vAlign w:val="center"/>
                <w:hideMark/>
              </w:tcPr>
              <w:p w:rsidRPr="003D3358" w:rsidR="005E3BD6" w:rsidP="00B4771C" w:rsidRDefault="1F325162" w14:paraId="66F0AEF1" w14:textId="61607447">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0DEC3CD3">
                  <w:rPr>
                    <w:rFonts w:ascii="Nunito Sans" w:hAnsi="Nunito Sans" w:cs="Calibri"/>
                    <w:color w:val="000000" w:themeColor="text1"/>
                    <w:sz w:val="18"/>
                    <w:szCs w:val="18"/>
                  </w:rPr>
                  <w:t>2</w:t>
                </w:r>
              </w:p>
            </w:tc>
            <w:tc>
              <w:tcPr>
                <w:tcW w:w="993" w:type="dxa"/>
                <w:vAlign w:val="center"/>
                <w:hideMark/>
              </w:tcPr>
              <w:p w:rsidRPr="003D3358" w:rsidR="005E3BD6" w:rsidP="00B4771C" w:rsidRDefault="005E3BD6" w14:paraId="3A74437F"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194E20DA" w14:textId="77777777">
                <w:pPr>
                  <w:rPr>
                    <w:rFonts w:ascii="Nunito Sans" w:hAnsi="Nunito Sans" w:cs="Calibri"/>
                    <w:color w:val="000000"/>
                    <w:sz w:val="18"/>
                    <w:szCs w:val="18"/>
                  </w:rPr>
                </w:pPr>
                <w:r w:rsidRPr="003D3358">
                  <w:rPr>
                    <w:rFonts w:ascii="Nunito Sans" w:hAnsi="Nunito Sans" w:cs="Calibri"/>
                    <w:color w:val="000000"/>
                    <w:sz w:val="18"/>
                    <w:szCs w:val="18"/>
                  </w:rPr>
                  <w:t>Certificado Registro Minero Nacional</w:t>
                </w:r>
              </w:p>
            </w:tc>
            <w:tc>
              <w:tcPr>
                <w:tcW w:w="1701" w:type="dxa"/>
                <w:shd w:val="clear" w:color="auto" w:fill="FFFFFF" w:themeFill="background1"/>
                <w:vAlign w:val="center"/>
                <w:hideMark/>
              </w:tcPr>
              <w:p w:rsidRPr="003D3358" w:rsidR="005E3BD6" w:rsidP="00B4771C" w:rsidRDefault="005E3BD6" w14:paraId="654F0A2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C81C870" w14:textId="77777777">
            <w:trPr>
              <w:trHeight w:val="443"/>
            </w:trPr>
            <w:tc>
              <w:tcPr>
                <w:tcW w:w="420" w:type="dxa"/>
                <w:vAlign w:val="center"/>
                <w:hideMark/>
              </w:tcPr>
              <w:p w:rsidRPr="003D3358" w:rsidR="005E3BD6" w:rsidP="00B4771C" w:rsidRDefault="1F325162" w14:paraId="7948C730" w14:textId="227C4748">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1EFFD942">
                  <w:rPr>
                    <w:rFonts w:ascii="Nunito Sans" w:hAnsi="Nunito Sans" w:cs="Calibri"/>
                    <w:color w:val="000000" w:themeColor="text1"/>
                    <w:sz w:val="18"/>
                    <w:szCs w:val="18"/>
                  </w:rPr>
                  <w:t>3</w:t>
                </w:r>
              </w:p>
            </w:tc>
            <w:tc>
              <w:tcPr>
                <w:tcW w:w="993" w:type="dxa"/>
                <w:vAlign w:val="center"/>
                <w:hideMark/>
              </w:tcPr>
              <w:p w:rsidRPr="003D3358" w:rsidR="005E3BD6" w:rsidP="00B4771C" w:rsidRDefault="005E3BD6" w14:paraId="780E83FB"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5FEA24A6" w14:textId="77777777">
                <w:pPr>
                  <w:rPr>
                    <w:rFonts w:ascii="Nunito Sans" w:hAnsi="Nunito Sans" w:cs="Calibri"/>
                    <w:color w:val="000000"/>
                    <w:sz w:val="18"/>
                    <w:szCs w:val="18"/>
                  </w:rPr>
                </w:pPr>
                <w:r w:rsidRPr="003D3358">
                  <w:rPr>
                    <w:rFonts w:ascii="Nunito Sans" w:hAnsi="Nunito Sans" w:cs="Calibri"/>
                    <w:color w:val="000000"/>
                    <w:sz w:val="18"/>
                    <w:szCs w:val="18"/>
                  </w:rPr>
                  <w:t>Incentivo al incremento de las inversiones en exploración y explotación de minerales a través del Certificado de Reembolso Tributario</w:t>
                </w:r>
              </w:p>
            </w:tc>
            <w:tc>
              <w:tcPr>
                <w:tcW w:w="1701" w:type="dxa"/>
                <w:shd w:val="clear" w:color="auto" w:fill="FFFFFF" w:themeFill="background1"/>
                <w:vAlign w:val="center"/>
                <w:hideMark/>
              </w:tcPr>
              <w:p w:rsidRPr="003D3358" w:rsidR="005E3BD6" w:rsidP="00B4771C" w:rsidRDefault="005E3BD6" w14:paraId="348CE6DF"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7309ECD4" w14:textId="77777777">
            <w:trPr>
              <w:trHeight w:val="240"/>
            </w:trPr>
            <w:tc>
              <w:tcPr>
                <w:tcW w:w="420" w:type="dxa"/>
                <w:vAlign w:val="center"/>
                <w:hideMark/>
              </w:tcPr>
              <w:p w:rsidRPr="003D3358" w:rsidR="005E3BD6" w:rsidP="00B4771C" w:rsidRDefault="1F325162" w14:paraId="39F338D8" w14:textId="278EAF1C">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4EC08739">
                  <w:rPr>
                    <w:rFonts w:ascii="Nunito Sans" w:hAnsi="Nunito Sans" w:cs="Calibri"/>
                    <w:color w:val="000000" w:themeColor="text1"/>
                    <w:sz w:val="18"/>
                    <w:szCs w:val="18"/>
                  </w:rPr>
                  <w:t>4</w:t>
                </w:r>
              </w:p>
            </w:tc>
            <w:tc>
              <w:tcPr>
                <w:tcW w:w="993" w:type="dxa"/>
                <w:vAlign w:val="center"/>
                <w:hideMark/>
              </w:tcPr>
              <w:p w:rsidRPr="003D3358" w:rsidR="005E3BD6" w:rsidP="00B4771C" w:rsidRDefault="005E3BD6" w14:paraId="42D88D3C"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08AF1DAD" w14:textId="77777777">
                <w:pPr>
                  <w:rPr>
                    <w:rFonts w:ascii="Nunito Sans" w:hAnsi="Nunito Sans" w:cs="Calibri"/>
                    <w:color w:val="000000"/>
                    <w:sz w:val="18"/>
                    <w:szCs w:val="18"/>
                  </w:rPr>
                </w:pPr>
                <w:r w:rsidRPr="003D3358">
                  <w:rPr>
                    <w:rFonts w:ascii="Nunito Sans" w:hAnsi="Nunito Sans" w:cs="Calibri"/>
                    <w:color w:val="000000"/>
                    <w:sz w:val="18"/>
                    <w:szCs w:val="18"/>
                  </w:rPr>
                  <w:t>Amparo Administrativo</w:t>
                </w:r>
              </w:p>
            </w:tc>
            <w:tc>
              <w:tcPr>
                <w:tcW w:w="1701" w:type="dxa"/>
                <w:shd w:val="clear" w:color="auto" w:fill="FFFFFF" w:themeFill="background1"/>
                <w:vAlign w:val="center"/>
                <w:hideMark/>
              </w:tcPr>
              <w:p w:rsidRPr="003D3358" w:rsidR="005E3BD6" w:rsidP="00B4771C" w:rsidRDefault="005E3BD6" w14:paraId="4112386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E2F00CE" w14:textId="77777777">
            <w:trPr>
              <w:trHeight w:val="740"/>
            </w:trPr>
            <w:tc>
              <w:tcPr>
                <w:tcW w:w="420" w:type="dxa"/>
                <w:vAlign w:val="center"/>
                <w:hideMark/>
              </w:tcPr>
              <w:p w:rsidRPr="003D3358" w:rsidR="005E3BD6" w:rsidP="00B4771C" w:rsidRDefault="1F325162" w14:paraId="5ECF6A10" w14:textId="7A58F4F7">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6FC95621">
                  <w:rPr>
                    <w:rFonts w:ascii="Nunito Sans" w:hAnsi="Nunito Sans" w:cs="Calibri"/>
                    <w:color w:val="000000" w:themeColor="text1"/>
                    <w:sz w:val="18"/>
                    <w:szCs w:val="18"/>
                  </w:rPr>
                  <w:t>5</w:t>
                </w:r>
              </w:p>
            </w:tc>
            <w:tc>
              <w:tcPr>
                <w:tcW w:w="993" w:type="dxa"/>
                <w:vAlign w:val="center"/>
                <w:hideMark/>
              </w:tcPr>
              <w:p w:rsidRPr="003D3358" w:rsidR="005E3BD6" w:rsidP="00B4771C" w:rsidRDefault="005E3BD6" w14:paraId="5624DB20"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5EF7495E" w14:textId="77777777">
                <w:pPr>
                  <w:rPr>
                    <w:rFonts w:ascii="Nunito Sans" w:hAnsi="Nunito Sans" w:cs="Calibri"/>
                    <w:color w:val="000000"/>
                    <w:sz w:val="18"/>
                    <w:szCs w:val="18"/>
                  </w:rPr>
                </w:pPr>
                <w:r w:rsidRPr="003D3358">
                  <w:rPr>
                    <w:rFonts w:ascii="Nunito Sans" w:hAnsi="Nunito Sans" w:cs="Calibri"/>
                    <w:color w:val="000000"/>
                    <w:sz w:val="18"/>
                    <w:szCs w:val="18"/>
                  </w:rPr>
                  <w:t>Declaración y delimitación de las Áreas de Reserva Especial con el fin de adelantar estudios geológico-mineros y desarrollar proyectos de minería mediante el otorgamiento del contrato especial de concesión</w:t>
                </w:r>
              </w:p>
            </w:tc>
            <w:tc>
              <w:tcPr>
                <w:tcW w:w="1701" w:type="dxa"/>
                <w:shd w:val="clear" w:color="auto" w:fill="FFFFFF" w:themeFill="background1"/>
                <w:vAlign w:val="center"/>
                <w:hideMark/>
              </w:tcPr>
              <w:p w:rsidRPr="003D3358" w:rsidR="005E3BD6" w:rsidP="00B4771C" w:rsidRDefault="005E3BD6" w14:paraId="4FC686D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4B64D52" w14:textId="77777777">
            <w:trPr>
              <w:trHeight w:val="240"/>
            </w:trPr>
            <w:tc>
              <w:tcPr>
                <w:tcW w:w="420" w:type="dxa"/>
                <w:vAlign w:val="center"/>
                <w:hideMark/>
              </w:tcPr>
              <w:p w:rsidRPr="003D3358" w:rsidR="005E3BD6" w:rsidP="00B4771C" w:rsidRDefault="1F325162" w14:paraId="6F649CDB" w14:textId="0B533E2A">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512376AB">
                  <w:rPr>
                    <w:rFonts w:ascii="Nunito Sans" w:hAnsi="Nunito Sans" w:cs="Calibri"/>
                    <w:color w:val="000000" w:themeColor="text1"/>
                    <w:sz w:val="18"/>
                    <w:szCs w:val="18"/>
                  </w:rPr>
                  <w:t>7</w:t>
                </w:r>
              </w:p>
            </w:tc>
            <w:tc>
              <w:tcPr>
                <w:tcW w:w="993" w:type="dxa"/>
                <w:vAlign w:val="center"/>
                <w:hideMark/>
              </w:tcPr>
              <w:p w:rsidRPr="003D3358" w:rsidR="005E3BD6" w:rsidP="00B4771C" w:rsidRDefault="005E3BD6" w14:paraId="01E2736D"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6772C56E" w14:textId="77777777">
                <w:pPr>
                  <w:rPr>
                    <w:rFonts w:ascii="Nunito Sans" w:hAnsi="Nunito Sans" w:cs="Calibri"/>
                    <w:color w:val="000000"/>
                    <w:sz w:val="18"/>
                    <w:szCs w:val="18"/>
                  </w:rPr>
                </w:pPr>
                <w:r w:rsidRPr="003D3358">
                  <w:rPr>
                    <w:rFonts w:ascii="Nunito Sans" w:hAnsi="Nunito Sans" w:cs="Calibri"/>
                    <w:color w:val="000000"/>
                    <w:sz w:val="18"/>
                    <w:szCs w:val="18"/>
                  </w:rPr>
                  <w:t>Pago de canon superficiario</w:t>
                </w:r>
              </w:p>
            </w:tc>
            <w:tc>
              <w:tcPr>
                <w:tcW w:w="1701" w:type="dxa"/>
                <w:shd w:val="clear" w:color="auto" w:fill="FFFFFF" w:themeFill="background1"/>
                <w:vAlign w:val="center"/>
                <w:hideMark/>
              </w:tcPr>
              <w:p w:rsidRPr="003D3358" w:rsidR="005E3BD6" w:rsidP="00B4771C" w:rsidRDefault="005E3BD6" w14:paraId="390D0CF1"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9016D51" w14:textId="77777777">
            <w:trPr>
              <w:trHeight w:val="240"/>
            </w:trPr>
            <w:tc>
              <w:tcPr>
                <w:tcW w:w="420" w:type="dxa"/>
                <w:vAlign w:val="center"/>
                <w:hideMark/>
              </w:tcPr>
              <w:p w:rsidRPr="003D3358" w:rsidR="005E3BD6" w:rsidP="00B4771C" w:rsidRDefault="1F325162" w14:paraId="20C11F7A" w14:textId="220BE8CD">
                <w:pPr>
                  <w:rPr>
                    <w:rFonts w:ascii="Nunito Sans" w:hAnsi="Nunito Sans" w:cs="Calibri"/>
                    <w:color w:val="000000"/>
                    <w:sz w:val="18"/>
                    <w:szCs w:val="18"/>
                  </w:rPr>
                </w:pPr>
                <w:r w:rsidRPr="4E60D266">
                  <w:rPr>
                    <w:rFonts w:ascii="Nunito Sans" w:hAnsi="Nunito Sans" w:cs="Calibri"/>
                    <w:color w:val="000000" w:themeColor="text1"/>
                    <w:sz w:val="18"/>
                    <w:szCs w:val="18"/>
                  </w:rPr>
                  <w:t>5</w:t>
                </w:r>
                <w:r w:rsidRPr="4E60D266" w:rsidR="71DC4D2E">
                  <w:rPr>
                    <w:rFonts w:ascii="Nunito Sans" w:hAnsi="Nunito Sans" w:cs="Calibri"/>
                    <w:color w:val="000000" w:themeColor="text1"/>
                    <w:sz w:val="18"/>
                    <w:szCs w:val="18"/>
                  </w:rPr>
                  <w:t>8</w:t>
                </w:r>
              </w:p>
            </w:tc>
            <w:tc>
              <w:tcPr>
                <w:tcW w:w="993" w:type="dxa"/>
                <w:vAlign w:val="center"/>
                <w:hideMark/>
              </w:tcPr>
              <w:p w:rsidRPr="003D3358" w:rsidR="005E3BD6" w:rsidP="00B4771C" w:rsidRDefault="005E3BD6" w14:paraId="2BE1593F"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7F299C20" w14:textId="77777777">
                <w:pPr>
                  <w:rPr>
                    <w:rFonts w:ascii="Nunito Sans" w:hAnsi="Nunito Sans" w:cs="Calibri"/>
                    <w:color w:val="000000"/>
                    <w:sz w:val="18"/>
                    <w:szCs w:val="18"/>
                  </w:rPr>
                </w:pPr>
                <w:r w:rsidRPr="003D3358">
                  <w:rPr>
                    <w:rFonts w:ascii="Nunito Sans" w:hAnsi="Nunito Sans" w:cs="Calibri"/>
                    <w:color w:val="000000"/>
                    <w:sz w:val="18"/>
                    <w:szCs w:val="18"/>
                  </w:rPr>
                  <w:t>Cesión de áreas mineras</w:t>
                </w:r>
              </w:p>
            </w:tc>
            <w:tc>
              <w:tcPr>
                <w:tcW w:w="1701" w:type="dxa"/>
                <w:shd w:val="clear" w:color="auto" w:fill="FFFFFF" w:themeFill="background1"/>
                <w:vAlign w:val="center"/>
                <w:hideMark/>
              </w:tcPr>
              <w:p w:rsidRPr="003D3358" w:rsidR="005E3BD6" w:rsidP="00B4771C" w:rsidRDefault="005E3BD6" w14:paraId="7A577A7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C219E89" w14:textId="77777777">
            <w:trPr>
              <w:trHeight w:val="627"/>
            </w:trPr>
            <w:tc>
              <w:tcPr>
                <w:tcW w:w="420" w:type="dxa"/>
                <w:vAlign w:val="center"/>
                <w:hideMark/>
              </w:tcPr>
              <w:p w:rsidRPr="003D3358" w:rsidR="005E3BD6" w:rsidP="00B4771C" w:rsidRDefault="7D4003DB" w14:paraId="16CB6052" w14:textId="2A2AAD64">
                <w:pPr>
                  <w:rPr>
                    <w:rFonts w:ascii="Nunito Sans" w:hAnsi="Nunito Sans" w:cs="Calibri"/>
                    <w:color w:val="000000"/>
                    <w:sz w:val="18"/>
                    <w:szCs w:val="18"/>
                  </w:rPr>
                </w:pPr>
                <w:r w:rsidRPr="4E60D266">
                  <w:rPr>
                    <w:rFonts w:ascii="Nunito Sans" w:hAnsi="Nunito Sans" w:cs="Calibri"/>
                    <w:color w:val="000000" w:themeColor="text1"/>
                    <w:sz w:val="18"/>
                    <w:szCs w:val="18"/>
                  </w:rPr>
                  <w:t>59</w:t>
                </w:r>
              </w:p>
            </w:tc>
            <w:tc>
              <w:tcPr>
                <w:tcW w:w="993" w:type="dxa"/>
                <w:vAlign w:val="center"/>
                <w:hideMark/>
              </w:tcPr>
              <w:p w:rsidRPr="003D3358" w:rsidR="005E3BD6" w:rsidP="00B4771C" w:rsidRDefault="005E3BD6" w14:paraId="133ADD7E"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544FEAFC" w14:textId="77777777">
                <w:pPr>
                  <w:rPr>
                    <w:rFonts w:ascii="Nunito Sans" w:hAnsi="Nunito Sans" w:cs="Calibri"/>
                    <w:color w:val="000000"/>
                    <w:sz w:val="18"/>
                    <w:szCs w:val="18"/>
                  </w:rPr>
                </w:pPr>
                <w:r w:rsidRPr="003D3358">
                  <w:rPr>
                    <w:rFonts w:ascii="Nunito Sans" w:hAnsi="Nunito Sans" w:cs="Calibri"/>
                    <w:color w:val="000000"/>
                    <w:sz w:val="18"/>
                    <w:szCs w:val="18"/>
                  </w:rPr>
                  <w:t>Declaración y delimitación de las Áreas de Reserva Especial en área libre conforme a lo establecido en el artículo 4 de la Ley 2250 de 2022, reglamentado por la Resolución No. 40005 de fecha 11 de enero de 2024 para el otorgamiento del contrato especial de concesión minera</w:t>
                </w:r>
              </w:p>
            </w:tc>
            <w:tc>
              <w:tcPr>
                <w:tcW w:w="1701" w:type="dxa"/>
                <w:shd w:val="clear" w:color="auto" w:fill="FFFFFF" w:themeFill="background1"/>
                <w:vAlign w:val="center"/>
                <w:hideMark/>
              </w:tcPr>
              <w:p w:rsidRPr="003D3358" w:rsidR="005E3BD6" w:rsidP="00B4771C" w:rsidRDefault="005E3BD6" w14:paraId="18F6B8F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27BFDA9" w14:textId="77777777">
            <w:trPr>
              <w:trHeight w:val="480"/>
            </w:trPr>
            <w:tc>
              <w:tcPr>
                <w:tcW w:w="420" w:type="dxa"/>
                <w:vAlign w:val="center"/>
                <w:hideMark/>
              </w:tcPr>
              <w:p w:rsidRPr="003D3358" w:rsidR="005E3BD6" w:rsidP="00B4771C" w:rsidRDefault="1F325162" w14:paraId="40CBD552" w14:textId="7E8C4DEE">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207FB120">
                  <w:rPr>
                    <w:rFonts w:ascii="Nunito Sans" w:hAnsi="Nunito Sans" w:cs="Calibri"/>
                    <w:color w:val="000000" w:themeColor="text1"/>
                    <w:sz w:val="18"/>
                    <w:szCs w:val="18"/>
                  </w:rPr>
                  <w:t>0</w:t>
                </w:r>
              </w:p>
            </w:tc>
            <w:tc>
              <w:tcPr>
                <w:tcW w:w="993" w:type="dxa"/>
                <w:vAlign w:val="center"/>
                <w:hideMark/>
              </w:tcPr>
              <w:p w:rsidRPr="003D3358" w:rsidR="005E3BD6" w:rsidP="00B4771C" w:rsidRDefault="005E3BD6" w14:paraId="66C385AD"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75EC2459" w14:textId="77777777">
                <w:pPr>
                  <w:rPr>
                    <w:rFonts w:ascii="Nunito Sans" w:hAnsi="Nunito Sans" w:cs="Calibri"/>
                    <w:color w:val="000000"/>
                    <w:sz w:val="18"/>
                    <w:szCs w:val="18"/>
                  </w:rPr>
                </w:pPr>
                <w:r w:rsidRPr="003D3358">
                  <w:rPr>
                    <w:rFonts w:ascii="Nunito Sans" w:hAnsi="Nunito Sans" w:cs="Calibri"/>
                    <w:color w:val="000000"/>
                    <w:sz w:val="18"/>
                    <w:szCs w:val="18"/>
                  </w:rPr>
                  <w:t>Delimitación de zonas mineras de comunidades negras, afrocolombianas, raizales y palenqueras</w:t>
                </w:r>
              </w:p>
            </w:tc>
            <w:tc>
              <w:tcPr>
                <w:tcW w:w="1701" w:type="dxa"/>
                <w:shd w:val="clear" w:color="auto" w:fill="FFFFFF" w:themeFill="background1"/>
                <w:vAlign w:val="center"/>
                <w:hideMark/>
              </w:tcPr>
              <w:p w:rsidRPr="003D3358" w:rsidR="005E3BD6" w:rsidP="00B4771C" w:rsidRDefault="005E3BD6" w14:paraId="7F3B56C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5FDBEE9" w14:textId="77777777">
            <w:trPr>
              <w:trHeight w:val="240"/>
            </w:trPr>
            <w:tc>
              <w:tcPr>
                <w:tcW w:w="420" w:type="dxa"/>
                <w:vAlign w:val="center"/>
                <w:hideMark/>
              </w:tcPr>
              <w:p w:rsidRPr="003D3358" w:rsidR="005E3BD6" w:rsidP="00B4771C" w:rsidRDefault="1F325162" w14:paraId="09BF0441" w14:textId="66BB3DDA">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69562AF9">
                  <w:rPr>
                    <w:rFonts w:ascii="Nunito Sans" w:hAnsi="Nunito Sans" w:cs="Calibri"/>
                    <w:color w:val="000000" w:themeColor="text1"/>
                    <w:sz w:val="18"/>
                    <w:szCs w:val="18"/>
                  </w:rPr>
                  <w:t>1</w:t>
                </w:r>
              </w:p>
            </w:tc>
            <w:tc>
              <w:tcPr>
                <w:tcW w:w="993" w:type="dxa"/>
                <w:vAlign w:val="center"/>
                <w:hideMark/>
              </w:tcPr>
              <w:p w:rsidRPr="003D3358" w:rsidR="005E3BD6" w:rsidP="00B4771C" w:rsidRDefault="005E3BD6" w14:paraId="0012EC83"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71080839" w14:textId="77777777">
                <w:pPr>
                  <w:rPr>
                    <w:rFonts w:ascii="Nunito Sans" w:hAnsi="Nunito Sans" w:cs="Calibri"/>
                    <w:color w:val="000000"/>
                    <w:sz w:val="18"/>
                    <w:szCs w:val="18"/>
                  </w:rPr>
                </w:pPr>
                <w:r w:rsidRPr="003D3358">
                  <w:rPr>
                    <w:rFonts w:ascii="Nunito Sans" w:hAnsi="Nunito Sans" w:cs="Calibri"/>
                    <w:color w:val="000000"/>
                    <w:sz w:val="18"/>
                    <w:szCs w:val="18"/>
                  </w:rPr>
                  <w:t>Programa de Asistencia Técnica Minera - VETA</w:t>
                </w:r>
              </w:p>
            </w:tc>
            <w:tc>
              <w:tcPr>
                <w:tcW w:w="1701" w:type="dxa"/>
                <w:shd w:val="clear" w:color="auto" w:fill="FFFFFF" w:themeFill="background1"/>
                <w:vAlign w:val="center"/>
                <w:hideMark/>
              </w:tcPr>
              <w:p w:rsidRPr="003D3358" w:rsidR="005E3BD6" w:rsidP="00B4771C" w:rsidRDefault="005E3BD6" w14:paraId="5C305A1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EA434A9" w14:textId="77777777">
            <w:trPr>
              <w:trHeight w:val="480"/>
            </w:trPr>
            <w:tc>
              <w:tcPr>
                <w:tcW w:w="420" w:type="dxa"/>
                <w:vAlign w:val="center"/>
                <w:hideMark/>
              </w:tcPr>
              <w:p w:rsidRPr="003D3358" w:rsidR="005E3BD6" w:rsidP="00B4771C" w:rsidRDefault="1F325162" w14:paraId="3291C936" w14:textId="06BE0A8F">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2BFE70F0">
                  <w:rPr>
                    <w:rFonts w:ascii="Nunito Sans" w:hAnsi="Nunito Sans" w:cs="Calibri"/>
                    <w:color w:val="000000" w:themeColor="text1"/>
                    <w:sz w:val="18"/>
                    <w:szCs w:val="18"/>
                  </w:rPr>
                  <w:t>2</w:t>
                </w:r>
              </w:p>
            </w:tc>
            <w:tc>
              <w:tcPr>
                <w:tcW w:w="993" w:type="dxa"/>
                <w:vAlign w:val="center"/>
                <w:hideMark/>
              </w:tcPr>
              <w:p w:rsidRPr="003D3358" w:rsidR="005E3BD6" w:rsidP="00B4771C" w:rsidRDefault="005E3BD6" w14:paraId="1DE0EAEB"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58A10C17" w14:textId="77777777">
                <w:pPr>
                  <w:rPr>
                    <w:rFonts w:ascii="Nunito Sans" w:hAnsi="Nunito Sans" w:cs="Calibri"/>
                    <w:color w:val="000000"/>
                    <w:sz w:val="18"/>
                    <w:szCs w:val="18"/>
                  </w:rPr>
                </w:pPr>
                <w:r w:rsidRPr="003D3358">
                  <w:rPr>
                    <w:rFonts w:ascii="Nunito Sans" w:hAnsi="Nunito Sans" w:cs="Calibri"/>
                    <w:color w:val="000000"/>
                    <w:sz w:val="18"/>
                    <w:szCs w:val="18"/>
                  </w:rPr>
                  <w:t>Autorización temporal para extracción de material de construcción</w:t>
                </w:r>
              </w:p>
            </w:tc>
            <w:tc>
              <w:tcPr>
                <w:tcW w:w="1701" w:type="dxa"/>
                <w:shd w:val="clear" w:color="auto" w:fill="FFFFFF" w:themeFill="background1"/>
                <w:vAlign w:val="center"/>
                <w:hideMark/>
              </w:tcPr>
              <w:p w:rsidRPr="003D3358" w:rsidR="005E3BD6" w:rsidP="00B4771C" w:rsidRDefault="005E3BD6" w14:paraId="3559BC93"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3A433F24" w14:textId="77777777">
            <w:trPr>
              <w:trHeight w:val="240"/>
            </w:trPr>
            <w:tc>
              <w:tcPr>
                <w:tcW w:w="420" w:type="dxa"/>
                <w:vAlign w:val="center"/>
                <w:hideMark/>
              </w:tcPr>
              <w:p w:rsidRPr="003D3358" w:rsidR="005E3BD6" w:rsidP="00B4771C" w:rsidRDefault="1F325162" w14:paraId="0C850865" w14:textId="6FDB4982">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611624EE">
                  <w:rPr>
                    <w:rFonts w:ascii="Nunito Sans" w:hAnsi="Nunito Sans" w:cs="Calibri"/>
                    <w:color w:val="000000" w:themeColor="text1"/>
                    <w:sz w:val="18"/>
                    <w:szCs w:val="18"/>
                  </w:rPr>
                  <w:t>3</w:t>
                </w:r>
              </w:p>
            </w:tc>
            <w:tc>
              <w:tcPr>
                <w:tcW w:w="993" w:type="dxa"/>
                <w:vAlign w:val="center"/>
                <w:hideMark/>
              </w:tcPr>
              <w:p w:rsidRPr="003D3358" w:rsidR="005E3BD6" w:rsidP="00B4771C" w:rsidRDefault="005E3BD6" w14:paraId="669FCBBA"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1B5791E3" w14:textId="77777777">
                <w:pPr>
                  <w:rPr>
                    <w:rFonts w:ascii="Nunito Sans" w:hAnsi="Nunito Sans" w:cs="Calibri"/>
                    <w:color w:val="000000"/>
                    <w:sz w:val="18"/>
                    <w:szCs w:val="18"/>
                  </w:rPr>
                </w:pPr>
                <w:r w:rsidRPr="003D3358">
                  <w:rPr>
                    <w:rFonts w:ascii="Nunito Sans" w:hAnsi="Nunito Sans" w:cs="Calibri"/>
                    <w:color w:val="000000"/>
                    <w:sz w:val="18"/>
                    <w:szCs w:val="18"/>
                  </w:rPr>
                  <w:t>Cesión de derechos de un título minero</w:t>
                </w:r>
              </w:p>
            </w:tc>
            <w:tc>
              <w:tcPr>
                <w:tcW w:w="1701" w:type="dxa"/>
                <w:shd w:val="clear" w:color="auto" w:fill="FFFFFF" w:themeFill="background1"/>
                <w:vAlign w:val="center"/>
                <w:hideMark/>
              </w:tcPr>
              <w:p w:rsidRPr="003D3358" w:rsidR="005E3BD6" w:rsidP="00B4771C" w:rsidRDefault="005E3BD6" w14:paraId="098479D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C971EE0" w14:textId="77777777">
            <w:trPr>
              <w:trHeight w:val="240"/>
            </w:trPr>
            <w:tc>
              <w:tcPr>
                <w:tcW w:w="420" w:type="dxa"/>
                <w:vAlign w:val="center"/>
                <w:hideMark/>
              </w:tcPr>
              <w:p w:rsidRPr="003D3358" w:rsidR="005E3BD6" w:rsidP="00B4771C" w:rsidRDefault="1F325162" w14:paraId="40DA2297" w14:textId="06736A4E">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1792823C">
                  <w:rPr>
                    <w:rFonts w:ascii="Nunito Sans" w:hAnsi="Nunito Sans" w:cs="Calibri"/>
                    <w:color w:val="000000" w:themeColor="text1"/>
                    <w:sz w:val="18"/>
                    <w:szCs w:val="18"/>
                  </w:rPr>
                  <w:t>4</w:t>
                </w:r>
              </w:p>
            </w:tc>
            <w:tc>
              <w:tcPr>
                <w:tcW w:w="993" w:type="dxa"/>
                <w:vAlign w:val="center"/>
                <w:hideMark/>
              </w:tcPr>
              <w:p w:rsidRPr="003D3358" w:rsidR="005E3BD6" w:rsidP="00B4771C" w:rsidRDefault="005E3BD6" w14:paraId="0B6DE4E2" w14:textId="77777777">
                <w:pPr>
                  <w:rPr>
                    <w:rFonts w:ascii="Nunito Sans" w:hAnsi="Nunito Sans" w:cs="Calibri"/>
                    <w:color w:val="000000"/>
                    <w:sz w:val="18"/>
                    <w:szCs w:val="18"/>
                  </w:rPr>
                </w:pPr>
                <w:r w:rsidRPr="003D3358">
                  <w:rPr>
                    <w:rFonts w:ascii="Nunito Sans" w:hAnsi="Nunito Sans" w:cs="Calibri"/>
                    <w:color w:val="000000"/>
                    <w:sz w:val="18"/>
                    <w:szCs w:val="18"/>
                  </w:rPr>
                  <w:t>ANM</w:t>
                </w:r>
              </w:p>
            </w:tc>
            <w:tc>
              <w:tcPr>
                <w:tcW w:w="6237" w:type="dxa"/>
                <w:vAlign w:val="center"/>
                <w:hideMark/>
              </w:tcPr>
              <w:p w:rsidRPr="003D3358" w:rsidR="005E3BD6" w:rsidP="00B4771C" w:rsidRDefault="005E3BD6" w14:paraId="11F26668" w14:textId="77777777">
                <w:pPr>
                  <w:rPr>
                    <w:rFonts w:ascii="Nunito Sans" w:hAnsi="Nunito Sans" w:cs="Calibri"/>
                    <w:color w:val="000000"/>
                    <w:sz w:val="18"/>
                    <w:szCs w:val="18"/>
                  </w:rPr>
                </w:pPr>
                <w:r w:rsidRPr="003D3358">
                  <w:rPr>
                    <w:rFonts w:ascii="Nunito Sans" w:hAnsi="Nunito Sans" w:cs="Calibri"/>
                    <w:color w:val="000000"/>
                    <w:sz w:val="18"/>
                    <w:szCs w:val="18"/>
                  </w:rPr>
                  <w:t>Reporte gráfico</w:t>
                </w:r>
              </w:p>
            </w:tc>
            <w:tc>
              <w:tcPr>
                <w:tcW w:w="1701" w:type="dxa"/>
                <w:shd w:val="clear" w:color="auto" w:fill="FFFFFF" w:themeFill="background1"/>
                <w:vAlign w:val="center"/>
                <w:hideMark/>
              </w:tcPr>
              <w:p w:rsidRPr="003D3358" w:rsidR="005E3BD6" w:rsidP="00B4771C" w:rsidRDefault="005E3BD6" w14:paraId="1B4F4F0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7DA7C92" w14:textId="77777777">
            <w:trPr>
              <w:trHeight w:val="553"/>
            </w:trPr>
            <w:tc>
              <w:tcPr>
                <w:tcW w:w="420" w:type="dxa"/>
                <w:vAlign w:val="center"/>
                <w:hideMark/>
              </w:tcPr>
              <w:p w:rsidRPr="003D3358" w:rsidR="005E3BD6" w:rsidP="00B4771C" w:rsidRDefault="1F325162" w14:paraId="5C8849B8" w14:textId="3D231C95">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2E50E280">
                  <w:rPr>
                    <w:rFonts w:ascii="Nunito Sans" w:hAnsi="Nunito Sans" w:cs="Calibri"/>
                    <w:color w:val="000000" w:themeColor="text1"/>
                    <w:sz w:val="18"/>
                    <w:szCs w:val="18"/>
                  </w:rPr>
                  <w:t>5</w:t>
                </w:r>
              </w:p>
            </w:tc>
            <w:tc>
              <w:tcPr>
                <w:tcW w:w="993" w:type="dxa"/>
                <w:vAlign w:val="center"/>
                <w:hideMark/>
              </w:tcPr>
              <w:p w:rsidRPr="003D3358" w:rsidR="005E3BD6" w:rsidP="00B4771C" w:rsidRDefault="005E3BD6" w14:paraId="73810995"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38598EFE" w14:textId="77777777">
                <w:pPr>
                  <w:rPr>
                    <w:rFonts w:ascii="Nunito Sans" w:hAnsi="Nunito Sans" w:cs="Calibri"/>
                    <w:color w:val="000000"/>
                    <w:sz w:val="18"/>
                    <w:szCs w:val="18"/>
                  </w:rPr>
                </w:pPr>
                <w:r w:rsidRPr="003D3358">
                  <w:rPr>
                    <w:rFonts w:ascii="Nunito Sans" w:hAnsi="Nunito Sans" w:cs="Calibri"/>
                    <w:color w:val="000000"/>
                    <w:sz w:val="18"/>
                    <w:szCs w:val="18"/>
                  </w:rPr>
                  <w:t>Asesoría para el suministro de información técnica del Banco de Información Petrolera BIP-SGC</w:t>
                </w:r>
              </w:p>
            </w:tc>
            <w:tc>
              <w:tcPr>
                <w:tcW w:w="1701" w:type="dxa"/>
                <w:shd w:val="clear" w:color="auto" w:fill="FFFFFF" w:themeFill="background1"/>
                <w:vAlign w:val="center"/>
                <w:hideMark/>
              </w:tcPr>
              <w:p w:rsidRPr="003D3358" w:rsidR="005E3BD6" w:rsidP="00B4771C" w:rsidRDefault="005E3BD6" w14:paraId="5ECF757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84C38CC" w14:textId="77777777">
            <w:trPr>
              <w:trHeight w:val="258"/>
            </w:trPr>
            <w:tc>
              <w:tcPr>
                <w:tcW w:w="420" w:type="dxa"/>
                <w:vAlign w:val="center"/>
                <w:hideMark/>
              </w:tcPr>
              <w:p w:rsidRPr="003D3358" w:rsidR="005E3BD6" w:rsidP="00B4771C" w:rsidRDefault="1F325162" w14:paraId="73E9D02B" w14:textId="7B227133">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054B69B3">
                  <w:rPr>
                    <w:rFonts w:ascii="Nunito Sans" w:hAnsi="Nunito Sans" w:cs="Calibri"/>
                    <w:color w:val="000000" w:themeColor="text1"/>
                    <w:sz w:val="18"/>
                    <w:szCs w:val="18"/>
                  </w:rPr>
                  <w:t>6</w:t>
                </w:r>
              </w:p>
            </w:tc>
            <w:tc>
              <w:tcPr>
                <w:tcW w:w="993" w:type="dxa"/>
                <w:vAlign w:val="center"/>
                <w:hideMark/>
              </w:tcPr>
              <w:p w:rsidRPr="003D3358" w:rsidR="005E3BD6" w:rsidP="00B4771C" w:rsidRDefault="005E3BD6" w14:paraId="6BE3E75F"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21301B21" w14:textId="77777777">
                <w:pPr>
                  <w:rPr>
                    <w:rFonts w:ascii="Nunito Sans" w:hAnsi="Nunito Sans" w:cs="Calibri"/>
                    <w:color w:val="000000"/>
                    <w:sz w:val="18"/>
                    <w:szCs w:val="18"/>
                  </w:rPr>
                </w:pPr>
                <w:r w:rsidRPr="003D3358">
                  <w:rPr>
                    <w:rFonts w:ascii="Nunito Sans" w:hAnsi="Nunito Sans" w:cs="Calibri"/>
                    <w:color w:val="000000"/>
                    <w:sz w:val="18"/>
                    <w:szCs w:val="18"/>
                  </w:rPr>
                  <w:t>Visita guiada al Museo Geológico Nacional José Royo y Gómez</w:t>
                </w:r>
              </w:p>
            </w:tc>
            <w:tc>
              <w:tcPr>
                <w:tcW w:w="1701" w:type="dxa"/>
                <w:shd w:val="clear" w:color="auto" w:fill="FFFFFF" w:themeFill="background1"/>
                <w:vAlign w:val="center"/>
                <w:hideMark/>
              </w:tcPr>
              <w:p w:rsidRPr="003D3358" w:rsidR="005E3BD6" w:rsidP="00B4771C" w:rsidRDefault="005E3BD6" w14:paraId="4D8D7EF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2702DA4" w14:textId="77777777">
            <w:trPr>
              <w:trHeight w:val="70"/>
            </w:trPr>
            <w:tc>
              <w:tcPr>
                <w:tcW w:w="420" w:type="dxa"/>
                <w:vAlign w:val="center"/>
                <w:hideMark/>
              </w:tcPr>
              <w:p w:rsidRPr="003D3358" w:rsidR="005E3BD6" w:rsidP="00B4771C" w:rsidRDefault="1F325162" w14:paraId="2F2BC200" w14:textId="459381A3">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10F8B1E9">
                  <w:rPr>
                    <w:rFonts w:ascii="Nunito Sans" w:hAnsi="Nunito Sans" w:cs="Calibri"/>
                    <w:color w:val="000000" w:themeColor="text1"/>
                    <w:sz w:val="18"/>
                    <w:szCs w:val="18"/>
                  </w:rPr>
                  <w:t>7</w:t>
                </w:r>
              </w:p>
            </w:tc>
            <w:tc>
              <w:tcPr>
                <w:tcW w:w="993" w:type="dxa"/>
                <w:vAlign w:val="center"/>
                <w:hideMark/>
              </w:tcPr>
              <w:p w:rsidRPr="003D3358" w:rsidR="005E3BD6" w:rsidP="00B4771C" w:rsidRDefault="005E3BD6" w14:paraId="3CBE5650"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6D020C82" w14:textId="77777777">
                <w:pPr>
                  <w:rPr>
                    <w:rFonts w:ascii="Nunito Sans" w:hAnsi="Nunito Sans" w:cs="Calibri"/>
                    <w:color w:val="000000"/>
                    <w:sz w:val="18"/>
                    <w:szCs w:val="18"/>
                  </w:rPr>
                </w:pPr>
                <w:r w:rsidRPr="003D3358">
                  <w:rPr>
                    <w:rFonts w:ascii="Nunito Sans" w:hAnsi="Nunito Sans" w:cs="Calibri"/>
                    <w:color w:val="000000"/>
                    <w:sz w:val="18"/>
                    <w:szCs w:val="18"/>
                  </w:rPr>
                  <w:t>Servicio de información de biblioteca</w:t>
                </w:r>
              </w:p>
            </w:tc>
            <w:tc>
              <w:tcPr>
                <w:tcW w:w="1701" w:type="dxa"/>
                <w:shd w:val="clear" w:color="auto" w:fill="FFFFFF" w:themeFill="background1"/>
                <w:vAlign w:val="center"/>
                <w:hideMark/>
              </w:tcPr>
              <w:p w:rsidRPr="003D3358" w:rsidR="005E3BD6" w:rsidP="00B4771C" w:rsidRDefault="005E3BD6" w14:paraId="02A6C21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0843A08" w14:textId="77777777">
            <w:trPr>
              <w:trHeight w:val="240"/>
            </w:trPr>
            <w:tc>
              <w:tcPr>
                <w:tcW w:w="420" w:type="dxa"/>
                <w:vAlign w:val="center"/>
                <w:hideMark/>
              </w:tcPr>
              <w:p w:rsidRPr="003D3358" w:rsidR="005E3BD6" w:rsidP="00B4771C" w:rsidRDefault="1F325162" w14:paraId="3493C526" w14:textId="4073A0CC">
                <w:pPr>
                  <w:rPr>
                    <w:rFonts w:ascii="Nunito Sans" w:hAnsi="Nunito Sans" w:cs="Calibri"/>
                    <w:color w:val="000000"/>
                    <w:sz w:val="18"/>
                    <w:szCs w:val="18"/>
                  </w:rPr>
                </w:pPr>
                <w:r w:rsidRPr="4E60D266">
                  <w:rPr>
                    <w:rFonts w:ascii="Nunito Sans" w:hAnsi="Nunito Sans" w:cs="Calibri"/>
                    <w:color w:val="000000" w:themeColor="text1"/>
                    <w:sz w:val="18"/>
                    <w:szCs w:val="18"/>
                  </w:rPr>
                  <w:t>6</w:t>
                </w:r>
                <w:r w:rsidRPr="4E60D266" w:rsidR="74F48BD9">
                  <w:rPr>
                    <w:rFonts w:ascii="Nunito Sans" w:hAnsi="Nunito Sans" w:cs="Calibri"/>
                    <w:color w:val="000000" w:themeColor="text1"/>
                    <w:sz w:val="18"/>
                    <w:szCs w:val="18"/>
                  </w:rPr>
                  <w:t>8</w:t>
                </w:r>
              </w:p>
            </w:tc>
            <w:tc>
              <w:tcPr>
                <w:tcW w:w="993" w:type="dxa"/>
                <w:vAlign w:val="center"/>
                <w:hideMark/>
              </w:tcPr>
              <w:p w:rsidRPr="003D3358" w:rsidR="005E3BD6" w:rsidP="00B4771C" w:rsidRDefault="005E3BD6" w14:paraId="23FF01BF"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08F2C60B" w14:textId="77777777">
                <w:pPr>
                  <w:rPr>
                    <w:rFonts w:ascii="Nunito Sans" w:hAnsi="Nunito Sans" w:cs="Calibri"/>
                    <w:color w:val="000000"/>
                    <w:sz w:val="18"/>
                    <w:szCs w:val="18"/>
                  </w:rPr>
                </w:pPr>
                <w:r w:rsidRPr="003D3358">
                  <w:rPr>
                    <w:rFonts w:ascii="Nunito Sans" w:hAnsi="Nunito Sans" w:cs="Calibri"/>
                    <w:color w:val="000000"/>
                    <w:sz w:val="18"/>
                    <w:szCs w:val="18"/>
                  </w:rPr>
                  <w:t>Consulta información Geoportal</w:t>
                </w:r>
              </w:p>
            </w:tc>
            <w:tc>
              <w:tcPr>
                <w:tcW w:w="1701" w:type="dxa"/>
                <w:shd w:val="clear" w:color="auto" w:fill="FFFFFF" w:themeFill="background1"/>
                <w:vAlign w:val="center"/>
                <w:hideMark/>
              </w:tcPr>
              <w:p w:rsidRPr="003D3358" w:rsidR="005E3BD6" w:rsidP="00B4771C" w:rsidRDefault="005E3BD6" w14:paraId="64A45CA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7BDBEC7" w14:textId="77777777">
            <w:trPr>
              <w:trHeight w:val="240"/>
            </w:trPr>
            <w:tc>
              <w:tcPr>
                <w:tcW w:w="420" w:type="dxa"/>
                <w:vAlign w:val="center"/>
                <w:hideMark/>
              </w:tcPr>
              <w:p w:rsidRPr="003D3358" w:rsidR="005E3BD6" w:rsidP="00B4771C" w:rsidRDefault="00692C43" w14:paraId="3BB30EF0" w14:textId="4B8E2BAD">
                <w:pPr>
                  <w:rPr>
                    <w:rFonts w:ascii="Nunito Sans" w:hAnsi="Nunito Sans" w:cs="Calibri"/>
                    <w:color w:val="000000"/>
                    <w:sz w:val="18"/>
                    <w:szCs w:val="18"/>
                  </w:rPr>
                </w:pPr>
                <w:r w:rsidRPr="4E60D266">
                  <w:rPr>
                    <w:rFonts w:ascii="Nunito Sans" w:hAnsi="Nunito Sans" w:cs="Calibri"/>
                    <w:color w:val="000000" w:themeColor="text1"/>
                    <w:sz w:val="18"/>
                    <w:szCs w:val="18"/>
                  </w:rPr>
                  <w:t>69</w:t>
                </w:r>
              </w:p>
            </w:tc>
            <w:tc>
              <w:tcPr>
                <w:tcW w:w="993" w:type="dxa"/>
                <w:vAlign w:val="center"/>
                <w:hideMark/>
              </w:tcPr>
              <w:p w:rsidRPr="003D3358" w:rsidR="005E3BD6" w:rsidP="00B4771C" w:rsidRDefault="005E3BD6" w14:paraId="5F50D258"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3AA26CE9" w14:textId="77777777">
                <w:pPr>
                  <w:rPr>
                    <w:rFonts w:ascii="Nunito Sans" w:hAnsi="Nunito Sans" w:cs="Calibri"/>
                    <w:color w:val="000000"/>
                    <w:sz w:val="18"/>
                    <w:szCs w:val="18"/>
                  </w:rPr>
                </w:pPr>
                <w:r w:rsidRPr="003D3358">
                  <w:rPr>
                    <w:rFonts w:ascii="Nunito Sans" w:hAnsi="Nunito Sans" w:cs="Calibri"/>
                    <w:color w:val="000000"/>
                    <w:sz w:val="18"/>
                    <w:szCs w:val="18"/>
                  </w:rPr>
                  <w:t>Registro de operación de instalación radiactiva</w:t>
                </w:r>
              </w:p>
            </w:tc>
            <w:tc>
              <w:tcPr>
                <w:tcW w:w="1701" w:type="dxa"/>
                <w:shd w:val="clear" w:color="auto" w:fill="FFFFFF" w:themeFill="background1"/>
                <w:vAlign w:val="center"/>
                <w:hideMark/>
              </w:tcPr>
              <w:p w:rsidRPr="003D3358" w:rsidR="005E3BD6" w:rsidP="00B4771C" w:rsidRDefault="005E3BD6" w14:paraId="0438F28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92137A1" w14:textId="77777777">
            <w:trPr>
              <w:trHeight w:val="240"/>
            </w:trPr>
            <w:tc>
              <w:tcPr>
                <w:tcW w:w="420" w:type="dxa"/>
                <w:vAlign w:val="center"/>
                <w:hideMark/>
              </w:tcPr>
              <w:p w:rsidRPr="003D3358" w:rsidR="005E3BD6" w:rsidP="00B4771C" w:rsidRDefault="1F325162" w14:paraId="654C8A91" w14:textId="4AE23B48">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2C8CBA1E">
                  <w:rPr>
                    <w:rFonts w:ascii="Nunito Sans" w:hAnsi="Nunito Sans" w:cs="Calibri"/>
                    <w:color w:val="000000" w:themeColor="text1"/>
                    <w:sz w:val="18"/>
                    <w:szCs w:val="18"/>
                  </w:rPr>
                  <w:t>0</w:t>
                </w:r>
              </w:p>
            </w:tc>
            <w:tc>
              <w:tcPr>
                <w:tcW w:w="993" w:type="dxa"/>
                <w:vAlign w:val="center"/>
                <w:hideMark/>
              </w:tcPr>
              <w:p w:rsidRPr="003D3358" w:rsidR="005E3BD6" w:rsidP="00B4771C" w:rsidRDefault="005E3BD6" w14:paraId="446CD84F"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1EB31D4D" w14:textId="77777777">
                <w:pPr>
                  <w:rPr>
                    <w:rFonts w:ascii="Nunito Sans" w:hAnsi="Nunito Sans" w:cs="Calibri"/>
                    <w:color w:val="000000"/>
                    <w:sz w:val="18"/>
                    <w:szCs w:val="18"/>
                  </w:rPr>
                </w:pPr>
                <w:r w:rsidRPr="003D3358">
                  <w:rPr>
                    <w:rFonts w:ascii="Nunito Sans" w:hAnsi="Nunito Sans" w:cs="Calibri"/>
                    <w:color w:val="000000"/>
                    <w:sz w:val="18"/>
                    <w:szCs w:val="18"/>
                  </w:rPr>
                  <w:t>Licencia de diseño de instalación radiactiva</w:t>
                </w:r>
              </w:p>
            </w:tc>
            <w:tc>
              <w:tcPr>
                <w:tcW w:w="1701" w:type="dxa"/>
                <w:shd w:val="clear" w:color="auto" w:fill="FFFFFF" w:themeFill="background1"/>
                <w:vAlign w:val="center"/>
                <w:hideMark/>
              </w:tcPr>
              <w:p w:rsidRPr="003D3358" w:rsidR="005E3BD6" w:rsidP="00B4771C" w:rsidRDefault="005E3BD6" w14:paraId="5877DB3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BF5C444" w14:textId="77777777">
            <w:trPr>
              <w:trHeight w:val="151"/>
            </w:trPr>
            <w:tc>
              <w:tcPr>
                <w:tcW w:w="420" w:type="dxa"/>
                <w:vAlign w:val="center"/>
                <w:hideMark/>
              </w:tcPr>
              <w:p w:rsidRPr="003D3358" w:rsidR="005E3BD6" w:rsidP="00B4771C" w:rsidRDefault="1F325162" w14:paraId="5A5FD7E1" w14:textId="6301B394">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37950174">
                  <w:rPr>
                    <w:rFonts w:ascii="Nunito Sans" w:hAnsi="Nunito Sans" w:cs="Calibri"/>
                    <w:color w:val="000000" w:themeColor="text1"/>
                    <w:sz w:val="18"/>
                    <w:szCs w:val="18"/>
                  </w:rPr>
                  <w:t>1</w:t>
                </w:r>
              </w:p>
            </w:tc>
            <w:tc>
              <w:tcPr>
                <w:tcW w:w="993" w:type="dxa"/>
                <w:vAlign w:val="center"/>
                <w:hideMark/>
              </w:tcPr>
              <w:p w:rsidRPr="003D3358" w:rsidR="005E3BD6" w:rsidP="00B4771C" w:rsidRDefault="005E3BD6" w14:paraId="29E9BC04"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06DEA0CD" w14:textId="77777777">
                <w:pPr>
                  <w:rPr>
                    <w:rFonts w:ascii="Nunito Sans" w:hAnsi="Nunito Sans" w:cs="Calibri"/>
                    <w:color w:val="000000"/>
                    <w:sz w:val="18"/>
                    <w:szCs w:val="18"/>
                  </w:rPr>
                </w:pPr>
                <w:r w:rsidRPr="003D3358">
                  <w:rPr>
                    <w:rFonts w:ascii="Nunito Sans" w:hAnsi="Nunito Sans" w:cs="Calibri"/>
                    <w:color w:val="000000"/>
                    <w:sz w:val="18"/>
                    <w:szCs w:val="18"/>
                  </w:rPr>
                  <w:t>Licencia de cese temporal de operación</w:t>
                </w:r>
              </w:p>
            </w:tc>
            <w:tc>
              <w:tcPr>
                <w:tcW w:w="1701" w:type="dxa"/>
                <w:shd w:val="clear" w:color="auto" w:fill="FFFFFF" w:themeFill="background1"/>
                <w:vAlign w:val="center"/>
                <w:hideMark/>
              </w:tcPr>
              <w:p w:rsidRPr="003D3358" w:rsidR="005E3BD6" w:rsidP="00B4771C" w:rsidRDefault="005E3BD6" w14:paraId="25CB868E"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79D217DA" w14:textId="77777777">
            <w:trPr>
              <w:trHeight w:val="240"/>
            </w:trPr>
            <w:tc>
              <w:tcPr>
                <w:tcW w:w="420" w:type="dxa"/>
                <w:vAlign w:val="center"/>
                <w:hideMark/>
              </w:tcPr>
              <w:p w:rsidRPr="003D3358" w:rsidR="005E3BD6" w:rsidP="00B4771C" w:rsidRDefault="1F325162" w14:paraId="6E770D89" w14:textId="505EAD06">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64F3B74E">
                  <w:rPr>
                    <w:rFonts w:ascii="Nunito Sans" w:hAnsi="Nunito Sans" w:cs="Calibri"/>
                    <w:color w:val="000000" w:themeColor="text1"/>
                    <w:sz w:val="18"/>
                    <w:szCs w:val="18"/>
                  </w:rPr>
                  <w:t>2</w:t>
                </w:r>
              </w:p>
            </w:tc>
            <w:tc>
              <w:tcPr>
                <w:tcW w:w="993" w:type="dxa"/>
                <w:vAlign w:val="center"/>
                <w:hideMark/>
              </w:tcPr>
              <w:p w:rsidRPr="003D3358" w:rsidR="005E3BD6" w:rsidP="00B4771C" w:rsidRDefault="005E3BD6" w14:paraId="684F40BF"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4373C284" w14:textId="77777777">
                <w:pPr>
                  <w:rPr>
                    <w:rFonts w:ascii="Nunito Sans" w:hAnsi="Nunito Sans" w:cs="Calibri"/>
                    <w:color w:val="000000"/>
                    <w:sz w:val="18"/>
                    <w:szCs w:val="18"/>
                  </w:rPr>
                </w:pPr>
                <w:r w:rsidRPr="003D3358">
                  <w:rPr>
                    <w:rFonts w:ascii="Nunito Sans" w:hAnsi="Nunito Sans" w:cs="Calibri"/>
                    <w:color w:val="000000"/>
                    <w:sz w:val="18"/>
                    <w:szCs w:val="18"/>
                  </w:rPr>
                  <w:t>Licencia de clausura de instalación radiactiva</w:t>
                </w:r>
              </w:p>
            </w:tc>
            <w:tc>
              <w:tcPr>
                <w:tcW w:w="1701" w:type="dxa"/>
                <w:shd w:val="clear" w:color="auto" w:fill="FFFFFF" w:themeFill="background1"/>
                <w:vAlign w:val="center"/>
                <w:hideMark/>
              </w:tcPr>
              <w:p w:rsidRPr="003D3358" w:rsidR="005E3BD6" w:rsidP="00B4771C" w:rsidRDefault="005E3BD6" w14:paraId="4AFA27B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B2F07B4" w14:textId="77777777">
            <w:trPr>
              <w:trHeight w:val="240"/>
            </w:trPr>
            <w:tc>
              <w:tcPr>
                <w:tcW w:w="420" w:type="dxa"/>
                <w:vAlign w:val="center"/>
                <w:hideMark/>
              </w:tcPr>
              <w:p w:rsidRPr="003D3358" w:rsidR="005E3BD6" w:rsidP="00B4771C" w:rsidRDefault="1F325162" w14:paraId="0BEA02E1" w14:textId="43BF7B8E">
                <w:pPr>
                  <w:rPr>
                    <w:rFonts w:ascii="Nunito Sans" w:hAnsi="Nunito Sans" w:cs="Calibri"/>
                    <w:color w:val="000000"/>
                    <w:sz w:val="18"/>
                    <w:szCs w:val="18"/>
                  </w:rPr>
                </w:pPr>
                <w:r w:rsidRPr="4E60D266">
                  <w:rPr>
                    <w:rFonts w:ascii="Nunito Sans" w:hAnsi="Nunito Sans" w:cs="Calibri"/>
                    <w:color w:val="000000" w:themeColor="text1"/>
                    <w:sz w:val="18"/>
                    <w:szCs w:val="18"/>
                  </w:rPr>
                  <w:lastRenderedPageBreak/>
                  <w:t>7</w:t>
                </w:r>
                <w:r w:rsidRPr="4E60D266" w:rsidR="6560F581">
                  <w:rPr>
                    <w:rFonts w:ascii="Nunito Sans" w:hAnsi="Nunito Sans" w:cs="Calibri"/>
                    <w:color w:val="000000" w:themeColor="text1"/>
                    <w:sz w:val="18"/>
                    <w:szCs w:val="18"/>
                  </w:rPr>
                  <w:t>3</w:t>
                </w:r>
              </w:p>
            </w:tc>
            <w:tc>
              <w:tcPr>
                <w:tcW w:w="993" w:type="dxa"/>
                <w:vAlign w:val="center"/>
                <w:hideMark/>
              </w:tcPr>
              <w:p w:rsidRPr="003D3358" w:rsidR="005E3BD6" w:rsidP="00B4771C" w:rsidRDefault="005E3BD6" w14:paraId="2B7D2ECE"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7C797018" w14:textId="77777777">
                <w:pPr>
                  <w:rPr>
                    <w:rFonts w:ascii="Nunito Sans" w:hAnsi="Nunito Sans" w:cs="Calibri"/>
                    <w:color w:val="000000"/>
                    <w:sz w:val="18"/>
                    <w:szCs w:val="18"/>
                  </w:rPr>
                </w:pPr>
                <w:r w:rsidRPr="003D3358">
                  <w:rPr>
                    <w:rFonts w:ascii="Nunito Sans" w:hAnsi="Nunito Sans" w:cs="Calibri"/>
                    <w:color w:val="000000"/>
                    <w:sz w:val="18"/>
                    <w:szCs w:val="18"/>
                  </w:rPr>
                  <w:t>Licencia de importación de materiales radiactivos</w:t>
                </w:r>
              </w:p>
            </w:tc>
            <w:tc>
              <w:tcPr>
                <w:tcW w:w="1701" w:type="dxa"/>
                <w:shd w:val="clear" w:color="auto" w:fill="FFFFFF" w:themeFill="background1"/>
                <w:vAlign w:val="center"/>
                <w:hideMark/>
              </w:tcPr>
              <w:p w:rsidRPr="003D3358" w:rsidR="005E3BD6" w:rsidP="00B4771C" w:rsidRDefault="005E3BD6" w14:paraId="59CE5210"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F237CC8" w14:textId="77777777">
            <w:trPr>
              <w:trHeight w:val="240"/>
            </w:trPr>
            <w:tc>
              <w:tcPr>
                <w:tcW w:w="420" w:type="dxa"/>
                <w:vAlign w:val="center"/>
                <w:hideMark/>
              </w:tcPr>
              <w:p w:rsidRPr="003D3358" w:rsidR="005E3BD6" w:rsidP="00B4771C" w:rsidRDefault="1F325162" w14:paraId="364760B4" w14:textId="3C37185A">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2506D01E">
                  <w:rPr>
                    <w:rFonts w:ascii="Nunito Sans" w:hAnsi="Nunito Sans" w:cs="Calibri"/>
                    <w:color w:val="000000" w:themeColor="text1"/>
                    <w:sz w:val="18"/>
                    <w:szCs w:val="18"/>
                  </w:rPr>
                  <w:t>4</w:t>
                </w:r>
              </w:p>
            </w:tc>
            <w:tc>
              <w:tcPr>
                <w:tcW w:w="993" w:type="dxa"/>
                <w:vAlign w:val="center"/>
                <w:hideMark/>
              </w:tcPr>
              <w:p w:rsidRPr="003D3358" w:rsidR="005E3BD6" w:rsidP="00B4771C" w:rsidRDefault="005E3BD6" w14:paraId="6B55AAD6"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5087BE97" w14:textId="77777777">
                <w:pPr>
                  <w:rPr>
                    <w:rFonts w:ascii="Nunito Sans" w:hAnsi="Nunito Sans" w:cs="Calibri"/>
                    <w:color w:val="000000"/>
                    <w:sz w:val="18"/>
                    <w:szCs w:val="18"/>
                  </w:rPr>
                </w:pPr>
                <w:r w:rsidRPr="003D3358">
                  <w:rPr>
                    <w:rFonts w:ascii="Nunito Sans" w:hAnsi="Nunito Sans" w:cs="Calibri"/>
                    <w:color w:val="000000"/>
                    <w:sz w:val="18"/>
                    <w:szCs w:val="18"/>
                  </w:rPr>
                  <w:t>Licencia de operación de instalación radiactiva</w:t>
                </w:r>
              </w:p>
            </w:tc>
            <w:tc>
              <w:tcPr>
                <w:tcW w:w="1701" w:type="dxa"/>
                <w:shd w:val="clear" w:color="auto" w:fill="FFFFFF" w:themeFill="background1"/>
                <w:vAlign w:val="center"/>
                <w:hideMark/>
              </w:tcPr>
              <w:p w:rsidRPr="003D3358" w:rsidR="005E3BD6" w:rsidP="00B4771C" w:rsidRDefault="005E3BD6" w14:paraId="02A7819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74B669BA" w14:textId="77777777">
            <w:trPr>
              <w:trHeight w:val="345"/>
            </w:trPr>
            <w:tc>
              <w:tcPr>
                <w:tcW w:w="420" w:type="dxa"/>
                <w:vAlign w:val="center"/>
                <w:hideMark/>
              </w:tcPr>
              <w:p w:rsidRPr="003D3358" w:rsidR="005E3BD6" w:rsidP="00B4771C" w:rsidRDefault="1F325162" w14:paraId="3F76F953" w14:textId="0FA91E37">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2E6396D6">
                  <w:rPr>
                    <w:rFonts w:ascii="Nunito Sans" w:hAnsi="Nunito Sans" w:cs="Calibri"/>
                    <w:color w:val="000000" w:themeColor="text1"/>
                    <w:sz w:val="18"/>
                    <w:szCs w:val="18"/>
                  </w:rPr>
                  <w:t>5</w:t>
                </w:r>
              </w:p>
            </w:tc>
            <w:tc>
              <w:tcPr>
                <w:tcW w:w="993" w:type="dxa"/>
                <w:vAlign w:val="center"/>
                <w:hideMark/>
              </w:tcPr>
              <w:p w:rsidRPr="003D3358" w:rsidR="005E3BD6" w:rsidP="00B4771C" w:rsidRDefault="005E3BD6" w14:paraId="5247A883"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22188EBF" w14:textId="77777777">
                <w:pPr>
                  <w:spacing w:after="240"/>
                  <w:rPr>
                    <w:rFonts w:ascii="Nunito Sans" w:hAnsi="Nunito Sans" w:cs="Calibri"/>
                    <w:color w:val="000000"/>
                    <w:sz w:val="18"/>
                    <w:szCs w:val="18"/>
                  </w:rPr>
                </w:pPr>
                <w:r w:rsidRPr="003D3358">
                  <w:rPr>
                    <w:rFonts w:ascii="Nunito Sans" w:hAnsi="Nunito Sans" w:cs="Calibri"/>
                    <w:color w:val="000000"/>
                    <w:sz w:val="18"/>
                    <w:szCs w:val="18"/>
                  </w:rPr>
                  <w:t>Licencia de reexportación de material radiactivo</w:t>
                </w:r>
              </w:p>
            </w:tc>
            <w:tc>
              <w:tcPr>
                <w:tcW w:w="1701" w:type="dxa"/>
                <w:shd w:val="clear" w:color="auto" w:fill="FFFFFF" w:themeFill="background1"/>
                <w:vAlign w:val="center"/>
                <w:hideMark/>
              </w:tcPr>
              <w:p w:rsidRPr="003D3358" w:rsidR="005E3BD6" w:rsidP="00B4771C" w:rsidRDefault="005E3BD6" w14:paraId="2328F11B"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50D3705" w14:textId="77777777">
            <w:trPr>
              <w:trHeight w:val="720"/>
            </w:trPr>
            <w:tc>
              <w:tcPr>
                <w:tcW w:w="420" w:type="dxa"/>
                <w:vAlign w:val="center"/>
                <w:hideMark/>
              </w:tcPr>
              <w:p w:rsidRPr="003D3358" w:rsidR="005E3BD6" w:rsidP="00B4771C" w:rsidRDefault="1F325162" w14:paraId="15030B5F" w14:textId="17F30E09">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285B07F8">
                  <w:rPr>
                    <w:rFonts w:ascii="Nunito Sans" w:hAnsi="Nunito Sans" w:cs="Calibri"/>
                    <w:color w:val="000000" w:themeColor="text1"/>
                    <w:sz w:val="18"/>
                    <w:szCs w:val="18"/>
                  </w:rPr>
                  <w:t>6</w:t>
                </w:r>
              </w:p>
            </w:tc>
            <w:tc>
              <w:tcPr>
                <w:tcW w:w="993" w:type="dxa"/>
                <w:vAlign w:val="center"/>
                <w:hideMark/>
              </w:tcPr>
              <w:p w:rsidRPr="003D3358" w:rsidR="005E3BD6" w:rsidP="00B4771C" w:rsidRDefault="005E3BD6" w14:paraId="30D7E64C"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65AAC095" w14:textId="77777777">
                <w:pPr>
                  <w:rPr>
                    <w:rFonts w:ascii="Nunito Sans" w:hAnsi="Nunito Sans" w:cs="Calibri"/>
                    <w:color w:val="000000"/>
                    <w:sz w:val="18"/>
                    <w:szCs w:val="18"/>
                  </w:rPr>
                </w:pPr>
                <w:r w:rsidRPr="003D3358">
                  <w:rPr>
                    <w:rFonts w:ascii="Nunito Sans" w:hAnsi="Nunito Sans" w:cs="Calibri"/>
                    <w:color w:val="000000"/>
                    <w:sz w:val="18"/>
                    <w:szCs w:val="18"/>
                  </w:rPr>
                  <w:t>Autorización para la movilización y/o exhibición de bienes de interés geológico y paleontológico dentro del territorio nacional</w:t>
                </w:r>
              </w:p>
            </w:tc>
            <w:tc>
              <w:tcPr>
                <w:tcW w:w="1701" w:type="dxa"/>
                <w:shd w:val="clear" w:color="auto" w:fill="FFFFFF" w:themeFill="background1"/>
                <w:vAlign w:val="center"/>
                <w:hideMark/>
              </w:tcPr>
              <w:p w:rsidRPr="003D3358" w:rsidR="005E3BD6" w:rsidP="00B4771C" w:rsidRDefault="005E3BD6" w14:paraId="62AAFF33"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2E73CC5" w14:textId="77777777">
            <w:trPr>
              <w:trHeight w:val="480"/>
            </w:trPr>
            <w:tc>
              <w:tcPr>
                <w:tcW w:w="420" w:type="dxa"/>
                <w:vAlign w:val="center"/>
                <w:hideMark/>
              </w:tcPr>
              <w:p w:rsidRPr="003D3358" w:rsidR="005E3BD6" w:rsidP="00B4771C" w:rsidRDefault="1F325162" w14:paraId="77049F71" w14:textId="63E43996">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06B8AD5F">
                  <w:rPr>
                    <w:rFonts w:ascii="Nunito Sans" w:hAnsi="Nunito Sans" w:cs="Calibri"/>
                    <w:color w:val="000000" w:themeColor="text1"/>
                    <w:sz w:val="18"/>
                    <w:szCs w:val="18"/>
                  </w:rPr>
                  <w:t>6</w:t>
                </w:r>
              </w:p>
            </w:tc>
            <w:tc>
              <w:tcPr>
                <w:tcW w:w="993" w:type="dxa"/>
                <w:vAlign w:val="center"/>
                <w:hideMark/>
              </w:tcPr>
              <w:p w:rsidRPr="003D3358" w:rsidR="005E3BD6" w:rsidP="00B4771C" w:rsidRDefault="005E3BD6" w14:paraId="0765B015"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6320DD2F" w14:textId="77777777">
                <w:pPr>
                  <w:rPr>
                    <w:rFonts w:ascii="Nunito Sans" w:hAnsi="Nunito Sans" w:cs="Calibri"/>
                    <w:color w:val="000000"/>
                    <w:sz w:val="18"/>
                    <w:szCs w:val="18"/>
                  </w:rPr>
                </w:pPr>
                <w:r w:rsidRPr="003D3358">
                  <w:rPr>
                    <w:rFonts w:ascii="Nunito Sans" w:hAnsi="Nunito Sans" w:cs="Calibri"/>
                    <w:color w:val="000000"/>
                    <w:sz w:val="18"/>
                    <w:szCs w:val="18"/>
                  </w:rPr>
                  <w:t xml:space="preserve">Autorización para la tenencia temporal de bienes de interés geológico y paleontológico </w:t>
                </w:r>
              </w:p>
            </w:tc>
            <w:tc>
              <w:tcPr>
                <w:tcW w:w="1701" w:type="dxa"/>
                <w:shd w:val="clear" w:color="auto" w:fill="FFFFFF" w:themeFill="background1"/>
                <w:vAlign w:val="center"/>
                <w:hideMark/>
              </w:tcPr>
              <w:p w:rsidRPr="003D3358" w:rsidR="005E3BD6" w:rsidP="00B4771C" w:rsidRDefault="005E3BD6" w14:paraId="7ED23FD1"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539E089" w14:textId="77777777">
            <w:trPr>
              <w:trHeight w:val="293"/>
            </w:trPr>
            <w:tc>
              <w:tcPr>
                <w:tcW w:w="420" w:type="dxa"/>
                <w:vAlign w:val="center"/>
                <w:hideMark/>
              </w:tcPr>
              <w:p w:rsidRPr="003D3358" w:rsidR="005E3BD6" w:rsidP="00B4771C" w:rsidRDefault="1F325162" w14:paraId="5C13378B" w14:textId="051996A0">
                <w:pPr>
                  <w:rPr>
                    <w:rFonts w:ascii="Nunito Sans" w:hAnsi="Nunito Sans" w:cs="Calibri"/>
                    <w:color w:val="000000"/>
                    <w:sz w:val="18"/>
                    <w:szCs w:val="18"/>
                  </w:rPr>
                </w:pPr>
                <w:r w:rsidRPr="4E60D266">
                  <w:rPr>
                    <w:rFonts w:ascii="Nunito Sans" w:hAnsi="Nunito Sans" w:cs="Calibri"/>
                    <w:color w:val="000000" w:themeColor="text1"/>
                    <w:sz w:val="18"/>
                    <w:szCs w:val="18"/>
                  </w:rPr>
                  <w:t>7</w:t>
                </w:r>
                <w:r w:rsidRPr="4E60D266" w:rsidR="60A759B9">
                  <w:rPr>
                    <w:rFonts w:ascii="Nunito Sans" w:hAnsi="Nunito Sans" w:cs="Calibri"/>
                    <w:color w:val="000000" w:themeColor="text1"/>
                    <w:sz w:val="18"/>
                    <w:szCs w:val="18"/>
                  </w:rPr>
                  <w:t>8</w:t>
                </w:r>
              </w:p>
            </w:tc>
            <w:tc>
              <w:tcPr>
                <w:tcW w:w="993" w:type="dxa"/>
                <w:vAlign w:val="center"/>
                <w:hideMark/>
              </w:tcPr>
              <w:p w:rsidRPr="003D3358" w:rsidR="005E3BD6" w:rsidP="00B4771C" w:rsidRDefault="005E3BD6" w14:paraId="6846B180"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7B146BD0" w14:textId="77777777">
                <w:pPr>
                  <w:rPr>
                    <w:rFonts w:ascii="Nunito Sans" w:hAnsi="Nunito Sans" w:cs="Calibri"/>
                    <w:color w:val="000000"/>
                    <w:sz w:val="18"/>
                    <w:szCs w:val="18"/>
                  </w:rPr>
                </w:pPr>
                <w:r w:rsidRPr="003D3358">
                  <w:rPr>
                    <w:rFonts w:ascii="Nunito Sans" w:hAnsi="Nunito Sans" w:cs="Calibri"/>
                    <w:color w:val="000000"/>
                    <w:sz w:val="18"/>
                    <w:szCs w:val="18"/>
                  </w:rPr>
                  <w:t>Registro en el Inventario Nacional Geológico y Paleontológico</w:t>
                </w:r>
              </w:p>
            </w:tc>
            <w:tc>
              <w:tcPr>
                <w:tcW w:w="1701" w:type="dxa"/>
                <w:shd w:val="clear" w:color="auto" w:fill="FFFFFF" w:themeFill="background1"/>
                <w:vAlign w:val="center"/>
                <w:hideMark/>
              </w:tcPr>
              <w:p w:rsidRPr="003D3358" w:rsidR="005E3BD6" w:rsidP="00B4771C" w:rsidRDefault="005E3BD6" w14:paraId="5979157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A9C3149" w14:textId="77777777">
            <w:trPr>
              <w:trHeight w:val="720"/>
            </w:trPr>
            <w:tc>
              <w:tcPr>
                <w:tcW w:w="420" w:type="dxa"/>
                <w:vAlign w:val="center"/>
                <w:hideMark/>
              </w:tcPr>
              <w:p w:rsidRPr="003D3358" w:rsidR="005E3BD6" w:rsidP="00B4771C" w:rsidRDefault="7231E642" w14:paraId="68679ADE" w14:textId="54F4EA20">
                <w:pPr>
                  <w:rPr>
                    <w:rFonts w:ascii="Nunito Sans" w:hAnsi="Nunito Sans" w:cs="Calibri"/>
                    <w:color w:val="000000"/>
                    <w:sz w:val="18"/>
                    <w:szCs w:val="18"/>
                  </w:rPr>
                </w:pPr>
                <w:r w:rsidRPr="4E60D266">
                  <w:rPr>
                    <w:rFonts w:ascii="Nunito Sans" w:hAnsi="Nunito Sans" w:cs="Calibri"/>
                    <w:color w:val="000000" w:themeColor="text1"/>
                    <w:sz w:val="18"/>
                    <w:szCs w:val="18"/>
                  </w:rPr>
                  <w:t>79</w:t>
                </w:r>
              </w:p>
            </w:tc>
            <w:tc>
              <w:tcPr>
                <w:tcW w:w="993" w:type="dxa"/>
                <w:vAlign w:val="center"/>
                <w:hideMark/>
              </w:tcPr>
              <w:p w:rsidRPr="003D3358" w:rsidR="005E3BD6" w:rsidP="00B4771C" w:rsidRDefault="005E3BD6" w14:paraId="69AD3234"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346BE2E3" w14:textId="77777777">
                <w:pPr>
                  <w:rPr>
                    <w:rFonts w:ascii="Nunito Sans" w:hAnsi="Nunito Sans" w:cs="Calibri"/>
                    <w:color w:val="000000"/>
                    <w:sz w:val="18"/>
                    <w:szCs w:val="18"/>
                  </w:rPr>
                </w:pPr>
                <w:r w:rsidRPr="003D3358">
                  <w:rPr>
                    <w:rFonts w:ascii="Nunito Sans" w:hAnsi="Nunito Sans" w:cs="Calibri"/>
                    <w:color w:val="000000"/>
                    <w:sz w:val="18"/>
                    <w:szCs w:val="18"/>
                  </w:rPr>
                  <w:t>Autorización para la exportación temporal de bienes de interés geológico y paleontológico para estudio y/o exhibición fuera del país</w:t>
                </w:r>
              </w:p>
            </w:tc>
            <w:tc>
              <w:tcPr>
                <w:tcW w:w="1701" w:type="dxa"/>
                <w:shd w:val="clear" w:color="auto" w:fill="FFFFFF" w:themeFill="background1"/>
                <w:vAlign w:val="center"/>
                <w:hideMark/>
              </w:tcPr>
              <w:p w:rsidRPr="003D3358" w:rsidR="005E3BD6" w:rsidP="00B4771C" w:rsidRDefault="005E3BD6" w14:paraId="29EBEAD2"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B8C9A73" w14:textId="77777777">
            <w:trPr>
              <w:trHeight w:val="480"/>
            </w:trPr>
            <w:tc>
              <w:tcPr>
                <w:tcW w:w="420" w:type="dxa"/>
                <w:vAlign w:val="center"/>
                <w:hideMark/>
              </w:tcPr>
              <w:p w:rsidRPr="003D3358" w:rsidR="005E3BD6" w:rsidP="00B4771C" w:rsidRDefault="1F325162" w14:paraId="351BA3CC" w14:textId="4AAFF768">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1EFD8E00">
                  <w:rPr>
                    <w:rFonts w:ascii="Nunito Sans" w:hAnsi="Nunito Sans" w:cs="Calibri"/>
                    <w:color w:val="000000" w:themeColor="text1"/>
                    <w:sz w:val="18"/>
                    <w:szCs w:val="18"/>
                  </w:rPr>
                  <w:t>0</w:t>
                </w:r>
              </w:p>
            </w:tc>
            <w:tc>
              <w:tcPr>
                <w:tcW w:w="993" w:type="dxa"/>
                <w:vAlign w:val="center"/>
                <w:hideMark/>
              </w:tcPr>
              <w:p w:rsidRPr="003D3358" w:rsidR="005E3BD6" w:rsidP="00B4771C" w:rsidRDefault="005E3BD6" w14:paraId="0067A0A1" w14:textId="77777777">
                <w:pPr>
                  <w:rPr>
                    <w:rFonts w:ascii="Nunito Sans" w:hAnsi="Nunito Sans" w:cs="Calibri"/>
                    <w:color w:val="000000"/>
                    <w:sz w:val="18"/>
                    <w:szCs w:val="18"/>
                  </w:rPr>
                </w:pPr>
                <w:r w:rsidRPr="003D3358">
                  <w:rPr>
                    <w:rFonts w:ascii="Nunito Sans" w:hAnsi="Nunito Sans" w:cs="Calibri"/>
                    <w:color w:val="000000"/>
                    <w:sz w:val="18"/>
                    <w:szCs w:val="18"/>
                  </w:rPr>
                  <w:t>SGC</w:t>
                </w:r>
              </w:p>
            </w:tc>
            <w:tc>
              <w:tcPr>
                <w:tcW w:w="6237" w:type="dxa"/>
                <w:vAlign w:val="center"/>
                <w:hideMark/>
              </w:tcPr>
              <w:p w:rsidRPr="003D3358" w:rsidR="005E3BD6" w:rsidP="00B4771C" w:rsidRDefault="005E3BD6" w14:paraId="2289F9F6" w14:textId="77777777">
                <w:pPr>
                  <w:rPr>
                    <w:rFonts w:ascii="Nunito Sans" w:hAnsi="Nunito Sans" w:cs="Calibri"/>
                    <w:color w:val="000000"/>
                    <w:sz w:val="18"/>
                    <w:szCs w:val="18"/>
                  </w:rPr>
                </w:pPr>
                <w:r w:rsidRPr="003D3358">
                  <w:rPr>
                    <w:rFonts w:ascii="Nunito Sans" w:hAnsi="Nunito Sans" w:cs="Calibri"/>
                    <w:color w:val="000000"/>
                    <w:sz w:val="18"/>
                    <w:szCs w:val="18"/>
                  </w:rPr>
                  <w:t>Autorización para el desarrollo de actividades de excavación e intervención de carácter paleontológico</w:t>
                </w:r>
              </w:p>
            </w:tc>
            <w:tc>
              <w:tcPr>
                <w:tcW w:w="1701" w:type="dxa"/>
                <w:shd w:val="clear" w:color="auto" w:fill="FFFFFF" w:themeFill="background1"/>
                <w:vAlign w:val="center"/>
                <w:hideMark/>
              </w:tcPr>
              <w:p w:rsidRPr="003D3358" w:rsidR="005E3BD6" w:rsidP="00B4771C" w:rsidRDefault="005E3BD6" w14:paraId="2247120F"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7BE90B71" w14:textId="77777777">
            <w:trPr>
              <w:trHeight w:val="480"/>
            </w:trPr>
            <w:tc>
              <w:tcPr>
                <w:tcW w:w="420" w:type="dxa"/>
                <w:vAlign w:val="center"/>
                <w:hideMark/>
              </w:tcPr>
              <w:p w:rsidRPr="003D3358" w:rsidR="005E3BD6" w:rsidP="00B4771C" w:rsidRDefault="1F325162" w14:paraId="7C0DEED0" w14:textId="4D0482B1">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64E3C28F">
                  <w:rPr>
                    <w:rFonts w:ascii="Nunito Sans" w:hAnsi="Nunito Sans" w:cs="Calibri"/>
                    <w:color w:val="000000" w:themeColor="text1"/>
                    <w:sz w:val="18"/>
                    <w:szCs w:val="18"/>
                  </w:rPr>
                  <w:t>1</w:t>
                </w:r>
              </w:p>
            </w:tc>
            <w:tc>
              <w:tcPr>
                <w:tcW w:w="993" w:type="dxa"/>
                <w:vAlign w:val="center"/>
                <w:hideMark/>
              </w:tcPr>
              <w:p w:rsidRPr="003D3358" w:rsidR="005E3BD6" w:rsidP="00B4771C" w:rsidRDefault="005E3BD6" w14:paraId="3D8F94E1" w14:textId="77777777">
                <w:pPr>
                  <w:rPr>
                    <w:rFonts w:ascii="Nunito Sans" w:hAnsi="Nunito Sans" w:cs="Calibri"/>
                    <w:color w:val="000000"/>
                    <w:sz w:val="18"/>
                    <w:szCs w:val="18"/>
                  </w:rPr>
                </w:pPr>
                <w:r w:rsidRPr="003D3358">
                  <w:rPr>
                    <w:rFonts w:ascii="Nunito Sans" w:hAnsi="Nunito Sans" w:cs="Calibri"/>
                    <w:color w:val="000000"/>
                    <w:sz w:val="18"/>
                    <w:szCs w:val="18"/>
                  </w:rPr>
                  <w:t>ANH</w:t>
                </w:r>
              </w:p>
            </w:tc>
            <w:tc>
              <w:tcPr>
                <w:tcW w:w="6237" w:type="dxa"/>
                <w:vAlign w:val="center"/>
                <w:hideMark/>
              </w:tcPr>
              <w:p w:rsidRPr="003D3358" w:rsidR="005E3BD6" w:rsidP="00B4771C" w:rsidRDefault="005E3BD6" w14:paraId="484F4432" w14:textId="77777777">
                <w:pPr>
                  <w:rPr>
                    <w:rFonts w:ascii="Nunito Sans" w:hAnsi="Nunito Sans" w:cs="Calibri"/>
                    <w:color w:val="000000"/>
                    <w:sz w:val="18"/>
                    <w:szCs w:val="18"/>
                  </w:rPr>
                </w:pPr>
                <w:r w:rsidRPr="003D3358">
                  <w:rPr>
                    <w:rFonts w:ascii="Nunito Sans" w:hAnsi="Nunito Sans" w:cs="Calibri"/>
                    <w:color w:val="000000"/>
                    <w:sz w:val="18"/>
                    <w:szCs w:val="18"/>
                  </w:rPr>
                  <w:t>Fijar los precios de exportación del petróleo para efectos fiscales y cambiarios</w:t>
                </w:r>
              </w:p>
            </w:tc>
            <w:tc>
              <w:tcPr>
                <w:tcW w:w="1701" w:type="dxa"/>
                <w:shd w:val="clear" w:color="auto" w:fill="FFFFFF" w:themeFill="background1"/>
                <w:vAlign w:val="center"/>
                <w:hideMark/>
              </w:tcPr>
              <w:p w:rsidRPr="003D3358" w:rsidR="005E3BD6" w:rsidP="00B4771C" w:rsidRDefault="005E3BD6" w14:paraId="23F7FE71"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3BABE821" w14:textId="77777777">
            <w:trPr>
              <w:trHeight w:val="211"/>
            </w:trPr>
            <w:tc>
              <w:tcPr>
                <w:tcW w:w="420" w:type="dxa"/>
                <w:vAlign w:val="center"/>
                <w:hideMark/>
              </w:tcPr>
              <w:p w:rsidRPr="003D3358" w:rsidR="005E3BD6" w:rsidP="00B4771C" w:rsidRDefault="1F325162" w14:paraId="3668D873" w14:textId="627D7220">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06B25754">
                  <w:rPr>
                    <w:rFonts w:ascii="Nunito Sans" w:hAnsi="Nunito Sans" w:cs="Calibri"/>
                    <w:color w:val="000000" w:themeColor="text1"/>
                    <w:sz w:val="18"/>
                    <w:szCs w:val="18"/>
                  </w:rPr>
                  <w:t>2</w:t>
                </w:r>
              </w:p>
            </w:tc>
            <w:tc>
              <w:tcPr>
                <w:tcW w:w="993" w:type="dxa"/>
                <w:vAlign w:val="center"/>
                <w:hideMark/>
              </w:tcPr>
              <w:p w:rsidRPr="003D3358" w:rsidR="005E3BD6" w:rsidP="00B4771C" w:rsidRDefault="005E3BD6" w14:paraId="6F448AEB" w14:textId="77777777">
                <w:pPr>
                  <w:rPr>
                    <w:rFonts w:ascii="Nunito Sans" w:hAnsi="Nunito Sans" w:cs="Calibri"/>
                    <w:color w:val="000000"/>
                    <w:sz w:val="18"/>
                    <w:szCs w:val="18"/>
                  </w:rPr>
                </w:pPr>
                <w:r w:rsidRPr="003D3358">
                  <w:rPr>
                    <w:rFonts w:ascii="Nunito Sans" w:hAnsi="Nunito Sans" w:cs="Calibri"/>
                    <w:color w:val="000000"/>
                    <w:sz w:val="18"/>
                    <w:szCs w:val="18"/>
                  </w:rPr>
                  <w:t>UPME</w:t>
                </w:r>
              </w:p>
            </w:tc>
            <w:tc>
              <w:tcPr>
                <w:tcW w:w="6237" w:type="dxa"/>
                <w:vAlign w:val="center"/>
                <w:hideMark/>
              </w:tcPr>
              <w:p w:rsidRPr="003D3358" w:rsidR="005E3BD6" w:rsidP="00B4771C" w:rsidRDefault="005E3BD6" w14:paraId="33923CBA" w14:textId="77777777">
                <w:pPr>
                  <w:rPr>
                    <w:rFonts w:ascii="Nunito Sans" w:hAnsi="Nunito Sans" w:cs="Calibri"/>
                    <w:color w:val="000000"/>
                    <w:sz w:val="18"/>
                    <w:szCs w:val="18"/>
                  </w:rPr>
                </w:pPr>
                <w:r w:rsidRPr="003D3358">
                  <w:rPr>
                    <w:rFonts w:ascii="Nunito Sans" w:hAnsi="Nunito Sans" w:cs="Calibri"/>
                    <w:color w:val="000000"/>
                    <w:sz w:val="18"/>
                    <w:szCs w:val="18"/>
                  </w:rPr>
                  <w:t>Incentivos tributarios para proyectos a partir de hidrógeno verde o azul</w:t>
                </w:r>
              </w:p>
            </w:tc>
            <w:tc>
              <w:tcPr>
                <w:tcW w:w="1701" w:type="dxa"/>
                <w:shd w:val="clear" w:color="auto" w:fill="FFFFFF" w:themeFill="background1"/>
                <w:vAlign w:val="center"/>
                <w:hideMark/>
              </w:tcPr>
              <w:p w:rsidRPr="003D3358" w:rsidR="005E3BD6" w:rsidP="00B4771C" w:rsidRDefault="005E3BD6" w14:paraId="0C30800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6AF3453" w14:textId="77777777">
            <w:trPr>
              <w:trHeight w:val="240"/>
            </w:trPr>
            <w:tc>
              <w:tcPr>
                <w:tcW w:w="420" w:type="dxa"/>
                <w:vAlign w:val="center"/>
                <w:hideMark/>
              </w:tcPr>
              <w:p w:rsidRPr="003D3358" w:rsidR="005E3BD6" w:rsidP="00B4771C" w:rsidRDefault="1F325162" w14:paraId="4CF50930" w14:textId="00014148">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3523C8B7">
                  <w:rPr>
                    <w:rFonts w:ascii="Nunito Sans" w:hAnsi="Nunito Sans" w:cs="Calibri"/>
                    <w:color w:val="000000" w:themeColor="text1"/>
                    <w:sz w:val="18"/>
                    <w:szCs w:val="18"/>
                  </w:rPr>
                  <w:t>3</w:t>
                </w:r>
              </w:p>
            </w:tc>
            <w:tc>
              <w:tcPr>
                <w:tcW w:w="993" w:type="dxa"/>
                <w:vAlign w:val="center"/>
                <w:hideMark/>
              </w:tcPr>
              <w:p w:rsidRPr="003D3358" w:rsidR="005E3BD6" w:rsidP="00B4771C" w:rsidRDefault="005E3BD6" w14:paraId="6F6E500D" w14:textId="77777777">
                <w:pPr>
                  <w:rPr>
                    <w:rFonts w:ascii="Nunito Sans" w:hAnsi="Nunito Sans" w:cs="Calibri"/>
                    <w:color w:val="000000"/>
                    <w:sz w:val="18"/>
                    <w:szCs w:val="18"/>
                  </w:rPr>
                </w:pPr>
                <w:r w:rsidRPr="003D3358">
                  <w:rPr>
                    <w:rFonts w:ascii="Nunito Sans" w:hAnsi="Nunito Sans" w:cs="Calibri"/>
                    <w:color w:val="000000"/>
                    <w:sz w:val="18"/>
                    <w:szCs w:val="18"/>
                  </w:rPr>
                  <w:t>UPME</w:t>
                </w:r>
              </w:p>
            </w:tc>
            <w:tc>
              <w:tcPr>
                <w:tcW w:w="6237" w:type="dxa"/>
                <w:vAlign w:val="center"/>
                <w:hideMark/>
              </w:tcPr>
              <w:p w:rsidRPr="003D3358" w:rsidR="005E3BD6" w:rsidP="00B4771C" w:rsidRDefault="005E3BD6" w14:paraId="7601E5DA" w14:textId="75C6CE18">
                <w:pPr>
                  <w:rPr>
                    <w:rFonts w:ascii="Nunito Sans" w:hAnsi="Nunito Sans" w:cs="Calibri"/>
                    <w:color w:val="000000"/>
                    <w:sz w:val="18"/>
                    <w:szCs w:val="18"/>
                  </w:rPr>
                </w:pPr>
                <w:r w:rsidRPr="003D3358">
                  <w:rPr>
                    <w:rFonts w:ascii="Nunito Sans" w:hAnsi="Nunito Sans" w:cs="Calibri"/>
                    <w:color w:val="000000"/>
                    <w:sz w:val="18"/>
                    <w:szCs w:val="18"/>
                  </w:rPr>
                  <w:t xml:space="preserve">Cupos de </w:t>
                </w:r>
                <w:r w:rsidRPr="003D3358" w:rsidR="00775795">
                  <w:rPr>
                    <w:rFonts w:ascii="Nunito Sans" w:hAnsi="Nunito Sans" w:cs="Calibri"/>
                    <w:color w:val="000000"/>
                    <w:sz w:val="18"/>
                    <w:szCs w:val="18"/>
                  </w:rPr>
                  <w:t>diésel</w:t>
                </w:r>
                <w:r w:rsidRPr="003D3358">
                  <w:rPr>
                    <w:rFonts w:ascii="Nunito Sans" w:hAnsi="Nunito Sans" w:cs="Calibri"/>
                    <w:color w:val="000000"/>
                    <w:sz w:val="18"/>
                    <w:szCs w:val="18"/>
                  </w:rPr>
                  <w:t xml:space="preserve"> exentos de sobretasa</w:t>
                </w:r>
              </w:p>
            </w:tc>
            <w:tc>
              <w:tcPr>
                <w:tcW w:w="1701" w:type="dxa"/>
                <w:shd w:val="clear" w:color="auto" w:fill="FFFFFF" w:themeFill="background1"/>
                <w:vAlign w:val="center"/>
                <w:hideMark/>
              </w:tcPr>
              <w:p w:rsidRPr="003D3358" w:rsidR="005E3BD6" w:rsidP="00B4771C" w:rsidRDefault="005E3BD6" w14:paraId="41DBC206"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23A7ABF" w14:textId="77777777">
            <w:trPr>
              <w:trHeight w:val="240"/>
            </w:trPr>
            <w:tc>
              <w:tcPr>
                <w:tcW w:w="420" w:type="dxa"/>
                <w:vAlign w:val="center"/>
                <w:hideMark/>
              </w:tcPr>
              <w:p w:rsidRPr="003D3358" w:rsidR="005E3BD6" w:rsidP="00B4771C" w:rsidRDefault="1F325162" w14:paraId="2A772D52" w14:textId="309575B7">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7222046D">
                  <w:rPr>
                    <w:rFonts w:ascii="Nunito Sans" w:hAnsi="Nunito Sans" w:cs="Calibri"/>
                    <w:color w:val="000000" w:themeColor="text1"/>
                    <w:sz w:val="18"/>
                    <w:szCs w:val="18"/>
                  </w:rPr>
                  <w:t>4</w:t>
                </w:r>
              </w:p>
            </w:tc>
            <w:tc>
              <w:tcPr>
                <w:tcW w:w="993" w:type="dxa"/>
                <w:vAlign w:val="center"/>
                <w:hideMark/>
              </w:tcPr>
              <w:p w:rsidRPr="003D3358" w:rsidR="005E3BD6" w:rsidP="00B4771C" w:rsidRDefault="005E3BD6" w14:paraId="39125C1C" w14:textId="77777777">
                <w:pPr>
                  <w:rPr>
                    <w:rFonts w:ascii="Nunito Sans" w:hAnsi="Nunito Sans" w:cs="Calibri"/>
                    <w:color w:val="000000"/>
                    <w:sz w:val="18"/>
                    <w:szCs w:val="18"/>
                  </w:rPr>
                </w:pPr>
                <w:r w:rsidRPr="003D3358">
                  <w:rPr>
                    <w:rFonts w:ascii="Nunito Sans" w:hAnsi="Nunito Sans" w:cs="Calibri"/>
                    <w:color w:val="000000"/>
                    <w:sz w:val="18"/>
                    <w:szCs w:val="18"/>
                  </w:rPr>
                  <w:t>UPME</w:t>
                </w:r>
              </w:p>
            </w:tc>
            <w:tc>
              <w:tcPr>
                <w:tcW w:w="6237" w:type="dxa"/>
                <w:vAlign w:val="center"/>
                <w:hideMark/>
              </w:tcPr>
              <w:p w:rsidRPr="003D3358" w:rsidR="005E3BD6" w:rsidP="00B4771C" w:rsidRDefault="005E3BD6" w14:paraId="1064764A" w14:textId="77777777">
                <w:pPr>
                  <w:rPr>
                    <w:rFonts w:ascii="Nunito Sans" w:hAnsi="Nunito Sans" w:cs="Calibri"/>
                    <w:color w:val="000000"/>
                    <w:sz w:val="18"/>
                    <w:szCs w:val="18"/>
                  </w:rPr>
                </w:pPr>
                <w:r w:rsidRPr="003D3358">
                  <w:rPr>
                    <w:rFonts w:ascii="Nunito Sans" w:hAnsi="Nunito Sans" w:cs="Calibri"/>
                    <w:color w:val="000000"/>
                    <w:sz w:val="18"/>
                    <w:szCs w:val="18"/>
                  </w:rPr>
                  <w:t>Incentivos tributarios por Gestión Eficiente de Energía (GEE)</w:t>
                </w:r>
              </w:p>
            </w:tc>
            <w:tc>
              <w:tcPr>
                <w:tcW w:w="1701" w:type="dxa"/>
                <w:shd w:val="clear" w:color="auto" w:fill="FFFFFF" w:themeFill="background1"/>
                <w:vAlign w:val="center"/>
                <w:hideMark/>
              </w:tcPr>
              <w:p w:rsidRPr="003D3358" w:rsidR="005E3BD6" w:rsidP="00B4771C" w:rsidRDefault="005E3BD6" w14:paraId="791ABFB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00D06809" w14:paraId="7E901828" w14:textId="77777777">
            <w:trPr>
              <w:trHeight w:val="718"/>
            </w:trPr>
            <w:tc>
              <w:tcPr>
                <w:tcW w:w="420" w:type="dxa"/>
                <w:vAlign w:val="center"/>
                <w:hideMark/>
              </w:tcPr>
              <w:p w:rsidRPr="003D3358" w:rsidR="005E3BD6" w:rsidP="00B4771C" w:rsidRDefault="1F325162" w14:paraId="6883B725" w14:textId="68CC9223">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3FF442EF">
                  <w:rPr>
                    <w:rFonts w:ascii="Nunito Sans" w:hAnsi="Nunito Sans" w:cs="Calibri"/>
                    <w:color w:val="000000" w:themeColor="text1"/>
                    <w:sz w:val="18"/>
                    <w:szCs w:val="18"/>
                  </w:rPr>
                  <w:t>5</w:t>
                </w:r>
              </w:p>
            </w:tc>
            <w:tc>
              <w:tcPr>
                <w:tcW w:w="993" w:type="dxa"/>
                <w:vAlign w:val="center"/>
                <w:hideMark/>
              </w:tcPr>
              <w:p w:rsidRPr="003D3358" w:rsidR="005E3BD6" w:rsidP="00B4771C" w:rsidRDefault="005E3BD6" w14:paraId="2015E467" w14:textId="77777777">
                <w:pPr>
                  <w:rPr>
                    <w:rFonts w:ascii="Nunito Sans" w:hAnsi="Nunito Sans" w:cs="Calibri"/>
                    <w:color w:val="000000"/>
                    <w:sz w:val="18"/>
                    <w:szCs w:val="18"/>
                  </w:rPr>
                </w:pPr>
                <w:r w:rsidRPr="003D3358">
                  <w:rPr>
                    <w:rFonts w:ascii="Nunito Sans" w:hAnsi="Nunito Sans" w:cs="Calibri"/>
                    <w:color w:val="000000"/>
                    <w:sz w:val="18"/>
                    <w:szCs w:val="18"/>
                  </w:rPr>
                  <w:t>UPME</w:t>
                </w:r>
              </w:p>
            </w:tc>
            <w:tc>
              <w:tcPr>
                <w:tcW w:w="6237" w:type="dxa"/>
                <w:vAlign w:val="center"/>
                <w:hideMark/>
              </w:tcPr>
              <w:p w:rsidRPr="003D3358" w:rsidR="005E3BD6" w:rsidP="00B4771C" w:rsidRDefault="005E3BD6" w14:paraId="02E814B8" w14:textId="77777777">
                <w:pPr>
                  <w:rPr>
                    <w:rFonts w:ascii="Nunito Sans" w:hAnsi="Nunito Sans" w:cs="Calibri"/>
                    <w:color w:val="000000"/>
                    <w:sz w:val="18"/>
                    <w:szCs w:val="18"/>
                  </w:rPr>
                </w:pPr>
                <w:r w:rsidRPr="003D3358">
                  <w:rPr>
                    <w:rFonts w:ascii="Nunito Sans" w:hAnsi="Nunito Sans" w:cs="Calibri"/>
                    <w:color w:val="000000"/>
                    <w:sz w:val="18"/>
                    <w:szCs w:val="18"/>
                  </w:rPr>
                  <w:t>Incentivos tributarios a proyectos de generación de energía eléctrica a partir de fuentes no convencionales de energía -FNCE</w:t>
                </w:r>
              </w:p>
            </w:tc>
            <w:tc>
              <w:tcPr>
                <w:tcW w:w="1701" w:type="dxa"/>
                <w:shd w:val="clear" w:color="auto" w:fill="FFFFFF" w:themeFill="background1"/>
                <w:vAlign w:val="center"/>
                <w:hideMark/>
              </w:tcPr>
              <w:p w:rsidRPr="003D3358" w:rsidR="005E3BD6" w:rsidP="00B4771C" w:rsidRDefault="005E3BD6" w14:paraId="1C6F8D6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27ED0D5" w14:textId="77777777">
            <w:trPr>
              <w:trHeight w:val="240"/>
            </w:trPr>
            <w:tc>
              <w:tcPr>
                <w:tcW w:w="420" w:type="dxa"/>
                <w:vAlign w:val="center"/>
                <w:hideMark/>
              </w:tcPr>
              <w:p w:rsidRPr="003D3358" w:rsidR="005E3BD6" w:rsidP="00B4771C" w:rsidRDefault="1F325162" w14:paraId="78FBBDC6" w14:textId="6EBA118F">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22BFCC94">
                  <w:rPr>
                    <w:rFonts w:ascii="Nunito Sans" w:hAnsi="Nunito Sans" w:cs="Calibri"/>
                    <w:color w:val="000000" w:themeColor="text1"/>
                    <w:sz w:val="18"/>
                    <w:szCs w:val="18"/>
                  </w:rPr>
                  <w:t>6</w:t>
                </w:r>
              </w:p>
            </w:tc>
            <w:tc>
              <w:tcPr>
                <w:tcW w:w="993" w:type="dxa"/>
                <w:vAlign w:val="center"/>
                <w:hideMark/>
              </w:tcPr>
              <w:p w:rsidRPr="003D3358" w:rsidR="005E3BD6" w:rsidP="00B4771C" w:rsidRDefault="005E3BD6" w14:paraId="6CAC4FE2" w14:textId="77777777">
                <w:pPr>
                  <w:rPr>
                    <w:rFonts w:ascii="Nunito Sans" w:hAnsi="Nunito Sans" w:cs="Calibri"/>
                    <w:color w:val="000000"/>
                    <w:sz w:val="18"/>
                    <w:szCs w:val="18"/>
                  </w:rPr>
                </w:pPr>
                <w:r w:rsidRPr="003D3358">
                  <w:rPr>
                    <w:rFonts w:ascii="Nunito Sans" w:hAnsi="Nunito Sans" w:cs="Calibri"/>
                    <w:color w:val="000000"/>
                    <w:sz w:val="18"/>
                    <w:szCs w:val="18"/>
                  </w:rPr>
                  <w:t>CREG</w:t>
                </w:r>
              </w:p>
            </w:tc>
            <w:tc>
              <w:tcPr>
                <w:tcW w:w="6237" w:type="dxa"/>
                <w:vAlign w:val="center"/>
                <w:hideMark/>
              </w:tcPr>
              <w:p w:rsidRPr="003D3358" w:rsidR="005E3BD6" w:rsidP="00B4771C" w:rsidRDefault="005E3BD6" w14:paraId="29819427" w14:textId="77777777">
                <w:pPr>
                  <w:rPr>
                    <w:rFonts w:ascii="Nunito Sans" w:hAnsi="Nunito Sans" w:cs="Calibri"/>
                    <w:color w:val="000000"/>
                    <w:sz w:val="18"/>
                    <w:szCs w:val="18"/>
                  </w:rPr>
                </w:pPr>
                <w:r w:rsidRPr="003D3358">
                  <w:rPr>
                    <w:rFonts w:ascii="Nunito Sans" w:hAnsi="Nunito Sans" w:cs="Calibri"/>
                    <w:color w:val="000000"/>
                    <w:sz w:val="18"/>
                    <w:szCs w:val="18"/>
                  </w:rPr>
                  <w:t>Pago contribución especial de regulación de energía y gas</w:t>
                </w:r>
              </w:p>
            </w:tc>
            <w:tc>
              <w:tcPr>
                <w:tcW w:w="1701" w:type="dxa"/>
                <w:shd w:val="clear" w:color="auto" w:fill="FFFFFF" w:themeFill="background1"/>
                <w:vAlign w:val="center"/>
                <w:hideMark/>
              </w:tcPr>
              <w:p w:rsidRPr="003D3358" w:rsidR="005E3BD6" w:rsidP="00B4771C" w:rsidRDefault="005E3BD6" w14:paraId="6B1D6A2B"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1D0960A" w14:textId="77777777">
            <w:trPr>
              <w:trHeight w:val="480"/>
            </w:trPr>
            <w:tc>
              <w:tcPr>
                <w:tcW w:w="420" w:type="dxa"/>
                <w:vAlign w:val="center"/>
                <w:hideMark/>
              </w:tcPr>
              <w:p w:rsidRPr="003D3358" w:rsidR="005E3BD6" w:rsidP="00B4771C" w:rsidRDefault="1F325162" w14:paraId="361E53B8" w14:textId="69FBE5F3">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1F161B6D">
                  <w:rPr>
                    <w:rFonts w:ascii="Nunito Sans" w:hAnsi="Nunito Sans" w:cs="Calibri"/>
                    <w:color w:val="000000" w:themeColor="text1"/>
                    <w:sz w:val="18"/>
                    <w:szCs w:val="18"/>
                  </w:rPr>
                  <w:t>7</w:t>
                </w:r>
              </w:p>
            </w:tc>
            <w:tc>
              <w:tcPr>
                <w:tcW w:w="993" w:type="dxa"/>
                <w:vAlign w:val="center"/>
                <w:hideMark/>
              </w:tcPr>
              <w:p w:rsidRPr="003D3358" w:rsidR="005E3BD6" w:rsidP="00B4771C" w:rsidRDefault="005E3BD6" w14:paraId="447E999A" w14:textId="77777777">
                <w:pPr>
                  <w:rPr>
                    <w:rFonts w:ascii="Nunito Sans" w:hAnsi="Nunito Sans" w:cs="Calibri"/>
                    <w:color w:val="000000"/>
                    <w:sz w:val="18"/>
                    <w:szCs w:val="18"/>
                  </w:rPr>
                </w:pPr>
                <w:r w:rsidRPr="003D3358">
                  <w:rPr>
                    <w:rFonts w:ascii="Nunito Sans" w:hAnsi="Nunito Sans" w:cs="Calibri"/>
                    <w:color w:val="000000"/>
                    <w:sz w:val="18"/>
                    <w:szCs w:val="18"/>
                  </w:rPr>
                  <w:t>CREG</w:t>
                </w:r>
              </w:p>
            </w:tc>
            <w:tc>
              <w:tcPr>
                <w:tcW w:w="6237" w:type="dxa"/>
                <w:vAlign w:val="center"/>
                <w:hideMark/>
              </w:tcPr>
              <w:p w:rsidRPr="003D3358" w:rsidR="005E3BD6" w:rsidP="00B4771C" w:rsidRDefault="005E3BD6" w14:paraId="47D78807" w14:textId="77777777">
                <w:pPr>
                  <w:rPr>
                    <w:rFonts w:ascii="Nunito Sans" w:hAnsi="Nunito Sans" w:cs="Calibri"/>
                    <w:color w:val="000000"/>
                    <w:sz w:val="18"/>
                    <w:szCs w:val="18"/>
                  </w:rPr>
                </w:pPr>
                <w:r w:rsidRPr="003D3358">
                  <w:rPr>
                    <w:rFonts w:ascii="Nunito Sans" w:hAnsi="Nunito Sans" w:cs="Calibri"/>
                    <w:color w:val="000000"/>
                    <w:sz w:val="18"/>
                    <w:szCs w:val="18"/>
                  </w:rPr>
                  <w:t>Aprobación de tarifas para empresas de servicios públicos de energía y gas</w:t>
                </w:r>
              </w:p>
            </w:tc>
            <w:tc>
              <w:tcPr>
                <w:tcW w:w="1701" w:type="dxa"/>
                <w:shd w:val="clear" w:color="auto" w:fill="FFFFFF" w:themeFill="background1"/>
                <w:vAlign w:val="center"/>
                <w:hideMark/>
              </w:tcPr>
              <w:p w:rsidRPr="003D3358" w:rsidR="005E3BD6" w:rsidP="00B4771C" w:rsidRDefault="005E3BD6" w14:paraId="328A61A4"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A3433F3" w14:textId="77777777">
            <w:trPr>
              <w:trHeight w:val="445"/>
            </w:trPr>
            <w:tc>
              <w:tcPr>
                <w:tcW w:w="420" w:type="dxa"/>
                <w:vAlign w:val="center"/>
                <w:hideMark/>
              </w:tcPr>
              <w:p w:rsidRPr="003D3358" w:rsidR="005E3BD6" w:rsidP="00B4771C" w:rsidRDefault="1F325162" w14:paraId="3A18BFB8" w14:textId="2016722A">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34F2629C">
                  <w:rPr>
                    <w:rFonts w:ascii="Nunito Sans" w:hAnsi="Nunito Sans" w:cs="Calibri"/>
                    <w:color w:val="000000" w:themeColor="text1"/>
                    <w:sz w:val="18"/>
                    <w:szCs w:val="18"/>
                  </w:rPr>
                  <w:t>8</w:t>
                </w:r>
              </w:p>
            </w:tc>
            <w:tc>
              <w:tcPr>
                <w:tcW w:w="993" w:type="dxa"/>
                <w:vAlign w:val="center"/>
                <w:hideMark/>
              </w:tcPr>
              <w:p w:rsidRPr="003D3358" w:rsidR="005E3BD6" w:rsidP="00B4771C" w:rsidRDefault="005E3BD6" w14:paraId="627FD7A0" w14:textId="77777777">
                <w:pPr>
                  <w:rPr>
                    <w:rFonts w:ascii="Nunito Sans" w:hAnsi="Nunito Sans" w:cs="Calibri"/>
                    <w:color w:val="000000"/>
                    <w:sz w:val="18"/>
                    <w:szCs w:val="18"/>
                  </w:rPr>
                </w:pPr>
                <w:r w:rsidRPr="003D3358">
                  <w:rPr>
                    <w:rFonts w:ascii="Nunito Sans" w:hAnsi="Nunito Sans" w:cs="Calibri"/>
                    <w:color w:val="000000"/>
                    <w:sz w:val="18"/>
                    <w:szCs w:val="18"/>
                  </w:rPr>
                  <w:t>IPSE</w:t>
                </w:r>
              </w:p>
            </w:tc>
            <w:tc>
              <w:tcPr>
                <w:tcW w:w="6237" w:type="dxa"/>
                <w:vAlign w:val="center"/>
                <w:hideMark/>
              </w:tcPr>
              <w:p w:rsidRPr="003D3358" w:rsidR="005E3BD6" w:rsidP="00B4771C" w:rsidRDefault="005E3BD6" w14:paraId="5D80078A" w14:textId="77777777">
                <w:pPr>
                  <w:rPr>
                    <w:rFonts w:ascii="Nunito Sans" w:hAnsi="Nunito Sans" w:cs="Calibri"/>
                    <w:color w:val="000000"/>
                    <w:sz w:val="18"/>
                    <w:szCs w:val="18"/>
                  </w:rPr>
                </w:pPr>
                <w:r w:rsidRPr="003D3358">
                  <w:rPr>
                    <w:rFonts w:ascii="Nunito Sans" w:hAnsi="Nunito Sans" w:cs="Calibri"/>
                    <w:color w:val="000000"/>
                    <w:sz w:val="18"/>
                    <w:szCs w:val="18"/>
                  </w:rPr>
                  <w:t>Evaluación técnica y financiera de proyectos de inversión, en infraestructura eléctrica, para las zonas no interconectadas - ZNI</w:t>
                </w:r>
              </w:p>
            </w:tc>
            <w:tc>
              <w:tcPr>
                <w:tcW w:w="1701" w:type="dxa"/>
                <w:shd w:val="clear" w:color="auto" w:fill="FFFFFF" w:themeFill="background1"/>
                <w:vAlign w:val="center"/>
                <w:hideMark/>
              </w:tcPr>
              <w:p w:rsidRPr="003D3358" w:rsidR="005E3BD6" w:rsidP="00B4771C" w:rsidRDefault="005E3BD6" w14:paraId="13AE20F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36C84F30" w14:textId="77777777">
            <w:trPr>
              <w:trHeight w:val="240"/>
            </w:trPr>
            <w:tc>
              <w:tcPr>
                <w:tcW w:w="420" w:type="dxa"/>
                <w:vAlign w:val="center"/>
                <w:hideMark/>
              </w:tcPr>
              <w:p w:rsidRPr="003D3358" w:rsidR="005E3BD6" w:rsidP="00B4771C" w:rsidRDefault="0FBD205F" w14:paraId="5FB9A0EE" w14:textId="45E63AE0">
                <w:pPr>
                  <w:rPr>
                    <w:rFonts w:ascii="Nunito Sans" w:hAnsi="Nunito Sans" w:cs="Calibri"/>
                    <w:color w:val="000000"/>
                    <w:sz w:val="18"/>
                    <w:szCs w:val="18"/>
                  </w:rPr>
                </w:pPr>
                <w:r w:rsidRPr="4E60D266">
                  <w:rPr>
                    <w:rFonts w:ascii="Nunito Sans" w:hAnsi="Nunito Sans" w:cs="Calibri"/>
                    <w:color w:val="000000" w:themeColor="text1"/>
                    <w:sz w:val="18"/>
                    <w:szCs w:val="18"/>
                  </w:rPr>
                  <w:t>8</w:t>
                </w:r>
                <w:r w:rsidRPr="4E60D266" w:rsidR="1F325162">
                  <w:rPr>
                    <w:rFonts w:ascii="Nunito Sans" w:hAnsi="Nunito Sans" w:cs="Calibri"/>
                    <w:color w:val="000000" w:themeColor="text1"/>
                    <w:sz w:val="18"/>
                    <w:szCs w:val="18"/>
                  </w:rPr>
                  <w:t>9</w:t>
                </w:r>
              </w:p>
            </w:tc>
            <w:tc>
              <w:tcPr>
                <w:tcW w:w="993" w:type="dxa"/>
                <w:vAlign w:val="center"/>
                <w:hideMark/>
              </w:tcPr>
              <w:p w:rsidRPr="003D3358" w:rsidR="005E3BD6" w:rsidP="00B4771C" w:rsidRDefault="005E3BD6" w14:paraId="6F5FB861"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6314CFC" w14:textId="77777777">
                <w:pPr>
                  <w:rPr>
                    <w:rFonts w:ascii="Nunito Sans" w:hAnsi="Nunito Sans" w:cs="Calibri"/>
                    <w:color w:val="000000"/>
                    <w:sz w:val="18"/>
                    <w:szCs w:val="18"/>
                  </w:rPr>
                </w:pPr>
                <w:r w:rsidRPr="003D3358">
                  <w:rPr>
                    <w:rFonts w:ascii="Nunito Sans" w:hAnsi="Nunito Sans" w:cs="Calibri"/>
                    <w:color w:val="000000"/>
                    <w:sz w:val="18"/>
                    <w:szCs w:val="18"/>
                  </w:rPr>
                  <w:t>Licencia de diseño de instalación radiactiva</w:t>
                </w:r>
              </w:p>
            </w:tc>
            <w:tc>
              <w:tcPr>
                <w:tcW w:w="1701" w:type="dxa"/>
                <w:vAlign w:val="center"/>
                <w:hideMark/>
              </w:tcPr>
              <w:p w:rsidRPr="003D3358" w:rsidR="005E3BD6" w:rsidP="00B4771C" w:rsidRDefault="005E3BD6" w14:paraId="6C63412D"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242D1B8" w14:textId="77777777">
            <w:trPr>
              <w:trHeight w:val="240"/>
            </w:trPr>
            <w:tc>
              <w:tcPr>
                <w:tcW w:w="420" w:type="dxa"/>
                <w:vAlign w:val="center"/>
                <w:hideMark/>
              </w:tcPr>
              <w:p w:rsidRPr="003D3358" w:rsidR="005E3BD6" w:rsidP="00B4771C" w:rsidRDefault="1F325162" w14:paraId="3D92B762" w14:textId="38B6BFA5">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2E981EBA">
                  <w:rPr>
                    <w:rFonts w:ascii="Nunito Sans" w:hAnsi="Nunito Sans" w:cs="Calibri"/>
                    <w:color w:val="000000" w:themeColor="text1"/>
                    <w:sz w:val="18"/>
                    <w:szCs w:val="18"/>
                  </w:rPr>
                  <w:t>0</w:t>
                </w:r>
              </w:p>
            </w:tc>
            <w:tc>
              <w:tcPr>
                <w:tcW w:w="993" w:type="dxa"/>
                <w:vAlign w:val="center"/>
                <w:hideMark/>
              </w:tcPr>
              <w:p w:rsidRPr="003D3358" w:rsidR="005E3BD6" w:rsidP="00B4771C" w:rsidRDefault="005E3BD6" w14:paraId="4092075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3D314FAE" w14:textId="77777777">
                <w:pPr>
                  <w:rPr>
                    <w:rFonts w:ascii="Nunito Sans" w:hAnsi="Nunito Sans" w:cs="Calibri"/>
                    <w:color w:val="000000"/>
                    <w:sz w:val="18"/>
                    <w:szCs w:val="18"/>
                  </w:rPr>
                </w:pPr>
                <w:r w:rsidRPr="003D3358">
                  <w:rPr>
                    <w:rFonts w:ascii="Nunito Sans" w:hAnsi="Nunito Sans" w:cs="Calibri"/>
                    <w:color w:val="000000"/>
                    <w:sz w:val="18"/>
                    <w:szCs w:val="18"/>
                  </w:rPr>
                  <w:t>Licencia de operación de instalación radiactiva</w:t>
                </w:r>
              </w:p>
            </w:tc>
            <w:tc>
              <w:tcPr>
                <w:tcW w:w="1701" w:type="dxa"/>
                <w:vAlign w:val="center"/>
                <w:hideMark/>
              </w:tcPr>
              <w:p w:rsidRPr="003D3358" w:rsidR="005E3BD6" w:rsidP="00B4771C" w:rsidRDefault="005E3BD6" w14:paraId="27CA9856"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C555380" w14:textId="77777777">
            <w:trPr>
              <w:trHeight w:val="480"/>
            </w:trPr>
            <w:tc>
              <w:tcPr>
                <w:tcW w:w="420" w:type="dxa"/>
                <w:vAlign w:val="center"/>
                <w:hideMark/>
              </w:tcPr>
              <w:p w:rsidRPr="003D3358" w:rsidR="005E3BD6" w:rsidP="00B4771C" w:rsidRDefault="1F325162" w14:paraId="78743557" w14:textId="1CC94F4C">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30FD803A">
                  <w:rPr>
                    <w:rFonts w:ascii="Nunito Sans" w:hAnsi="Nunito Sans" w:cs="Calibri"/>
                    <w:color w:val="000000" w:themeColor="text1"/>
                    <w:sz w:val="18"/>
                    <w:szCs w:val="18"/>
                  </w:rPr>
                  <w:t>1</w:t>
                </w:r>
              </w:p>
            </w:tc>
            <w:tc>
              <w:tcPr>
                <w:tcW w:w="993" w:type="dxa"/>
                <w:vAlign w:val="center"/>
                <w:hideMark/>
              </w:tcPr>
              <w:p w:rsidRPr="003D3358" w:rsidR="005E3BD6" w:rsidP="00B4771C" w:rsidRDefault="005E3BD6" w14:paraId="1D2F3EF9"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388F8D61" w14:textId="55E9FD04">
                <w:pPr>
                  <w:rPr>
                    <w:rFonts w:ascii="Nunito Sans" w:hAnsi="Nunito Sans" w:cs="Calibri"/>
                    <w:color w:val="000000"/>
                    <w:sz w:val="18"/>
                    <w:szCs w:val="18"/>
                  </w:rPr>
                </w:pPr>
                <w:r w:rsidRPr="003D3358">
                  <w:rPr>
                    <w:rFonts w:ascii="Nunito Sans" w:hAnsi="Nunito Sans" w:cs="Calibri"/>
                    <w:color w:val="000000"/>
                    <w:sz w:val="18"/>
                    <w:szCs w:val="18"/>
                  </w:rPr>
                  <w:t xml:space="preserve">Licencia de cese temporal de operación de instalación </w:t>
                </w:r>
                <w:r w:rsidRPr="003D3358" w:rsidR="00775795">
                  <w:rPr>
                    <w:rFonts w:ascii="Nunito Sans" w:hAnsi="Nunito Sans" w:cs="Calibri"/>
                    <w:color w:val="000000"/>
                    <w:sz w:val="18"/>
                    <w:szCs w:val="18"/>
                  </w:rPr>
                  <w:t>radiactiva</w:t>
                </w:r>
              </w:p>
            </w:tc>
            <w:tc>
              <w:tcPr>
                <w:tcW w:w="1701" w:type="dxa"/>
                <w:vAlign w:val="center"/>
                <w:hideMark/>
              </w:tcPr>
              <w:p w:rsidRPr="003D3358" w:rsidR="005E3BD6" w:rsidP="00B4771C" w:rsidRDefault="005E3BD6" w14:paraId="762FA18B"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0B3928D9" w14:textId="77777777">
            <w:trPr>
              <w:trHeight w:val="240"/>
            </w:trPr>
            <w:tc>
              <w:tcPr>
                <w:tcW w:w="420" w:type="dxa"/>
                <w:vAlign w:val="center"/>
                <w:hideMark/>
              </w:tcPr>
              <w:p w:rsidRPr="003D3358" w:rsidR="005E3BD6" w:rsidP="00B4771C" w:rsidRDefault="1F325162" w14:paraId="10710EAC" w14:textId="70281A83">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1FD5EB95">
                  <w:rPr>
                    <w:rFonts w:ascii="Nunito Sans" w:hAnsi="Nunito Sans" w:cs="Calibri"/>
                    <w:color w:val="000000" w:themeColor="text1"/>
                    <w:sz w:val="18"/>
                    <w:szCs w:val="18"/>
                  </w:rPr>
                  <w:t>2</w:t>
                </w:r>
              </w:p>
            </w:tc>
            <w:tc>
              <w:tcPr>
                <w:tcW w:w="993" w:type="dxa"/>
                <w:vAlign w:val="center"/>
                <w:hideMark/>
              </w:tcPr>
              <w:p w:rsidRPr="003D3358" w:rsidR="005E3BD6" w:rsidP="00B4771C" w:rsidRDefault="005E3BD6" w14:paraId="5C4CA6A9"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03A29ADB" w14:textId="77777777">
                <w:pPr>
                  <w:rPr>
                    <w:rFonts w:ascii="Nunito Sans" w:hAnsi="Nunito Sans" w:cs="Calibri"/>
                    <w:color w:val="000000"/>
                    <w:sz w:val="18"/>
                    <w:szCs w:val="18"/>
                  </w:rPr>
                </w:pPr>
                <w:r w:rsidRPr="003D3358">
                  <w:rPr>
                    <w:rFonts w:ascii="Nunito Sans" w:hAnsi="Nunito Sans" w:cs="Calibri"/>
                    <w:color w:val="000000"/>
                    <w:sz w:val="18"/>
                    <w:szCs w:val="18"/>
                  </w:rPr>
                  <w:t>Registro de operación de instalación radiactiva</w:t>
                </w:r>
              </w:p>
            </w:tc>
            <w:tc>
              <w:tcPr>
                <w:tcW w:w="1701" w:type="dxa"/>
                <w:vAlign w:val="center"/>
                <w:hideMark/>
              </w:tcPr>
              <w:p w:rsidRPr="003D3358" w:rsidR="005E3BD6" w:rsidP="00B4771C" w:rsidRDefault="005E3BD6" w14:paraId="101B87E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4022DAE1" w14:textId="77777777">
            <w:trPr>
              <w:trHeight w:val="313"/>
            </w:trPr>
            <w:tc>
              <w:tcPr>
                <w:tcW w:w="420" w:type="dxa"/>
                <w:vAlign w:val="center"/>
                <w:hideMark/>
              </w:tcPr>
              <w:p w:rsidRPr="003D3358" w:rsidR="005E3BD6" w:rsidP="00B4771C" w:rsidRDefault="1F325162" w14:paraId="2AE0B957" w14:textId="52506618">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3A41AB36">
                  <w:rPr>
                    <w:rFonts w:ascii="Nunito Sans" w:hAnsi="Nunito Sans" w:cs="Calibri"/>
                    <w:color w:val="000000" w:themeColor="text1"/>
                    <w:sz w:val="18"/>
                    <w:szCs w:val="18"/>
                  </w:rPr>
                  <w:t>3</w:t>
                </w:r>
              </w:p>
            </w:tc>
            <w:tc>
              <w:tcPr>
                <w:tcW w:w="993" w:type="dxa"/>
                <w:vAlign w:val="center"/>
                <w:hideMark/>
              </w:tcPr>
              <w:p w:rsidRPr="003D3358" w:rsidR="005E3BD6" w:rsidP="00B4771C" w:rsidRDefault="005E3BD6" w14:paraId="0A331467"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64A26611" w14:textId="77777777">
                <w:pPr>
                  <w:rPr>
                    <w:rFonts w:ascii="Nunito Sans" w:hAnsi="Nunito Sans" w:cs="Calibri"/>
                    <w:color w:val="000000"/>
                    <w:sz w:val="18"/>
                    <w:szCs w:val="18"/>
                  </w:rPr>
                </w:pPr>
                <w:r w:rsidRPr="003D3358">
                  <w:rPr>
                    <w:rFonts w:ascii="Nunito Sans" w:hAnsi="Nunito Sans" w:cs="Calibri"/>
                    <w:color w:val="000000"/>
                    <w:sz w:val="18"/>
                    <w:szCs w:val="18"/>
                  </w:rPr>
                  <w:t>Licencia para autorizar la parada prolongada de una instalación nucleares</w:t>
                </w:r>
              </w:p>
            </w:tc>
            <w:tc>
              <w:tcPr>
                <w:tcW w:w="1701" w:type="dxa"/>
                <w:vAlign w:val="center"/>
                <w:hideMark/>
              </w:tcPr>
              <w:p w:rsidRPr="003D3358" w:rsidR="005E3BD6" w:rsidP="00B4771C" w:rsidRDefault="005E3BD6" w14:paraId="45329249"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1ED6DB0A" w14:textId="77777777">
            <w:trPr>
              <w:trHeight w:val="240"/>
            </w:trPr>
            <w:tc>
              <w:tcPr>
                <w:tcW w:w="420" w:type="dxa"/>
                <w:vAlign w:val="center"/>
                <w:hideMark/>
              </w:tcPr>
              <w:p w:rsidRPr="003D3358" w:rsidR="005E3BD6" w:rsidP="00B4771C" w:rsidRDefault="1F325162" w14:paraId="1433B3D8" w14:textId="341F8E79">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276FD3EA">
                  <w:rPr>
                    <w:rFonts w:ascii="Nunito Sans" w:hAnsi="Nunito Sans" w:cs="Calibri"/>
                    <w:color w:val="000000" w:themeColor="text1"/>
                    <w:sz w:val="18"/>
                    <w:szCs w:val="18"/>
                  </w:rPr>
                  <w:t>4</w:t>
                </w:r>
              </w:p>
            </w:tc>
            <w:tc>
              <w:tcPr>
                <w:tcW w:w="993" w:type="dxa"/>
                <w:vAlign w:val="center"/>
                <w:hideMark/>
              </w:tcPr>
              <w:p w:rsidRPr="003D3358" w:rsidR="005E3BD6" w:rsidP="00B4771C" w:rsidRDefault="005E3BD6" w14:paraId="1E873199"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4386830A" w14:textId="77777777">
                <w:pPr>
                  <w:rPr>
                    <w:rFonts w:ascii="Nunito Sans" w:hAnsi="Nunito Sans" w:cs="Calibri"/>
                    <w:color w:val="000000"/>
                    <w:sz w:val="18"/>
                    <w:szCs w:val="18"/>
                  </w:rPr>
                </w:pPr>
                <w:r w:rsidRPr="003D3358">
                  <w:rPr>
                    <w:rFonts w:ascii="Nunito Sans" w:hAnsi="Nunito Sans" w:cs="Calibri"/>
                    <w:color w:val="000000"/>
                    <w:sz w:val="18"/>
                    <w:szCs w:val="18"/>
                  </w:rPr>
                  <w:t>Licencia para la modificación de instalaciones nucleares</w:t>
                </w:r>
              </w:p>
            </w:tc>
            <w:tc>
              <w:tcPr>
                <w:tcW w:w="1701" w:type="dxa"/>
                <w:vAlign w:val="center"/>
                <w:hideMark/>
              </w:tcPr>
              <w:p w:rsidRPr="003D3358" w:rsidR="005E3BD6" w:rsidP="00B4771C" w:rsidRDefault="005E3BD6" w14:paraId="1A5DE2E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6792F81A" w14:textId="77777777">
            <w:trPr>
              <w:trHeight w:val="329"/>
            </w:trPr>
            <w:tc>
              <w:tcPr>
                <w:tcW w:w="420" w:type="dxa"/>
                <w:vAlign w:val="center"/>
                <w:hideMark/>
              </w:tcPr>
              <w:p w:rsidRPr="003D3358" w:rsidR="005E3BD6" w:rsidP="00B4771C" w:rsidRDefault="1F325162" w14:paraId="339DD2AB" w14:textId="626D26BB">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61CE7538">
                  <w:rPr>
                    <w:rFonts w:ascii="Nunito Sans" w:hAnsi="Nunito Sans" w:cs="Calibri"/>
                    <w:color w:val="000000" w:themeColor="text1"/>
                    <w:sz w:val="18"/>
                    <w:szCs w:val="18"/>
                  </w:rPr>
                  <w:t>5</w:t>
                </w:r>
              </w:p>
            </w:tc>
            <w:tc>
              <w:tcPr>
                <w:tcW w:w="993" w:type="dxa"/>
                <w:vAlign w:val="center"/>
                <w:hideMark/>
              </w:tcPr>
              <w:p w:rsidRPr="003D3358" w:rsidR="005E3BD6" w:rsidP="00B4771C" w:rsidRDefault="005E3BD6" w14:paraId="48A7C143"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66AE0AB1" w14:textId="77777777">
                <w:pPr>
                  <w:rPr>
                    <w:rFonts w:ascii="Nunito Sans" w:hAnsi="Nunito Sans" w:cs="Calibri"/>
                    <w:color w:val="000000"/>
                    <w:sz w:val="18"/>
                    <w:szCs w:val="18"/>
                  </w:rPr>
                </w:pPr>
                <w:r w:rsidRPr="003D3358">
                  <w:rPr>
                    <w:rFonts w:ascii="Nunito Sans" w:hAnsi="Nunito Sans" w:cs="Calibri"/>
                    <w:color w:val="000000"/>
                    <w:sz w:val="18"/>
                    <w:szCs w:val="18"/>
                  </w:rPr>
                  <w:t>Licencia para el desmantelamiento de una instalación nuclear</w:t>
                </w:r>
              </w:p>
            </w:tc>
            <w:tc>
              <w:tcPr>
                <w:tcW w:w="1701" w:type="dxa"/>
                <w:vAlign w:val="center"/>
                <w:hideMark/>
              </w:tcPr>
              <w:p w:rsidRPr="003D3358" w:rsidR="005E3BD6" w:rsidP="00B4771C" w:rsidRDefault="005E3BD6" w14:paraId="3DDD22F5"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2A5A416A" w14:textId="77777777">
            <w:trPr>
              <w:trHeight w:val="240"/>
            </w:trPr>
            <w:tc>
              <w:tcPr>
                <w:tcW w:w="420" w:type="dxa"/>
                <w:vAlign w:val="center"/>
                <w:hideMark/>
              </w:tcPr>
              <w:p w:rsidRPr="003D3358" w:rsidR="005E3BD6" w:rsidP="00B4771C" w:rsidRDefault="1F325162" w14:paraId="0C44FB41" w14:textId="1DE74CDF">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36B7E0DB">
                  <w:rPr>
                    <w:rFonts w:ascii="Nunito Sans" w:hAnsi="Nunito Sans" w:cs="Calibri"/>
                    <w:color w:val="000000" w:themeColor="text1"/>
                    <w:sz w:val="18"/>
                    <w:szCs w:val="18"/>
                  </w:rPr>
                  <w:t>6</w:t>
                </w:r>
              </w:p>
            </w:tc>
            <w:tc>
              <w:tcPr>
                <w:tcW w:w="993" w:type="dxa"/>
                <w:vAlign w:val="center"/>
                <w:hideMark/>
              </w:tcPr>
              <w:p w:rsidRPr="003D3358" w:rsidR="005E3BD6" w:rsidP="00B4771C" w:rsidRDefault="005E3BD6" w14:paraId="4D679F1D"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1B5005B6" w14:textId="77777777">
                <w:pPr>
                  <w:rPr>
                    <w:rFonts w:ascii="Nunito Sans" w:hAnsi="Nunito Sans" w:cs="Calibri"/>
                    <w:color w:val="000000"/>
                    <w:sz w:val="18"/>
                    <w:szCs w:val="18"/>
                  </w:rPr>
                </w:pPr>
                <w:r w:rsidRPr="003D3358">
                  <w:rPr>
                    <w:rFonts w:ascii="Nunito Sans" w:hAnsi="Nunito Sans" w:cs="Calibri"/>
                    <w:color w:val="000000"/>
                    <w:sz w:val="18"/>
                    <w:szCs w:val="18"/>
                  </w:rPr>
                  <w:t xml:space="preserve">Licencia de clausura de instalación radiactiva </w:t>
                </w:r>
              </w:p>
            </w:tc>
            <w:tc>
              <w:tcPr>
                <w:tcW w:w="1701" w:type="dxa"/>
                <w:vAlign w:val="center"/>
                <w:hideMark/>
              </w:tcPr>
              <w:p w:rsidRPr="003D3358" w:rsidR="005E3BD6" w:rsidP="00B4771C" w:rsidRDefault="005E3BD6" w14:paraId="67F7D95A"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3F912F85" w14:textId="77777777">
            <w:trPr>
              <w:trHeight w:val="480"/>
            </w:trPr>
            <w:tc>
              <w:tcPr>
                <w:tcW w:w="420" w:type="dxa"/>
                <w:vAlign w:val="center"/>
                <w:hideMark/>
              </w:tcPr>
              <w:p w:rsidRPr="003D3358" w:rsidR="005E3BD6" w:rsidP="00B4771C" w:rsidRDefault="1F325162" w14:paraId="638C52AD" w14:textId="29F6E280">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527BB963">
                  <w:rPr>
                    <w:rFonts w:ascii="Nunito Sans" w:hAnsi="Nunito Sans" w:cs="Calibri"/>
                    <w:color w:val="000000" w:themeColor="text1"/>
                    <w:sz w:val="18"/>
                    <w:szCs w:val="18"/>
                  </w:rPr>
                  <w:t>7</w:t>
                </w:r>
              </w:p>
            </w:tc>
            <w:tc>
              <w:tcPr>
                <w:tcW w:w="993" w:type="dxa"/>
                <w:vAlign w:val="center"/>
                <w:hideMark/>
              </w:tcPr>
              <w:p w:rsidRPr="003D3358" w:rsidR="005E3BD6" w:rsidP="00B4771C" w:rsidRDefault="005E3BD6" w14:paraId="194CA884"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CE9987C" w14:textId="77777777">
                <w:pPr>
                  <w:rPr>
                    <w:rFonts w:ascii="Nunito Sans" w:hAnsi="Nunito Sans" w:cs="Calibri"/>
                    <w:color w:val="000000"/>
                    <w:sz w:val="18"/>
                    <w:szCs w:val="18"/>
                  </w:rPr>
                </w:pPr>
                <w:r w:rsidRPr="003D3358">
                  <w:rPr>
                    <w:rFonts w:ascii="Nunito Sans" w:hAnsi="Nunito Sans" w:cs="Calibri"/>
                    <w:color w:val="000000"/>
                    <w:sz w:val="18"/>
                    <w:szCs w:val="18"/>
                  </w:rPr>
                  <w:t>Autorización para ejercer la actividad de distribuidor minorista</w:t>
                </w:r>
              </w:p>
            </w:tc>
            <w:tc>
              <w:tcPr>
                <w:tcW w:w="1701" w:type="dxa"/>
                <w:vAlign w:val="center"/>
                <w:hideMark/>
              </w:tcPr>
              <w:p w:rsidRPr="003D3358" w:rsidR="005E3BD6" w:rsidP="00B4771C" w:rsidRDefault="005E3BD6" w14:paraId="188BA04C"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r w:rsidRPr="00CA4194" w:rsidR="005E3BD6" w:rsidTr="4E60D266" w14:paraId="51DE96B1" w14:textId="77777777">
            <w:trPr>
              <w:trHeight w:val="240"/>
            </w:trPr>
            <w:tc>
              <w:tcPr>
                <w:tcW w:w="420" w:type="dxa"/>
                <w:vAlign w:val="center"/>
                <w:hideMark/>
              </w:tcPr>
              <w:p w:rsidRPr="003D3358" w:rsidR="005E3BD6" w:rsidP="00B4771C" w:rsidRDefault="1F325162" w14:paraId="3FD8C5BA" w14:textId="2DC18600">
                <w:pPr>
                  <w:rPr>
                    <w:rFonts w:ascii="Nunito Sans" w:hAnsi="Nunito Sans" w:cs="Calibri"/>
                    <w:color w:val="000000"/>
                    <w:sz w:val="18"/>
                    <w:szCs w:val="18"/>
                  </w:rPr>
                </w:pPr>
                <w:r w:rsidRPr="4E60D266">
                  <w:rPr>
                    <w:rFonts w:ascii="Nunito Sans" w:hAnsi="Nunito Sans" w:cs="Calibri"/>
                    <w:color w:val="000000" w:themeColor="text1"/>
                    <w:sz w:val="18"/>
                    <w:szCs w:val="18"/>
                  </w:rPr>
                  <w:t>9</w:t>
                </w:r>
                <w:r w:rsidRPr="4E60D266" w:rsidR="7971792F">
                  <w:rPr>
                    <w:rFonts w:ascii="Nunito Sans" w:hAnsi="Nunito Sans" w:cs="Calibri"/>
                    <w:color w:val="000000" w:themeColor="text1"/>
                    <w:sz w:val="18"/>
                    <w:szCs w:val="18"/>
                  </w:rPr>
                  <w:t>8</w:t>
                </w:r>
              </w:p>
            </w:tc>
            <w:tc>
              <w:tcPr>
                <w:tcW w:w="993" w:type="dxa"/>
                <w:vAlign w:val="center"/>
                <w:hideMark/>
              </w:tcPr>
              <w:p w:rsidRPr="003D3358" w:rsidR="005E3BD6" w:rsidP="00B4771C" w:rsidRDefault="005E3BD6" w14:paraId="7A264430" w14:textId="77777777">
                <w:pPr>
                  <w:rPr>
                    <w:rFonts w:ascii="Nunito Sans" w:hAnsi="Nunito Sans" w:cs="Calibri"/>
                    <w:color w:val="000000"/>
                    <w:sz w:val="18"/>
                    <w:szCs w:val="18"/>
                  </w:rPr>
                </w:pPr>
                <w:r w:rsidRPr="003D3358">
                  <w:rPr>
                    <w:rFonts w:ascii="Nunito Sans" w:hAnsi="Nunito Sans" w:cs="Calibri"/>
                    <w:color w:val="000000"/>
                    <w:sz w:val="18"/>
                    <w:szCs w:val="18"/>
                  </w:rPr>
                  <w:t>MME</w:t>
                </w:r>
              </w:p>
            </w:tc>
            <w:tc>
              <w:tcPr>
                <w:tcW w:w="6237" w:type="dxa"/>
                <w:vAlign w:val="center"/>
                <w:hideMark/>
              </w:tcPr>
              <w:p w:rsidRPr="003D3358" w:rsidR="005E3BD6" w:rsidP="00B4771C" w:rsidRDefault="005E3BD6" w14:paraId="2912DA8D" w14:textId="77777777">
                <w:pPr>
                  <w:rPr>
                    <w:rFonts w:ascii="Nunito Sans" w:hAnsi="Nunito Sans" w:cs="Calibri"/>
                    <w:color w:val="000000"/>
                    <w:sz w:val="18"/>
                    <w:szCs w:val="18"/>
                  </w:rPr>
                </w:pPr>
                <w:r w:rsidRPr="003D3358">
                  <w:rPr>
                    <w:rFonts w:ascii="Nunito Sans" w:hAnsi="Nunito Sans" w:cs="Calibri"/>
                    <w:color w:val="000000"/>
                    <w:sz w:val="18"/>
                    <w:szCs w:val="18"/>
                  </w:rPr>
                  <w:t>Licencia de importación de material radiactivo y nuclear</w:t>
                </w:r>
              </w:p>
            </w:tc>
            <w:tc>
              <w:tcPr>
                <w:tcW w:w="1701" w:type="dxa"/>
                <w:vAlign w:val="center"/>
                <w:hideMark/>
              </w:tcPr>
              <w:p w:rsidRPr="003D3358" w:rsidR="005E3BD6" w:rsidP="00B4771C" w:rsidRDefault="005E3BD6" w14:paraId="53572977" w14:textId="77777777">
                <w:pPr>
                  <w:jc w:val="center"/>
                  <w:rPr>
                    <w:rFonts w:ascii="Nunito Sans" w:hAnsi="Nunito Sans" w:cs="Calibri"/>
                    <w:color w:val="000000"/>
                    <w:sz w:val="18"/>
                    <w:szCs w:val="18"/>
                  </w:rPr>
                </w:pPr>
                <w:r w:rsidRPr="003D3358">
                  <w:rPr>
                    <w:rFonts w:ascii="Nunito Sans" w:hAnsi="Nunito Sans" w:cs="Calibri"/>
                    <w:color w:val="000000"/>
                    <w:sz w:val="18"/>
                    <w:szCs w:val="18"/>
                  </w:rPr>
                  <w:t>Tramite</w:t>
                </w:r>
              </w:p>
            </w:tc>
          </w:tr>
        </w:tbl>
        <w:p w:rsidRPr="00EF5DE4" w:rsidR="005E3BD6" w:rsidP="005E3BD6" w:rsidRDefault="005E3BD6" w14:paraId="6347E3AF"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57F6932E" w14:textId="77777777">
          <w:pPr>
            <w:rPr>
              <w:rFonts w:ascii="Nunito Sans" w:hAnsi="Nunito Sans" w:eastAsia="Arial" w:cs="Calibri"/>
              <w:color w:val="000000" w:themeColor="text1"/>
              <w:sz w:val="22"/>
              <w:szCs w:val="22"/>
              <w:lang w:val="es-ES"/>
            </w:rPr>
          </w:pPr>
        </w:p>
        <w:p w:rsidRPr="00172FA5" w:rsidR="005E3BD6" w:rsidP="005E3BD6" w:rsidRDefault="005E3BD6" w14:paraId="27DBE14F" w14:textId="5BE20A3E">
          <w:pPr>
            <w:jc w:val="both"/>
            <w:rPr>
              <w:rFonts w:ascii="Nunito Sans" w:hAnsi="Nunito Sans" w:eastAsia="Arial" w:cs="Calibri"/>
              <w:color w:val="000000" w:themeColor="text1"/>
              <w:sz w:val="22"/>
              <w:szCs w:val="22"/>
              <w:lang w:val="es-ES"/>
            </w:rPr>
          </w:pPr>
          <w:r w:rsidRPr="0E79E4E6">
            <w:rPr>
              <w:rFonts w:ascii="Nunito Sans" w:hAnsi="Nunito Sans" w:eastAsia="Arial" w:cs="Calibri"/>
              <w:color w:val="000000" w:themeColor="text1"/>
              <w:sz w:val="22"/>
              <w:szCs w:val="22"/>
              <w:lang w:val="es-ES"/>
            </w:rPr>
            <w:t xml:space="preserve">Dicho inventario consolidado se encuentra documentado y estructurado en el </w:t>
          </w:r>
          <w:r w:rsidRPr="00301E32" w:rsidR="00301E32">
            <w:rPr>
              <w:rFonts w:ascii="Nunito Sans" w:hAnsi="Nunito Sans" w:eastAsia="Arial" w:cs="Calibri"/>
              <w:color w:val="000000" w:themeColor="text1"/>
              <w:sz w:val="22"/>
              <w:szCs w:val="22"/>
              <w:lang w:val="es-ES"/>
            </w:rPr>
            <w:t>Anexo 9 – Trámites</w:t>
          </w:r>
          <w:r w:rsidR="00301E32">
            <w:rPr>
              <w:rFonts w:ascii="Nunito Sans" w:hAnsi="Nunito Sans" w:eastAsia="Arial" w:cs="Calibri"/>
              <w:color w:val="000000" w:themeColor="text1"/>
              <w:sz w:val="22"/>
              <w:szCs w:val="22"/>
              <w:lang w:val="es-ES"/>
            </w:rPr>
            <w:t xml:space="preserve"> y </w:t>
          </w:r>
          <w:r w:rsidRPr="00301E32" w:rsidR="00301E32">
            <w:rPr>
              <w:rFonts w:ascii="Nunito Sans" w:hAnsi="Nunito Sans" w:eastAsia="Arial" w:cs="Calibri"/>
              <w:color w:val="000000" w:themeColor="text1"/>
              <w:sz w:val="22"/>
              <w:szCs w:val="22"/>
              <w:lang w:val="es-ES"/>
            </w:rPr>
            <w:t>Servicios Sectoriales</w:t>
          </w:r>
          <w:r w:rsidR="00301E32">
            <w:rPr>
              <w:rFonts w:ascii="Nunito Sans" w:hAnsi="Nunito Sans" w:eastAsia="Arial" w:cs="Calibri"/>
              <w:color w:val="000000" w:themeColor="text1"/>
              <w:sz w:val="22"/>
              <w:szCs w:val="22"/>
              <w:lang w:val="es-ES"/>
            </w:rPr>
            <w:t>,</w:t>
          </w:r>
          <w:r>
            <w:rPr>
              <w:rFonts w:ascii="Nunito Sans" w:hAnsi="Nunito Sans" w:eastAsia="Arial" w:cs="Calibri"/>
              <w:b/>
              <w:color w:val="000000" w:themeColor="text1"/>
              <w:sz w:val="22"/>
              <w:szCs w:val="22"/>
              <w:lang w:val="es-ES"/>
            </w:rPr>
            <w:t xml:space="preserve"> </w:t>
          </w:r>
          <w:r w:rsidRPr="0E79E4E6">
            <w:rPr>
              <w:rFonts w:ascii="Nunito Sans" w:hAnsi="Nunito Sans" w:eastAsia="Arial" w:cs="Calibri"/>
              <w:color w:val="000000" w:themeColor="text1"/>
              <w:sz w:val="22"/>
              <w:szCs w:val="22"/>
              <w:lang w:val="es-ES"/>
            </w:rPr>
            <w:t>el cual actúa como artefacto de referencia para la arquitectura empresarial y permite su trazabilidad respecto a los servicios habilitadores del ecosistema digital sectorial</w:t>
          </w:r>
        </w:p>
        <w:p w:rsidRPr="00E000B5" w:rsidR="004112D5" w:rsidRDefault="005E3BD6" w14:paraId="293B1B16" w14:textId="09AFD93F">
          <w:pPr>
            <w:pStyle w:val="Ttulo3"/>
            <w:keepNext/>
            <w:keepLines/>
            <w:numPr>
              <w:ilvl w:val="2"/>
              <w:numId w:val="34"/>
            </w:numPr>
            <w:spacing w:before="40" w:after="240" w:line="276" w:lineRule="auto"/>
            <w:ind w:left="0" w:firstLine="0"/>
            <w:rPr>
              <w:rFonts w:eastAsiaTheme="majorEastAsia" w:cstheme="majorBidi"/>
              <w:bCs w:val="0"/>
              <w:i/>
              <w:iCs w:val="0"/>
              <w:szCs w:val="26"/>
              <w:lang w:val="es-CO" w:eastAsia="en-US"/>
            </w:rPr>
          </w:pPr>
          <w:bookmarkStart w:name="_Toc1652530405" w:id="59"/>
          <w:bookmarkStart w:name="_Toc1510929456" w:id="60"/>
          <w:bookmarkStart w:name="_Toc234234453" w:id="61"/>
          <w:r w:rsidRPr="00491CD0">
            <w:rPr>
              <w:rFonts w:eastAsiaTheme="majorEastAsia" w:cstheme="majorBidi"/>
              <w:bCs w:val="0"/>
              <w:iCs w:val="0"/>
              <w:szCs w:val="26"/>
              <w:lang w:val="es-CO" w:eastAsia="en-US"/>
            </w:rPr>
            <w:lastRenderedPageBreak/>
            <w:t>Debilidades y fortalezas del sector</w:t>
          </w:r>
          <w:bookmarkEnd w:id="59"/>
          <w:bookmarkEnd w:id="60"/>
          <w:bookmarkEnd w:id="61"/>
        </w:p>
        <w:p w:rsidRPr="0092350F" w:rsidR="005E3BD6" w:rsidP="005E3BD6" w:rsidRDefault="005E3BD6" w14:paraId="1C0E6369" w14:textId="3AC16B38">
          <w:pPr>
            <w:jc w:val="both"/>
            <w:rPr>
              <w:rFonts w:ascii="Nunito Sans" w:hAnsi="Nunito Sans" w:eastAsiaTheme="minorEastAsia"/>
              <w:b/>
              <w:bCs/>
              <w:sz w:val="22"/>
              <w:szCs w:val="22"/>
              <w:lang w:val="es-ES"/>
            </w:rPr>
          </w:pPr>
          <w:r w:rsidRPr="0E79E4E6">
            <w:rPr>
              <w:rFonts w:ascii="Nunito Sans" w:hAnsi="Nunito Sans" w:eastAsiaTheme="minorEastAsia"/>
              <w:b/>
              <w:bCs/>
              <w:sz w:val="22"/>
              <w:szCs w:val="22"/>
              <w:lang w:val="es-ES"/>
            </w:rPr>
            <w:t>Debilidades</w:t>
          </w:r>
        </w:p>
        <w:p w:rsidR="004112D5" w:rsidP="005E3BD6" w:rsidRDefault="004112D5" w14:paraId="7B2794D6" w14:textId="77777777">
          <w:pPr>
            <w:jc w:val="both"/>
            <w:rPr>
              <w:rFonts w:ascii="Nunito Sans" w:hAnsi="Nunito Sans" w:eastAsiaTheme="minorEastAsia"/>
              <w:sz w:val="22"/>
              <w:szCs w:val="22"/>
              <w:lang w:val="es-ES"/>
            </w:rPr>
          </w:pPr>
        </w:p>
        <w:p w:rsidRPr="00CA4194" w:rsidR="005E3BD6" w:rsidP="4E60D266" w:rsidRDefault="6B644133" w14:paraId="6F088530" w14:textId="36F12F83">
          <w:pPr>
            <w:jc w:val="both"/>
            <w:rPr>
              <w:rFonts w:ascii="Nunito Sans" w:hAnsi="Nunito Sans" w:eastAsiaTheme="minorEastAsia"/>
              <w:sz w:val="22"/>
              <w:szCs w:val="22"/>
              <w:lang w:val="es-ES"/>
            </w:rPr>
          </w:pPr>
          <w:r w:rsidRPr="4E60D266">
            <w:rPr>
              <w:rFonts w:ascii="Nunito Sans" w:hAnsi="Nunito Sans" w:eastAsiaTheme="minorEastAsia"/>
              <w:sz w:val="22"/>
              <w:szCs w:val="22"/>
              <w:lang w:val="es-ES"/>
            </w:rPr>
            <w:t>El análisis de la situación actual permitió identificar debilidades comunes en materia de gestión de información, interoperabilidad, capacidades tecnológicas y capacidad institucional en recursos humanos de tecnologías de la información, incluyendo la insuficiencia de personal y de perfiles especializados para atender los retos de transformación digital del sector minero-energético.</w:t>
          </w:r>
          <w:r w:rsidRPr="4E60D266" w:rsidR="1F325162">
            <w:rPr>
              <w:rFonts w:ascii="Nunito Sans" w:hAnsi="Nunito Sans" w:eastAsiaTheme="minorEastAsia"/>
              <w:sz w:val="22"/>
              <w:szCs w:val="22"/>
              <w:lang w:val="es-ES"/>
            </w:rPr>
            <w:t xml:space="preserve"> </w:t>
          </w:r>
          <w:r w:rsidRPr="4E60D266" w:rsidR="2D70B386">
            <w:rPr>
              <w:rFonts w:ascii="Nunito Sans" w:hAnsi="Nunito Sans" w:eastAsia="Nunito Sans" w:cs="Nunito Sans"/>
              <w:sz w:val="22"/>
              <w:szCs w:val="22"/>
              <w:lang w:val="es-ES"/>
            </w:rPr>
            <w:t>En la mayoría de las entidades persiste la ausencia o un bajo nivel de madurez en la implementación de lagos de datos (</w:t>
          </w:r>
          <w:r w:rsidRPr="4E60D266" w:rsidR="2D70B386">
            <w:rPr>
              <w:rFonts w:ascii="Nunito Sans" w:hAnsi="Nunito Sans" w:eastAsia="Nunito Sans" w:cs="Nunito Sans"/>
              <w:i/>
              <w:iCs/>
              <w:sz w:val="22"/>
              <w:szCs w:val="22"/>
              <w:lang w:val="es-ES"/>
            </w:rPr>
            <w:t>data lakes</w:t>
          </w:r>
          <w:r w:rsidRPr="4E60D266" w:rsidR="2D70B386">
            <w:rPr>
              <w:rFonts w:ascii="Nunito Sans" w:hAnsi="Nunito Sans" w:eastAsia="Nunito Sans" w:cs="Nunito Sans"/>
              <w:sz w:val="22"/>
              <w:szCs w:val="22"/>
              <w:lang w:val="es-ES"/>
            </w:rPr>
            <w:t>) y bodegas de datos (</w:t>
          </w:r>
          <w:r w:rsidRPr="4E60D266" w:rsidR="2D70B386">
            <w:rPr>
              <w:rFonts w:ascii="Nunito Sans" w:hAnsi="Nunito Sans" w:eastAsia="Nunito Sans" w:cs="Nunito Sans"/>
              <w:i/>
              <w:iCs/>
              <w:sz w:val="22"/>
              <w:szCs w:val="22"/>
              <w:lang w:val="es-ES"/>
            </w:rPr>
            <w:t>data warehouses</w:t>
          </w:r>
          <w:r w:rsidRPr="4E60D266" w:rsidR="2D70B386">
            <w:rPr>
              <w:rFonts w:ascii="Nunito Sans" w:hAnsi="Nunito Sans" w:eastAsia="Nunito Sans" w:cs="Nunito Sans"/>
              <w:sz w:val="22"/>
              <w:szCs w:val="22"/>
              <w:lang w:val="es-ES"/>
            </w:rPr>
            <w:t>) institucionales, lo que dificulta la integración, explotación y análisis transversal de la información sectorial.</w:t>
          </w:r>
          <w:r w:rsidRPr="4E60D266" w:rsidR="1F325162">
            <w:rPr>
              <w:rFonts w:ascii="Nunito Sans" w:hAnsi="Nunito Sans" w:eastAsiaTheme="minorEastAsia"/>
              <w:sz w:val="22"/>
              <w:szCs w:val="22"/>
              <w:lang w:val="es-ES"/>
            </w:rPr>
            <w:t xml:space="preserve"> Esta situación restringe la posibilidad de contar con una visión consolidada y oportuna para la toma de decisiones estratégicas, especialmente en contextos de alta complejidad regulatoria, científica y territorial.</w:t>
          </w:r>
        </w:p>
        <w:p w:rsidRPr="00CA4194" w:rsidR="005E3BD6" w:rsidP="005E3BD6" w:rsidRDefault="005E3BD6" w14:paraId="34EA7EAB" w14:textId="77777777">
          <w:pPr>
            <w:jc w:val="both"/>
            <w:rPr>
              <w:rFonts w:ascii="Nunito Sans" w:hAnsi="Nunito Sans" w:eastAsiaTheme="minorEastAsia"/>
              <w:sz w:val="22"/>
              <w:szCs w:val="22"/>
              <w:lang w:val="es-ES"/>
            </w:rPr>
          </w:pPr>
        </w:p>
        <w:p w:rsidR="7D73B79D" w:rsidP="4E60D266" w:rsidRDefault="7D73B79D" w14:paraId="5CA91C3F" w14:textId="2D0C35E4">
          <w:pPr>
            <w:jc w:val="both"/>
          </w:pPr>
          <w:r w:rsidRPr="4E60D266">
            <w:rPr>
              <w:rFonts w:ascii="Nunito Sans" w:hAnsi="Nunito Sans" w:eastAsia="Nunito Sans" w:cs="Nunito Sans"/>
              <w:sz w:val="22"/>
              <w:szCs w:val="22"/>
              <w:lang w:val="es-ES"/>
            </w:rPr>
            <w:t>Adicionalmente, la ausencia de mecanismos sectoriales de integración, estándares comunes de interoperabilidad y lineamientos homogéneos de Arquitectura Empresarial limita el intercambio eficiente de información entre plataformas, sistemas y entidades. Como resultado, persisten integraciones puntuales, heterogéneas y de difícil sostenibilidad, incrementando los reprocesos, la duplicidad de información y los costos operativos asociados al intercambio de datos.</w:t>
          </w:r>
        </w:p>
        <w:p w:rsidRPr="00CA4194" w:rsidR="005E3BD6" w:rsidP="005E3BD6" w:rsidRDefault="005E3BD6" w14:paraId="5C36072D" w14:textId="77777777">
          <w:pPr>
            <w:jc w:val="both"/>
            <w:rPr>
              <w:rFonts w:ascii="Nunito Sans" w:hAnsi="Nunito Sans" w:eastAsiaTheme="minorEastAsia"/>
              <w:sz w:val="22"/>
              <w:szCs w:val="22"/>
              <w:lang w:val="es-ES"/>
            </w:rPr>
          </w:pPr>
        </w:p>
        <w:p w:rsidRPr="00CA4194" w:rsidR="005E3BD6" w:rsidP="005E3BD6" w:rsidRDefault="005E3BD6" w14:paraId="1FBE21D7" w14:textId="77777777">
          <w:pPr>
            <w:jc w:val="both"/>
            <w:rPr>
              <w:rFonts w:ascii="Nunito Sans" w:hAnsi="Nunito Sans" w:eastAsiaTheme="minorEastAsia"/>
              <w:sz w:val="22"/>
              <w:szCs w:val="22"/>
              <w:lang w:val="es-ES"/>
            </w:rPr>
          </w:pPr>
          <w:r w:rsidRPr="00CA4194">
            <w:rPr>
              <w:rFonts w:ascii="Nunito Sans" w:hAnsi="Nunito Sans" w:eastAsiaTheme="minorEastAsia"/>
              <w:sz w:val="22"/>
              <w:szCs w:val="22"/>
              <w:lang w:val="es-ES"/>
            </w:rPr>
            <w:t>A estas limitaciones estructurales se suman debilidades en las capacidades internas de talento humano especializado en tecnologías de la información, analítica avanzada y arquitectura empresarial, así como una alta dependencia de proveedores externos para la operación y evolución de las soluciones tecnológicas. Esta combinación afecta la sostenibilidad técnica de los sistemas, reduce la autonomía institucional y genera riesgos en la continuidad operativa y en la gestión del conocimiento.</w:t>
          </w:r>
        </w:p>
        <w:p w:rsidRPr="00CA4194" w:rsidR="005E3BD6" w:rsidP="005E3BD6" w:rsidRDefault="005E3BD6" w14:paraId="5C24FC70" w14:textId="77777777">
          <w:pPr>
            <w:jc w:val="both"/>
            <w:rPr>
              <w:rFonts w:ascii="Nunito Sans" w:hAnsi="Nunito Sans" w:eastAsiaTheme="minorEastAsia"/>
              <w:sz w:val="22"/>
              <w:szCs w:val="22"/>
              <w:lang w:val="es-ES"/>
            </w:rPr>
          </w:pPr>
        </w:p>
        <w:p w:rsidRPr="00CA4194" w:rsidR="005E3BD6" w:rsidP="005E3BD6" w:rsidRDefault="005E3BD6" w14:paraId="11F52B88" w14:textId="77777777">
          <w:pPr>
            <w:jc w:val="both"/>
            <w:rPr>
              <w:rFonts w:ascii="Nunito Sans" w:hAnsi="Nunito Sans" w:eastAsiaTheme="minorEastAsia"/>
              <w:sz w:val="22"/>
              <w:szCs w:val="22"/>
              <w:lang w:val="es-ES"/>
            </w:rPr>
          </w:pPr>
          <w:r w:rsidRPr="00CA4194">
            <w:rPr>
              <w:rFonts w:ascii="Nunito Sans" w:hAnsi="Nunito Sans" w:eastAsiaTheme="minorEastAsia"/>
              <w:sz w:val="22"/>
              <w:szCs w:val="22"/>
              <w:lang w:val="es-ES"/>
            </w:rPr>
            <w:t>Finalmente, la infraestructura tecnológica</w:t>
          </w:r>
          <w:r>
            <w:rPr>
              <w:rFonts w:ascii="Nunito Sans" w:hAnsi="Nunito Sans" w:eastAsiaTheme="minorEastAsia"/>
              <w:sz w:val="22"/>
              <w:szCs w:val="22"/>
              <w:lang w:val="es-ES"/>
            </w:rPr>
            <w:t>,</w:t>
          </w:r>
          <w:r w:rsidRPr="00CA4194">
            <w:rPr>
              <w:rFonts w:ascii="Nunito Sans" w:hAnsi="Nunito Sans" w:eastAsiaTheme="minorEastAsia"/>
              <w:sz w:val="22"/>
              <w:szCs w:val="22"/>
              <w:lang w:val="es-ES"/>
            </w:rPr>
            <w:t xml:space="preserve"> disponible en parte del sector</w:t>
          </w:r>
          <w:r>
            <w:rPr>
              <w:rFonts w:ascii="Nunito Sans" w:hAnsi="Nunito Sans" w:eastAsiaTheme="minorEastAsia"/>
              <w:sz w:val="22"/>
              <w:szCs w:val="22"/>
              <w:lang w:val="es-ES"/>
            </w:rPr>
            <w:t>,</w:t>
          </w:r>
          <w:r w:rsidRPr="00CA4194">
            <w:rPr>
              <w:rFonts w:ascii="Nunito Sans" w:hAnsi="Nunito Sans" w:eastAsiaTheme="minorEastAsia"/>
              <w:sz w:val="22"/>
              <w:szCs w:val="22"/>
              <w:lang w:val="es-ES"/>
            </w:rPr>
            <w:t xml:space="preserve"> resulta insuficiente para soportar el procesamiento de grandes volúmenes de información científica, geoespacial y regulatoria, lo que limita el aprovechamiento de técnicas avanzadas de analítica e inteligencia artificial. Esta situación impacta negativamente la oportunidad y calidad de la información utilizada para la toma de decisiones sectoriales y para el seguimiento a los objetivos de política pública, incluyendo aquellos asociados a la Transición Energética Justa.</w:t>
          </w:r>
        </w:p>
        <w:p w:rsidRPr="00CA4194" w:rsidR="005E3BD6" w:rsidP="005E3BD6" w:rsidRDefault="005E3BD6" w14:paraId="0593C7E4" w14:textId="77777777">
          <w:pPr>
            <w:jc w:val="both"/>
            <w:rPr>
              <w:rFonts w:ascii="Nunito Sans" w:hAnsi="Nunito Sans" w:eastAsiaTheme="minorEastAsia"/>
              <w:sz w:val="22"/>
              <w:szCs w:val="22"/>
              <w:lang w:val="es-ES"/>
            </w:rPr>
          </w:pPr>
        </w:p>
        <w:p w:rsidRPr="00EF7F83" w:rsidR="005E3BD6" w:rsidP="005E3BD6" w:rsidRDefault="005E3BD6" w14:paraId="1168343F" w14:textId="77777777">
          <w:pPr>
            <w:jc w:val="both"/>
            <w:rPr>
              <w:rFonts w:ascii="Nunito Sans" w:hAnsi="Nunito Sans" w:eastAsiaTheme="minorEastAsia"/>
              <w:b/>
              <w:bCs/>
              <w:sz w:val="22"/>
              <w:szCs w:val="22"/>
              <w:lang w:val="es-ES"/>
            </w:rPr>
          </w:pPr>
          <w:r w:rsidRPr="00EF7F83">
            <w:rPr>
              <w:rFonts w:ascii="Nunito Sans" w:hAnsi="Nunito Sans" w:eastAsiaTheme="minorEastAsia"/>
              <w:b/>
              <w:bCs/>
              <w:sz w:val="22"/>
              <w:szCs w:val="22"/>
              <w:lang w:val="es-ES"/>
            </w:rPr>
            <w:t>Fortalezas</w:t>
          </w:r>
        </w:p>
        <w:p w:rsidR="004112D5" w:rsidP="005E3BD6" w:rsidRDefault="004112D5" w14:paraId="7E1D7CBC" w14:textId="77777777">
          <w:pPr>
            <w:jc w:val="both"/>
            <w:rPr>
              <w:rFonts w:ascii="Nunito Sans" w:hAnsi="Nunito Sans" w:eastAsiaTheme="minorEastAsia"/>
              <w:sz w:val="22"/>
              <w:szCs w:val="22"/>
              <w:lang w:val="es-ES"/>
            </w:rPr>
          </w:pPr>
        </w:p>
        <w:p w:rsidRPr="00CA4194" w:rsidR="005E3BD6" w:rsidP="005E3BD6" w:rsidRDefault="005E3BD6" w14:paraId="65A91420" w14:textId="3885BFD7">
          <w:pPr>
            <w:jc w:val="both"/>
            <w:rPr>
              <w:rFonts w:ascii="Nunito Sans" w:hAnsi="Nunito Sans" w:eastAsiaTheme="minorEastAsia"/>
              <w:sz w:val="22"/>
              <w:szCs w:val="22"/>
              <w:lang w:val="es-ES"/>
            </w:rPr>
          </w:pPr>
          <w:r>
            <w:rPr>
              <w:rFonts w:ascii="Nunito Sans" w:hAnsi="Nunito Sans" w:eastAsiaTheme="minorEastAsia"/>
              <w:sz w:val="22"/>
              <w:szCs w:val="22"/>
              <w:lang w:val="es-ES"/>
            </w:rPr>
            <w:t>E</w:t>
          </w:r>
          <w:r w:rsidRPr="00CA4194">
            <w:rPr>
              <w:rFonts w:ascii="Nunito Sans" w:hAnsi="Nunito Sans" w:eastAsiaTheme="minorEastAsia"/>
              <w:sz w:val="22"/>
              <w:szCs w:val="22"/>
              <w:lang w:val="es-ES"/>
            </w:rPr>
            <w:t xml:space="preserve">l sector minero-energético presenta fortalezas relevantes que constituyen una base sólida para avanzar hacia un modelo digital sectorial más integrado. En particular, algunas entidades han desarrollado capacidades significativas en digitalización, analítica avanzada e inteligencia artificial aplicadas a procesos misionales, de regulación y de planeación. Entidades como la UPME, la CREG </w:t>
          </w:r>
          <w:r w:rsidRPr="00CA4194">
            <w:rPr>
              <w:rFonts w:ascii="Nunito Sans" w:hAnsi="Nunito Sans" w:eastAsiaTheme="minorEastAsia"/>
              <w:sz w:val="22"/>
              <w:szCs w:val="22"/>
              <w:lang w:val="es-ES"/>
            </w:rPr>
            <w:lastRenderedPageBreak/>
            <w:t>y la ANM cuentan con iniciativas de analítica predictiva, modelos de apoyo a la decisión y plataformas de visualización que fortalecen el uso estratégico de la información.</w:t>
          </w:r>
        </w:p>
        <w:p w:rsidRPr="00CA4194" w:rsidR="005E3BD6" w:rsidP="005E3BD6" w:rsidRDefault="005E3BD6" w14:paraId="2275F528" w14:textId="77777777">
          <w:pPr>
            <w:jc w:val="both"/>
            <w:rPr>
              <w:rFonts w:ascii="Nunito Sans" w:hAnsi="Nunito Sans" w:eastAsiaTheme="minorEastAsia"/>
              <w:sz w:val="22"/>
              <w:szCs w:val="22"/>
              <w:lang w:val="es-ES"/>
            </w:rPr>
          </w:pPr>
        </w:p>
        <w:p w:rsidRPr="00CA4194" w:rsidR="005E3BD6" w:rsidP="005E3BD6" w:rsidRDefault="005E3BD6" w14:paraId="224AB7BB" w14:textId="77777777">
          <w:pPr>
            <w:jc w:val="both"/>
            <w:rPr>
              <w:rFonts w:ascii="Nunito Sans" w:hAnsi="Nunito Sans" w:eastAsiaTheme="minorEastAsia"/>
              <w:sz w:val="22"/>
              <w:szCs w:val="22"/>
              <w:lang w:val="es-ES"/>
            </w:rPr>
          </w:pPr>
          <w:r w:rsidRPr="00CA4194">
            <w:rPr>
              <w:rFonts w:ascii="Nunito Sans" w:hAnsi="Nunito Sans" w:eastAsiaTheme="minorEastAsia"/>
              <w:sz w:val="22"/>
              <w:szCs w:val="22"/>
              <w:lang w:val="es-ES"/>
            </w:rPr>
            <w:t>Asimismo, el uso de sistemas misionales robustos y especializados, en muchos casos soportados sobre tecnologías abiertas, como ocurre en el Servicio Geológico Colombiano y el IPSE, constituye un activo importante para la gestión sectorial de información científica, técnica y operativa. Estas plataformas permiten una mayor flexibilidad tecnológica y facilitan su evolución hacia esquemas interoperables y escalables.</w:t>
          </w:r>
        </w:p>
        <w:p w:rsidRPr="00CA4194" w:rsidR="005E3BD6" w:rsidP="005E3BD6" w:rsidRDefault="005E3BD6" w14:paraId="27773D41" w14:textId="77777777">
          <w:pPr>
            <w:jc w:val="both"/>
            <w:rPr>
              <w:rFonts w:ascii="Nunito Sans" w:hAnsi="Nunito Sans" w:eastAsiaTheme="minorEastAsia"/>
              <w:sz w:val="22"/>
              <w:szCs w:val="22"/>
              <w:lang w:val="es-ES"/>
            </w:rPr>
          </w:pPr>
        </w:p>
        <w:p w:rsidRPr="00CA4194" w:rsidR="005E3BD6" w:rsidP="4E60D266" w:rsidRDefault="7DBB4A54" w14:paraId="4FEA076A" w14:textId="57325114">
          <w:pPr>
            <w:jc w:val="both"/>
          </w:pPr>
          <w:r w:rsidRPr="4E60D266">
            <w:rPr>
              <w:rFonts w:ascii="Nunito Sans" w:hAnsi="Nunito Sans" w:eastAsia="Nunito Sans" w:cs="Nunito Sans"/>
              <w:sz w:val="22"/>
              <w:szCs w:val="22"/>
              <w:lang w:val="es-ES"/>
            </w:rPr>
            <w:t>Así mismo, el uso de sistemas misionales robustos y especializados, en muchos casos soportados sobre tecnologías abiertas, como ocurre en el Servicio Geológico Colombiano y el IPSE, constituye un activo importante para la gestión sectorial de información científica, técnica y operativa. La existencia de estas plataformas evidencia capacidades institucionales consolidadas para la gestión y aprovechamiento de la información, las cuales pueden servir como punto de partida para fortalecer iniciativas sectoriales de intercambio de información, integración tecnológica y transformación digital.</w:t>
          </w:r>
        </w:p>
        <w:p w:rsidR="4E60D266" w:rsidP="4E60D266" w:rsidRDefault="4E60D266" w14:paraId="4A904EBA" w14:textId="68FC03B6">
          <w:pPr>
            <w:jc w:val="both"/>
            <w:rPr>
              <w:rFonts w:ascii="Nunito Sans" w:hAnsi="Nunito Sans" w:eastAsia="Nunito Sans" w:cs="Nunito Sans"/>
              <w:sz w:val="22"/>
              <w:szCs w:val="22"/>
              <w:lang w:val="es-ES"/>
            </w:rPr>
          </w:pPr>
        </w:p>
        <w:p w:rsidRPr="00CA4194" w:rsidR="005E3BD6" w:rsidP="005E3BD6" w:rsidRDefault="005E3BD6" w14:paraId="602B4193" w14:textId="77777777">
          <w:pPr>
            <w:jc w:val="both"/>
            <w:rPr>
              <w:rFonts w:ascii="Nunito Sans" w:hAnsi="Nunito Sans" w:eastAsiaTheme="minorEastAsia"/>
              <w:sz w:val="22"/>
              <w:szCs w:val="22"/>
              <w:lang w:val="es-ES"/>
            </w:rPr>
          </w:pPr>
          <w:r w:rsidRPr="00CA4194">
            <w:rPr>
              <w:rFonts w:ascii="Nunito Sans" w:hAnsi="Nunito Sans" w:eastAsiaTheme="minorEastAsia"/>
              <w:sz w:val="22"/>
              <w:szCs w:val="22"/>
              <w:lang w:val="es-ES"/>
            </w:rPr>
            <w:t>Finalmente, varias entidades han iniciado procesos de interoperabilidad mediante el uso de X-Road, APIs y pilotos de integración con actores estratégicos del Estado y del ecosistema sectorial. Estos avances reflejan un compromiso creciente con la modernización digital, la eficiencia operativa y la mejora continua de los servicios al ciudadano, así como con el fortalecimiento de iniciativas de datos abiertos y gobierno digital.</w:t>
          </w:r>
        </w:p>
        <w:p w:rsidRPr="00CA4194" w:rsidR="005E3BD6" w:rsidP="005E3BD6" w:rsidRDefault="005E3BD6" w14:paraId="767F9CF5" w14:textId="77777777">
          <w:pPr>
            <w:jc w:val="both"/>
            <w:rPr>
              <w:rFonts w:ascii="Nunito Sans" w:hAnsi="Nunito Sans" w:eastAsiaTheme="minorEastAsia"/>
              <w:sz w:val="22"/>
              <w:szCs w:val="22"/>
              <w:lang w:val="es-ES"/>
            </w:rPr>
          </w:pPr>
        </w:p>
        <w:p w:rsidRPr="004E6DDA" w:rsidR="005E3BD6" w:rsidRDefault="1F325162" w14:paraId="7E9D95F1" w14:textId="61C92023">
          <w:pPr>
            <w:pStyle w:val="Ttulo3"/>
            <w:keepNext/>
            <w:keepLines/>
            <w:numPr>
              <w:ilvl w:val="2"/>
              <w:numId w:val="34"/>
            </w:numPr>
            <w:spacing w:before="40" w:after="240" w:line="276" w:lineRule="auto"/>
            <w:ind w:left="0" w:firstLine="0"/>
            <w:rPr>
              <w:rFonts w:eastAsiaTheme="majorEastAsia" w:cstheme="majorBidi"/>
              <w:bCs w:val="0"/>
              <w:i/>
              <w:iCs w:val="0"/>
              <w:szCs w:val="26"/>
              <w:lang w:val="es-CO" w:eastAsia="en-US"/>
            </w:rPr>
          </w:pPr>
          <w:bookmarkStart w:name="_Toc1330165651" w:id="62"/>
          <w:bookmarkStart w:name="_Toc248264205" w:id="63"/>
          <w:bookmarkStart w:name="_Toc234234454" w:id="64"/>
          <w:r w:rsidRPr="4E60D266">
            <w:rPr>
              <w:rFonts w:eastAsiaTheme="majorEastAsia" w:cstheme="majorBidi"/>
              <w:lang w:val="es-CO" w:eastAsia="en-US"/>
            </w:rPr>
            <w:t>Rupturas Estratégicas</w:t>
          </w:r>
          <w:bookmarkEnd w:id="62"/>
          <w:bookmarkEnd w:id="63"/>
          <w:bookmarkEnd w:id="64"/>
          <w:r w:rsidRPr="4E60D266">
            <w:rPr>
              <w:rFonts w:eastAsiaTheme="majorEastAsia" w:cstheme="majorBidi"/>
              <w:lang w:val="es-CO" w:eastAsia="en-US"/>
            </w:rPr>
            <w:t xml:space="preserve"> </w:t>
          </w:r>
        </w:p>
        <w:p w:rsidR="4E60D266" w:rsidP="4E60D266" w:rsidRDefault="0C03CC31" w14:paraId="51D35A87" w14:textId="515AF48C">
          <w:pPr>
            <w:jc w:val="both"/>
            <w:rPr>
              <w:rFonts w:ascii="Nunito Sans" w:hAnsi="Nunito Sans" w:eastAsiaTheme="minorEastAsia"/>
              <w:sz w:val="22"/>
              <w:szCs w:val="22"/>
            </w:rPr>
          </w:pPr>
          <w:r w:rsidRPr="2FC2A464">
            <w:rPr>
              <w:rFonts w:ascii="Nunito Sans" w:hAnsi="Nunito Sans" w:eastAsiaTheme="minorEastAsia"/>
              <w:sz w:val="22"/>
              <w:szCs w:val="22"/>
            </w:rPr>
            <w:t xml:space="preserve">Las rupturas estratégicas del PETI sectorial representan los cambios estructurales necesarios para cerrar las brechas identificadas entre la Situación Actual (AS-IS) y la Arquitectura Objetivo (TO-BE) del Sector Minero-Energético, </w:t>
          </w:r>
          <w:r w:rsidRPr="2FC2A464">
            <w:rPr>
              <w:rFonts w:ascii="Nunito Sans" w:hAnsi="Nunito Sans" w:eastAsia="Nunito Sans" w:cs="Nunito Sans"/>
              <w:sz w:val="22"/>
              <w:szCs w:val="22"/>
            </w:rPr>
            <w:t>derivadas del diagnóstico sectorial,</w:t>
          </w:r>
          <w:r w:rsidRPr="2FC2A464">
            <w:rPr>
              <w:rFonts w:ascii="Nunito Sans" w:hAnsi="Nunito Sans" w:eastAsiaTheme="minorEastAsia"/>
              <w:sz w:val="22"/>
              <w:szCs w:val="22"/>
            </w:rPr>
            <w:t xml:space="preserve"> del análisis DOFA</w:t>
          </w:r>
          <w:r w:rsidRPr="2FC2A464">
            <w:rPr>
              <w:rStyle w:val="Refdenotaalpie"/>
              <w:rFonts w:ascii="Nunito Sans" w:hAnsi="Nunito Sans" w:eastAsiaTheme="minorEastAsia"/>
              <w:sz w:val="22"/>
              <w:szCs w:val="22"/>
            </w:rPr>
            <w:footnoteReference w:id="11"/>
          </w:r>
          <w:r w:rsidRPr="2FC2A464">
            <w:rPr>
              <w:rFonts w:ascii="Nunito Sans" w:hAnsi="Nunito Sans" w:eastAsiaTheme="minorEastAsia"/>
              <w:sz w:val="22"/>
              <w:szCs w:val="22"/>
            </w:rPr>
            <w:t>, en coherencia con los objetivos del Plan Nacional de Desarrollo y el enfoque de Transición Energética Justa; a continuación se presentan las rupturas estratégicas definidas para este dominio, las cuales orientan la evolución de sus capacidades, la priorización de iniciativas y la formulación de la hoja de ruta sectorial:</w:t>
          </w:r>
        </w:p>
        <w:p w:rsidR="005E3BD6" w:rsidP="005E3BD6" w:rsidRDefault="005E3BD6" w14:paraId="32049B0C" w14:textId="77777777">
          <w:pPr>
            <w:jc w:val="both"/>
            <w:rPr>
              <w:rFonts w:ascii="Nunito Sans" w:hAnsi="Nunito Sans" w:eastAsiaTheme="minorEastAsia"/>
              <w:sz w:val="22"/>
              <w:szCs w:val="22"/>
            </w:rPr>
          </w:pPr>
        </w:p>
        <w:p w:rsidRPr="008B176D" w:rsidR="005E3BD6" w:rsidP="005E3BD6" w:rsidRDefault="003F64DE" w14:paraId="75BCF3FF" w14:textId="19B52AC4">
          <w:pPr>
            <w:ind w:left="360" w:hanging="360"/>
            <w:jc w:val="center"/>
            <w:rPr>
              <w:rFonts w:ascii="Nunito Sans" w:hAnsi="Nunito Sans" w:cs="Calibri"/>
              <w:b/>
              <w:bCs/>
              <w:sz w:val="18"/>
              <w:szCs w:val="18"/>
            </w:rPr>
          </w:pPr>
          <w:bookmarkStart w:name="_Toc220664183" w:id="65"/>
          <w:r w:rsidRPr="003F64DE">
            <w:rPr>
              <w:rFonts w:ascii="Nunito Sans" w:hAnsi="Nunito Sans" w:cs="Calibri"/>
              <w:b/>
              <w:bCs/>
              <w:sz w:val="18"/>
              <w:szCs w:val="18"/>
            </w:rPr>
            <w:t xml:space="preserve">Tabla </w:t>
          </w:r>
          <w:r w:rsidRPr="003F64DE">
            <w:rPr>
              <w:rFonts w:ascii="Nunito Sans" w:hAnsi="Nunito Sans" w:cs="Calibri"/>
              <w:b/>
              <w:bCs/>
              <w:sz w:val="18"/>
              <w:szCs w:val="18"/>
            </w:rPr>
            <w:fldChar w:fldCharType="begin"/>
          </w:r>
          <w:r w:rsidRPr="003F64DE">
            <w:rPr>
              <w:rFonts w:ascii="Nunito Sans" w:hAnsi="Nunito Sans" w:cs="Calibri"/>
              <w:b/>
              <w:bCs/>
              <w:sz w:val="18"/>
              <w:szCs w:val="18"/>
            </w:rPr>
            <w:instrText xml:space="preserve"> SEQ Tabla \* ARABIC </w:instrText>
          </w:r>
          <w:r w:rsidRPr="003F64DE">
            <w:rPr>
              <w:rFonts w:ascii="Nunito Sans" w:hAnsi="Nunito Sans" w:cs="Calibri"/>
              <w:b/>
              <w:bCs/>
              <w:sz w:val="18"/>
              <w:szCs w:val="18"/>
            </w:rPr>
            <w:fldChar w:fldCharType="separate"/>
          </w:r>
          <w:r w:rsidR="00C57F7B">
            <w:rPr>
              <w:rFonts w:ascii="Nunito Sans" w:hAnsi="Nunito Sans" w:cs="Calibri"/>
              <w:b/>
              <w:bCs/>
              <w:noProof/>
              <w:sz w:val="18"/>
              <w:szCs w:val="18"/>
            </w:rPr>
            <w:t>12</w:t>
          </w:r>
          <w:r w:rsidRPr="003F64DE">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45299D" w:rsidR="005E3BD6">
            <w:rPr>
              <w:rFonts w:ascii="Nunito Sans" w:hAnsi="Nunito Sans" w:cs="Calibri"/>
              <w:b/>
              <w:bCs/>
              <w:sz w:val="18"/>
              <w:szCs w:val="18"/>
            </w:rPr>
            <w:t>Paradigma</w:t>
          </w:r>
          <w:r w:rsidR="005E3BD6">
            <w:rPr>
              <w:rFonts w:ascii="Nunito Sans" w:hAnsi="Nunito Sans" w:cs="Calibri"/>
              <w:b/>
              <w:bCs/>
              <w:sz w:val="18"/>
              <w:szCs w:val="18"/>
            </w:rPr>
            <w:t>s de</w:t>
          </w:r>
          <w:r w:rsidRPr="0045299D" w:rsidR="005E3BD6">
            <w:rPr>
              <w:rFonts w:ascii="Nunito Sans" w:hAnsi="Nunito Sans" w:cs="Calibri"/>
              <w:b/>
              <w:bCs/>
              <w:sz w:val="18"/>
              <w:szCs w:val="18"/>
            </w:rPr>
            <w:t xml:space="preserve"> Arquitectura</w:t>
          </w:r>
          <w:r w:rsidR="005E3BD6">
            <w:rPr>
              <w:rFonts w:ascii="Nunito Sans" w:hAnsi="Nunito Sans" w:cs="Calibri"/>
              <w:b/>
              <w:bCs/>
              <w:sz w:val="18"/>
              <w:szCs w:val="18"/>
            </w:rPr>
            <w:t xml:space="preserve"> </w:t>
          </w:r>
          <w:r w:rsidRPr="0045299D" w:rsidR="005E3BD6">
            <w:rPr>
              <w:rFonts w:ascii="Nunito Sans" w:hAnsi="Nunito Sans" w:cs="Calibri"/>
              <w:b/>
              <w:bCs/>
              <w:sz w:val="18"/>
              <w:szCs w:val="18"/>
            </w:rPr>
            <w:t>Sectorial</w:t>
          </w:r>
          <w:bookmarkEnd w:id="65"/>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551"/>
            <w:gridCol w:w="6237"/>
          </w:tblGrid>
          <w:tr w:rsidRPr="00D255BF" w:rsidR="005E3BD6" w:rsidTr="00BE42EC" w14:paraId="0AB79A2C"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D255BF" w:rsidR="005E3BD6" w:rsidP="002B17CE" w:rsidRDefault="005E3BD6" w14:paraId="6CE97944" w14:textId="77777777">
                <w:pPr>
                  <w:jc w:val="center"/>
                  <w:rPr>
                    <w:rFonts w:ascii="Nunito Sans" w:hAnsi="Nunito Sans" w:cs="Calibri" w:eastAsiaTheme="minorEastAsia"/>
                    <w:b/>
                    <w:bCs/>
                    <w:color w:val="FFFFFF" w:themeColor="background1"/>
                    <w:sz w:val="18"/>
                    <w:szCs w:val="18"/>
                  </w:rPr>
                </w:pPr>
                <w:r w:rsidRPr="00D255BF">
                  <w:rPr>
                    <w:rFonts w:ascii="Nunito Sans" w:hAnsi="Nunito Sans" w:cs="Calibri" w:eastAsiaTheme="minorEastAsia"/>
                    <w:b/>
                    <w:bCs/>
                    <w:color w:val="FFFFFF" w:themeColor="background1"/>
                    <w:sz w:val="18"/>
                    <w:szCs w:val="18"/>
                  </w:rPr>
                  <w:t>Atributo</w:t>
                </w:r>
              </w:p>
            </w:tc>
            <w:tc>
              <w:tcPr>
                <w:tcW w:w="623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D255BF" w:rsidR="005E3BD6" w:rsidP="002B17CE" w:rsidRDefault="005E3BD6" w14:paraId="53DE1AD1" w14:textId="77777777">
                <w:pPr>
                  <w:jc w:val="center"/>
                  <w:rPr>
                    <w:rFonts w:ascii="Nunito Sans" w:hAnsi="Nunito Sans" w:cs="Calibri" w:eastAsiaTheme="minorEastAsia"/>
                    <w:b/>
                    <w:bCs/>
                    <w:color w:val="FFFFFF" w:themeColor="background1"/>
                    <w:sz w:val="18"/>
                    <w:szCs w:val="18"/>
                  </w:rPr>
                </w:pPr>
                <w:r w:rsidRPr="00D255BF">
                  <w:rPr>
                    <w:rFonts w:ascii="Nunito Sans" w:hAnsi="Nunito Sans" w:cs="Calibri" w:eastAsiaTheme="minorEastAsia"/>
                    <w:b/>
                    <w:bCs/>
                    <w:color w:val="FFFFFF" w:themeColor="background1"/>
                    <w:sz w:val="18"/>
                    <w:szCs w:val="18"/>
                  </w:rPr>
                  <w:t>Descripción</w:t>
                </w:r>
              </w:p>
            </w:tc>
          </w:tr>
          <w:tr w:rsidRPr="00D255BF" w:rsidR="005E3BD6" w:rsidTr="00BE42EC" w14:paraId="194166B3"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40A24015"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Identificador</w:t>
                </w:r>
              </w:p>
            </w:tc>
            <w:tc>
              <w:tcPr>
                <w:tcW w:w="6237" w:type="dxa"/>
                <w:tcBorders>
                  <w:top w:val="single" w:color="FFFFFF" w:themeColor="background1" w:sz="4" w:space="0"/>
                  <w:left w:val="single" w:color="FFFFFF" w:themeColor="background1" w:sz="4" w:space="0"/>
                </w:tcBorders>
                <w:hideMark/>
              </w:tcPr>
              <w:p w:rsidRPr="00D255BF" w:rsidR="005E3BD6" w:rsidP="00B4771C" w:rsidRDefault="005E3BD6" w14:paraId="2B814504"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RE–01</w:t>
                </w:r>
              </w:p>
            </w:tc>
          </w:tr>
          <w:tr w:rsidRPr="00D255BF" w:rsidR="005E3BD6" w:rsidTr="00BE42EC" w14:paraId="7AE0A91E"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7D0D9600"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Nombre Corto</w:t>
                </w:r>
              </w:p>
            </w:tc>
            <w:tc>
              <w:tcPr>
                <w:tcW w:w="6237" w:type="dxa"/>
                <w:tcBorders>
                  <w:left w:val="single" w:color="FFFFFF" w:themeColor="background1" w:sz="4" w:space="0"/>
                </w:tcBorders>
                <w:hideMark/>
              </w:tcPr>
              <w:p w:rsidRPr="00D255BF" w:rsidR="005E3BD6" w:rsidP="2FC2A464" w:rsidRDefault="005E3BD6" w14:paraId="0D4067F4" w14:textId="6628B3E3">
                <w:pPr>
                  <w:rPr>
                    <w:rFonts w:ascii="Nunito Sans" w:hAnsi="Nunito Sans" w:cs="Calibri" w:eastAsiaTheme="minorEastAsia"/>
                    <w:sz w:val="18"/>
                    <w:szCs w:val="18"/>
                  </w:rPr>
                </w:pPr>
                <w:r w:rsidRPr="2FC2A464">
                  <w:rPr>
                    <w:rFonts w:ascii="Nunito Sans" w:hAnsi="Nunito Sans" w:cs="Calibri" w:eastAsiaTheme="minorEastAsia"/>
                    <w:sz w:val="18"/>
                    <w:szCs w:val="18"/>
                  </w:rPr>
                  <w:t>M</w:t>
                </w:r>
                <w:r w:rsidRPr="2FC2A464" w:rsidR="7DC8576A">
                  <w:rPr>
                    <w:rFonts w:ascii="Nunito Sans" w:hAnsi="Nunito Sans" w:cs="Calibri" w:eastAsiaTheme="minorEastAsia"/>
                    <w:sz w:val="18"/>
                    <w:szCs w:val="18"/>
                  </w:rPr>
                  <w:t>R</w:t>
                </w:r>
                <w:r w:rsidRPr="2FC2A464">
                  <w:rPr>
                    <w:rFonts w:ascii="Nunito Sans" w:hAnsi="Nunito Sans" w:cs="Calibri" w:eastAsiaTheme="minorEastAsia"/>
                    <w:sz w:val="18"/>
                    <w:szCs w:val="18"/>
                  </w:rPr>
                  <w:t>AE sectorial</w:t>
                </w:r>
              </w:p>
            </w:tc>
          </w:tr>
          <w:tr w:rsidRPr="00D255BF" w:rsidR="005E3BD6" w:rsidTr="00BE42EC" w14:paraId="7B46C6B4"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17C4EDEB"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Descripción Del Paradigma</w:t>
                </w:r>
              </w:p>
            </w:tc>
            <w:tc>
              <w:tcPr>
                <w:tcW w:w="6237" w:type="dxa"/>
                <w:tcBorders>
                  <w:left w:val="single" w:color="FFFFFF" w:themeColor="background1" w:sz="4" w:space="0"/>
                </w:tcBorders>
                <w:hideMark/>
              </w:tcPr>
              <w:p w:rsidRPr="00D255BF" w:rsidR="005E3BD6" w:rsidP="00B4771C" w:rsidRDefault="005E3BD6" w14:paraId="78E81A52"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Arquitectura tecnológica aislada por entidad y sin lineamientos comunes.</w:t>
                </w:r>
              </w:p>
            </w:tc>
          </w:tr>
          <w:tr w:rsidRPr="00D255BF" w:rsidR="005E3BD6" w:rsidTr="00BE42EC" w14:paraId="0FF7D836"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6541DE99"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Efectos Directos</w:t>
                </w:r>
              </w:p>
            </w:tc>
            <w:tc>
              <w:tcPr>
                <w:tcW w:w="6237" w:type="dxa"/>
                <w:tcBorders>
                  <w:left w:val="single" w:color="FFFFFF" w:themeColor="background1" w:sz="4" w:space="0"/>
                </w:tcBorders>
                <w:hideMark/>
              </w:tcPr>
              <w:p w:rsidRPr="00D255BF" w:rsidR="005E3BD6" w:rsidP="00B4771C" w:rsidRDefault="005E3BD6" w14:paraId="2B05937C"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Duplicidad, inconsistencia y heterogeneidad tecnológica.</w:t>
                </w:r>
              </w:p>
            </w:tc>
          </w:tr>
          <w:tr w:rsidRPr="00D255BF" w:rsidR="005E3BD6" w:rsidTr="00BE42EC" w14:paraId="19747752"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322E5321"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lastRenderedPageBreak/>
                  <w:t>Descripción De La Ruptura</w:t>
                </w:r>
              </w:p>
            </w:tc>
            <w:tc>
              <w:tcPr>
                <w:tcW w:w="6237" w:type="dxa"/>
                <w:tcBorders>
                  <w:left w:val="single" w:color="FFFFFF" w:themeColor="background1" w:sz="4" w:space="0"/>
                </w:tcBorders>
                <w:hideMark/>
              </w:tcPr>
              <w:p w:rsidRPr="00D255BF" w:rsidR="005E3BD6" w:rsidP="2FC2A464" w:rsidRDefault="005E3BD6" w14:paraId="3637E5B7" w14:textId="07EA5612">
                <w:pPr>
                  <w:rPr>
                    <w:rFonts w:ascii="Nunito Sans" w:hAnsi="Nunito Sans" w:cs="Calibri" w:eastAsiaTheme="minorEastAsia"/>
                    <w:sz w:val="18"/>
                    <w:szCs w:val="18"/>
                  </w:rPr>
                </w:pPr>
                <w:r w:rsidRPr="2FC2A464">
                  <w:rPr>
                    <w:rFonts w:ascii="Nunito Sans" w:hAnsi="Nunito Sans" w:cs="Calibri" w:eastAsiaTheme="minorEastAsia"/>
                    <w:sz w:val="18"/>
                    <w:szCs w:val="18"/>
                  </w:rPr>
                  <w:t>Fortalecer el M</w:t>
                </w:r>
                <w:r w:rsidRPr="2FC2A464" w:rsidR="4FC7C004">
                  <w:rPr>
                    <w:rFonts w:ascii="Nunito Sans" w:hAnsi="Nunito Sans" w:cs="Calibri" w:eastAsiaTheme="minorEastAsia"/>
                    <w:sz w:val="18"/>
                    <w:szCs w:val="18"/>
                  </w:rPr>
                  <w:t>R</w:t>
                </w:r>
                <w:r w:rsidRPr="2FC2A464">
                  <w:rPr>
                    <w:rFonts w:ascii="Nunito Sans" w:hAnsi="Nunito Sans" w:cs="Calibri" w:eastAsiaTheme="minorEastAsia"/>
                    <w:sz w:val="18"/>
                    <w:szCs w:val="18"/>
                  </w:rPr>
                  <w:t>AE como marco común para diseño y operación tecnológica sectorial.</w:t>
                </w:r>
              </w:p>
            </w:tc>
          </w:tr>
          <w:tr w:rsidRPr="00D255BF" w:rsidR="005E3BD6" w:rsidTr="00BE42EC" w14:paraId="0341A035"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24125677"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Cómo Romper El Paradigma</w:t>
                </w:r>
              </w:p>
            </w:tc>
            <w:tc>
              <w:tcPr>
                <w:tcW w:w="6237" w:type="dxa"/>
                <w:tcBorders>
                  <w:left w:val="single" w:color="FFFFFF" w:themeColor="background1" w:sz="4" w:space="0"/>
                </w:tcBorders>
                <w:hideMark/>
              </w:tcPr>
              <w:p w:rsidRPr="00D255BF" w:rsidR="005E3BD6" w:rsidP="00B4771C" w:rsidRDefault="005E3BD6" w14:paraId="6E8BC641"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Principios de arquitectura, patrones, comité AE, revisiones y aprobación arquitectural.</w:t>
                </w:r>
              </w:p>
            </w:tc>
          </w:tr>
          <w:tr w:rsidRPr="00D255BF" w:rsidR="005E3BD6" w:rsidTr="00BE42EC" w14:paraId="1EBF6640"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07ABB6A6"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Impacto Esperado</w:t>
                </w:r>
              </w:p>
            </w:tc>
            <w:tc>
              <w:tcPr>
                <w:tcW w:w="6237" w:type="dxa"/>
                <w:tcBorders>
                  <w:left w:val="single" w:color="FFFFFF" w:themeColor="background1" w:sz="4" w:space="0"/>
                </w:tcBorders>
                <w:hideMark/>
              </w:tcPr>
              <w:p w:rsidRPr="00D255BF" w:rsidR="005E3BD6" w:rsidP="00B4771C" w:rsidRDefault="005E3BD6" w14:paraId="618AA3EB"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Coherencia estructural del ecosistema TI sectorial.</w:t>
                </w:r>
              </w:p>
            </w:tc>
          </w:tr>
          <w:tr w:rsidRPr="00D255BF" w:rsidR="005E3BD6" w:rsidTr="00BE42EC" w14:paraId="1D9B843B"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2FC2616B"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Grupos De Interés</w:t>
                </w:r>
              </w:p>
            </w:tc>
            <w:tc>
              <w:tcPr>
                <w:tcW w:w="6237" w:type="dxa"/>
                <w:tcBorders>
                  <w:left w:val="single" w:color="FFFFFF" w:themeColor="background1" w:sz="4" w:space="0"/>
                </w:tcBorders>
                <w:hideMark/>
              </w:tcPr>
              <w:p w:rsidRPr="00D255BF" w:rsidR="005E3BD6" w:rsidP="00B4771C" w:rsidRDefault="005E3BD6" w14:paraId="4F201A3D"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Ciudadanos, empresas, academia, entidades sectoriales.</w:t>
                </w:r>
              </w:p>
            </w:tc>
          </w:tr>
          <w:tr w:rsidRPr="00D255BF" w:rsidR="005E3BD6" w:rsidTr="00BE42EC" w14:paraId="2433026D"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722C9EC0"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Dominio MRAE</w:t>
                </w:r>
              </w:p>
            </w:tc>
            <w:tc>
              <w:tcPr>
                <w:tcW w:w="6237" w:type="dxa"/>
                <w:tcBorders>
                  <w:left w:val="single" w:color="FFFFFF" w:themeColor="background1" w:sz="4" w:space="0"/>
                </w:tcBorders>
                <w:hideMark/>
              </w:tcPr>
              <w:p w:rsidRPr="00D255BF" w:rsidR="005E3BD6" w:rsidP="00B4771C" w:rsidRDefault="005E3BD6" w14:paraId="34D32B5B"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 xml:space="preserve">Arquitectura Sectorial </w:t>
                </w:r>
              </w:p>
            </w:tc>
          </w:tr>
          <w:tr w:rsidRPr="00D255BF" w:rsidR="005E3BD6" w:rsidTr="00BE42EC" w14:paraId="5E2FF226" w14:textId="77777777">
            <w:trPr>
              <w:jc w:val="center"/>
            </w:trPr>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hideMark/>
              </w:tcPr>
              <w:p w:rsidRPr="002B17CE" w:rsidR="005E3BD6" w:rsidP="00B4771C" w:rsidRDefault="005E3BD6" w14:paraId="53F0C432"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Clasificación De Impacto</w:t>
                </w:r>
              </w:p>
            </w:tc>
            <w:tc>
              <w:tcPr>
                <w:tcW w:w="6237" w:type="dxa"/>
                <w:tcBorders>
                  <w:left w:val="single" w:color="FFFFFF" w:themeColor="background1" w:sz="4" w:space="0"/>
                </w:tcBorders>
                <w:hideMark/>
              </w:tcPr>
              <w:p w:rsidRPr="00D255BF" w:rsidR="005E3BD6" w:rsidP="00B4771C" w:rsidRDefault="005E3BD6" w14:paraId="56A39FA2"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Alto</w:t>
                </w:r>
              </w:p>
            </w:tc>
          </w:tr>
        </w:tbl>
        <w:p w:rsidRPr="008B176D" w:rsidR="005E3BD6" w:rsidP="005E3BD6" w:rsidRDefault="005E3BD6" w14:paraId="70699603" w14:textId="77777777">
          <w:pPr>
            <w:rPr>
              <w:rFonts w:ascii="Nunito Sans" w:hAnsi="Nunito Sans" w:cs="Calibri"/>
              <w:b/>
              <w:bCs/>
              <w:sz w:val="18"/>
              <w:szCs w:val="18"/>
            </w:rPr>
          </w:pPr>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547"/>
            <w:gridCol w:w="6214"/>
          </w:tblGrid>
          <w:tr w:rsidRPr="00D255BF" w:rsidR="005E3BD6" w:rsidTr="00BE42EC" w14:paraId="2FF18729"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D255BF" w:rsidR="005E3BD6" w:rsidP="002B17CE" w:rsidRDefault="005E3BD6" w14:paraId="1DACD4BF" w14:textId="77777777">
                <w:pPr>
                  <w:jc w:val="center"/>
                  <w:rPr>
                    <w:rFonts w:ascii="Nunito Sans" w:hAnsi="Nunito Sans" w:cs="Calibri" w:eastAsiaTheme="minorEastAsia"/>
                    <w:b/>
                    <w:bCs/>
                    <w:color w:val="FFFFFF" w:themeColor="background1"/>
                    <w:sz w:val="18"/>
                    <w:szCs w:val="18"/>
                  </w:rPr>
                </w:pPr>
                <w:r w:rsidRPr="00D255BF">
                  <w:rPr>
                    <w:rFonts w:ascii="Nunito Sans" w:hAnsi="Nunito Sans" w:cs="Calibri" w:eastAsiaTheme="minorEastAsia"/>
                    <w:b/>
                    <w:bCs/>
                    <w:color w:val="FFFFFF" w:themeColor="background1"/>
                    <w:sz w:val="18"/>
                    <w:szCs w:val="18"/>
                  </w:rPr>
                  <w:t>Atributo</w:t>
                </w:r>
              </w:p>
            </w:tc>
            <w:tc>
              <w:tcPr>
                <w:tcW w:w="621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D255BF" w:rsidR="005E3BD6" w:rsidP="002B17CE" w:rsidRDefault="005E3BD6" w14:paraId="0A6A6D58" w14:textId="77777777">
                <w:pPr>
                  <w:jc w:val="center"/>
                  <w:rPr>
                    <w:rFonts w:ascii="Nunito Sans" w:hAnsi="Nunito Sans" w:cs="Calibri" w:eastAsiaTheme="minorEastAsia"/>
                    <w:b/>
                    <w:bCs/>
                    <w:color w:val="FFFFFF" w:themeColor="background1"/>
                    <w:sz w:val="18"/>
                    <w:szCs w:val="18"/>
                  </w:rPr>
                </w:pPr>
                <w:r w:rsidRPr="00D255BF">
                  <w:rPr>
                    <w:rFonts w:ascii="Nunito Sans" w:hAnsi="Nunito Sans" w:cs="Calibri" w:eastAsiaTheme="minorEastAsia"/>
                    <w:b/>
                    <w:bCs/>
                    <w:color w:val="FFFFFF" w:themeColor="background1"/>
                    <w:sz w:val="18"/>
                    <w:szCs w:val="18"/>
                  </w:rPr>
                  <w:t>Descripción</w:t>
                </w:r>
              </w:p>
            </w:tc>
          </w:tr>
          <w:tr w:rsidRPr="00D255BF" w:rsidR="005E3BD6" w:rsidTr="00BE42EC" w14:paraId="30B486D3"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5FDB0097"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Identificador</w:t>
                </w:r>
              </w:p>
            </w:tc>
            <w:tc>
              <w:tcPr>
                <w:tcW w:w="6214" w:type="dxa"/>
                <w:tcBorders>
                  <w:top w:val="single" w:color="FFFFFF" w:themeColor="background1" w:sz="4" w:space="0"/>
                  <w:left w:val="single" w:color="FFFFFF" w:themeColor="background1" w:sz="4" w:space="0"/>
                </w:tcBorders>
                <w:hideMark/>
              </w:tcPr>
              <w:p w:rsidRPr="00D255BF" w:rsidR="005E3BD6" w:rsidP="00B4771C" w:rsidRDefault="005E3BD6" w14:paraId="6FB292BE"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RE–02</w:t>
                </w:r>
              </w:p>
            </w:tc>
          </w:tr>
          <w:tr w:rsidRPr="00D255BF" w:rsidR="005E3BD6" w:rsidTr="00BE42EC" w14:paraId="3D9C8F5B"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18A5139D"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Nombre Corto</w:t>
                </w:r>
              </w:p>
            </w:tc>
            <w:tc>
              <w:tcPr>
                <w:tcW w:w="6214" w:type="dxa"/>
                <w:tcBorders>
                  <w:left w:val="single" w:color="FFFFFF" w:themeColor="background1" w:sz="4" w:space="0"/>
                </w:tcBorders>
                <w:hideMark/>
              </w:tcPr>
              <w:p w:rsidRPr="00D255BF" w:rsidR="005E3BD6" w:rsidP="00B4771C" w:rsidRDefault="005E3BD6" w14:paraId="0FEE220A"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Gestión del conocimiento</w:t>
                </w:r>
              </w:p>
            </w:tc>
          </w:tr>
          <w:tr w:rsidRPr="00D255BF" w:rsidR="005E3BD6" w:rsidTr="00BE42EC" w14:paraId="597F433B"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3A3478F7"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Descripción del Paradigma</w:t>
                </w:r>
              </w:p>
            </w:tc>
            <w:tc>
              <w:tcPr>
                <w:tcW w:w="6214" w:type="dxa"/>
                <w:tcBorders>
                  <w:left w:val="single" w:color="FFFFFF" w:themeColor="background1" w:sz="4" w:space="0"/>
                </w:tcBorders>
                <w:hideMark/>
              </w:tcPr>
              <w:p w:rsidRPr="00D255BF" w:rsidR="005E3BD6" w:rsidP="00B4771C" w:rsidRDefault="005E3BD6" w14:paraId="0A116C95"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Conocimiento técnico aislado y no transferido entre entidades.</w:t>
                </w:r>
              </w:p>
            </w:tc>
          </w:tr>
          <w:tr w:rsidRPr="00D255BF" w:rsidR="005E3BD6" w:rsidTr="00BE42EC" w14:paraId="6EBE149D"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024303A2"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Efectos Directos</w:t>
                </w:r>
              </w:p>
            </w:tc>
            <w:tc>
              <w:tcPr>
                <w:tcW w:w="6214" w:type="dxa"/>
                <w:tcBorders>
                  <w:left w:val="single" w:color="FFFFFF" w:themeColor="background1" w:sz="4" w:space="0"/>
                </w:tcBorders>
                <w:hideMark/>
              </w:tcPr>
              <w:p w:rsidRPr="00D255BF" w:rsidR="005E3BD6" w:rsidP="00B4771C" w:rsidRDefault="005E3BD6" w14:paraId="5FEEFF1E"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Dependencia de personas clave y pérdida de conocimiento crítico.</w:t>
                </w:r>
              </w:p>
            </w:tc>
          </w:tr>
          <w:tr w:rsidRPr="00D255BF" w:rsidR="005E3BD6" w:rsidTr="00BE42EC" w14:paraId="4AC1ADEA"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0D29BF67"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Descripción de la Ruptura</w:t>
                </w:r>
              </w:p>
            </w:tc>
            <w:tc>
              <w:tcPr>
                <w:tcW w:w="6214" w:type="dxa"/>
                <w:tcBorders>
                  <w:left w:val="single" w:color="FFFFFF" w:themeColor="background1" w:sz="4" w:space="0"/>
                </w:tcBorders>
                <w:hideMark/>
              </w:tcPr>
              <w:p w:rsidRPr="00D255BF" w:rsidR="005E3BD6" w:rsidP="00B4771C" w:rsidRDefault="005E3BD6" w14:paraId="15A08958"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Desarrollar un modelo sectorial de gestión de conocimiento e innovación.</w:t>
                </w:r>
              </w:p>
            </w:tc>
          </w:tr>
          <w:tr w:rsidRPr="00D255BF" w:rsidR="005E3BD6" w:rsidTr="00BE42EC" w14:paraId="364774A2"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0339C5A6"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Cómo romper el Paradigma</w:t>
                </w:r>
              </w:p>
            </w:tc>
            <w:tc>
              <w:tcPr>
                <w:tcW w:w="6214" w:type="dxa"/>
                <w:tcBorders>
                  <w:left w:val="single" w:color="FFFFFF" w:themeColor="background1" w:sz="4" w:space="0"/>
                </w:tcBorders>
                <w:hideMark/>
              </w:tcPr>
              <w:p w:rsidRPr="00D255BF" w:rsidR="005E3BD6" w:rsidP="00B4771C" w:rsidRDefault="005E3BD6" w14:paraId="5A602A66"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Repositorios, documentación, comunidades de práctica, sistematización.</w:t>
                </w:r>
              </w:p>
            </w:tc>
          </w:tr>
          <w:tr w:rsidRPr="00D255BF" w:rsidR="005E3BD6" w:rsidTr="00BE42EC" w14:paraId="042EE33E"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6E5232B5"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Impacto Esperado</w:t>
                </w:r>
              </w:p>
            </w:tc>
            <w:tc>
              <w:tcPr>
                <w:tcW w:w="6214" w:type="dxa"/>
                <w:tcBorders>
                  <w:left w:val="single" w:color="FFFFFF" w:themeColor="background1" w:sz="4" w:space="0"/>
                </w:tcBorders>
                <w:hideMark/>
              </w:tcPr>
              <w:p w:rsidRPr="00D255BF" w:rsidR="005E3BD6" w:rsidP="00B4771C" w:rsidRDefault="005E3BD6" w14:paraId="62702B02"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Sector que aprende colectivamente y mejora continuamente.</w:t>
                </w:r>
              </w:p>
            </w:tc>
          </w:tr>
          <w:tr w:rsidRPr="00D255BF" w:rsidR="005E3BD6" w:rsidTr="00BE42EC" w14:paraId="31FF6FBB"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15D06A23"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Grupos de Interés</w:t>
                </w:r>
              </w:p>
            </w:tc>
            <w:tc>
              <w:tcPr>
                <w:tcW w:w="6214" w:type="dxa"/>
                <w:tcBorders>
                  <w:left w:val="single" w:color="FFFFFF" w:themeColor="background1" w:sz="4" w:space="0"/>
                </w:tcBorders>
                <w:hideMark/>
              </w:tcPr>
              <w:p w:rsidRPr="00D255BF" w:rsidR="005E3BD6" w:rsidP="00B4771C" w:rsidRDefault="005E3BD6" w14:paraId="7784856C"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Ciudadanos, empresas, academia, entidades sectoriales.</w:t>
                </w:r>
              </w:p>
            </w:tc>
          </w:tr>
          <w:tr w:rsidRPr="00D255BF" w:rsidR="005E3BD6" w:rsidTr="00BE42EC" w14:paraId="29586093"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2F6E1733"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Dominio MRAE</w:t>
                </w:r>
              </w:p>
            </w:tc>
            <w:tc>
              <w:tcPr>
                <w:tcW w:w="6214" w:type="dxa"/>
                <w:tcBorders>
                  <w:left w:val="single" w:color="FFFFFF" w:themeColor="background1" w:sz="4" w:space="0"/>
                </w:tcBorders>
                <w:hideMark/>
              </w:tcPr>
              <w:p w:rsidRPr="00D255BF" w:rsidR="005E3BD6" w:rsidP="00B4771C" w:rsidRDefault="005E3BD6" w14:paraId="2D7CD732"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Arquitectura Institucional</w:t>
                </w:r>
              </w:p>
            </w:tc>
          </w:tr>
          <w:tr w:rsidRPr="00D255BF" w:rsidR="005E3BD6" w:rsidTr="00BE42EC" w14:paraId="693E30BD" w14:textId="77777777">
            <w:trPr>
              <w:jc w:val="center"/>
            </w:trPr>
            <w:tc>
              <w:tcPr>
                <w:tcW w:w="254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2B17CE" w:rsidR="005E3BD6" w:rsidP="00B4771C" w:rsidRDefault="005E3BD6" w14:paraId="3E7D9EDA" w14:textId="77777777">
                <w:pPr>
                  <w:rPr>
                    <w:rFonts w:ascii="Nunito Sans" w:hAnsi="Nunito Sans" w:cs="Calibri" w:eastAsiaTheme="minorEastAsia"/>
                    <w:color w:val="FFFFFF" w:themeColor="background1"/>
                    <w:sz w:val="18"/>
                    <w:szCs w:val="18"/>
                  </w:rPr>
                </w:pPr>
                <w:r w:rsidRPr="002B17CE">
                  <w:rPr>
                    <w:rFonts w:ascii="Nunito Sans" w:hAnsi="Nunito Sans" w:cs="Calibri" w:eastAsiaTheme="minorEastAsia"/>
                    <w:color w:val="FFFFFF" w:themeColor="background1"/>
                    <w:sz w:val="18"/>
                    <w:szCs w:val="18"/>
                  </w:rPr>
                  <w:t>Clasificación de Impacto</w:t>
                </w:r>
              </w:p>
            </w:tc>
            <w:tc>
              <w:tcPr>
                <w:tcW w:w="6214" w:type="dxa"/>
                <w:tcBorders>
                  <w:left w:val="single" w:color="FFFFFF" w:themeColor="background1" w:sz="4" w:space="0"/>
                </w:tcBorders>
                <w:hideMark/>
              </w:tcPr>
              <w:p w:rsidRPr="00D255BF" w:rsidR="005E3BD6" w:rsidP="00B4771C" w:rsidRDefault="005E3BD6" w14:paraId="7443D48E" w14:textId="77777777">
                <w:pPr>
                  <w:rPr>
                    <w:rFonts w:ascii="Nunito Sans" w:hAnsi="Nunito Sans" w:cs="Calibri" w:eastAsiaTheme="minorEastAsia"/>
                    <w:sz w:val="18"/>
                    <w:szCs w:val="18"/>
                  </w:rPr>
                </w:pPr>
                <w:r w:rsidRPr="00D255BF">
                  <w:rPr>
                    <w:rFonts w:ascii="Nunito Sans" w:hAnsi="Nunito Sans" w:cs="Calibri" w:eastAsiaTheme="minorEastAsia"/>
                    <w:sz w:val="18"/>
                    <w:szCs w:val="18"/>
                  </w:rPr>
                  <w:t>Alto</w:t>
                </w:r>
              </w:p>
            </w:tc>
          </w:tr>
        </w:tbl>
        <w:p w:rsidRPr="00EF5DE4" w:rsidR="005E3BD6" w:rsidP="005E3BD6" w:rsidRDefault="005E3BD6" w14:paraId="11E0A4E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72229DAF" w14:textId="77777777">
          <w:pPr>
            <w:rPr>
              <w:rFonts w:ascii="Nunito Sans" w:hAnsi="Nunito Sans" w:cs="Calibri" w:eastAsiaTheme="minorEastAsia"/>
              <w:sz w:val="22"/>
              <w:szCs w:val="22"/>
              <w:lang w:val="es-ES"/>
            </w:rPr>
          </w:pPr>
        </w:p>
        <w:p w:rsidRPr="009C2FC3" w:rsidR="005E3BD6" w:rsidRDefault="005E3BD6" w14:paraId="35084121" w14:textId="2D1124EA">
          <w:pPr>
            <w:pStyle w:val="Ttulo2"/>
            <w:numPr>
              <w:ilvl w:val="1"/>
              <w:numId w:val="34"/>
            </w:numPr>
            <w:ind w:left="851" w:hanging="491"/>
            <w:rPr>
              <w:i/>
            </w:rPr>
          </w:pPr>
          <w:bookmarkStart w:name="_Hlk213963507" w:id="66"/>
          <w:bookmarkStart w:name="_Toc2064700009" w:id="67"/>
          <w:bookmarkStart w:name="_Toc234234455" w:id="68"/>
          <w:r w:rsidRPr="009C2FC3">
            <w:t xml:space="preserve">Situación Actual (AS-IS) Arquitectura </w:t>
          </w:r>
          <w:r w:rsidR="000F220A">
            <w:t>d</w:t>
          </w:r>
          <w:r w:rsidRPr="009C2FC3" w:rsidR="009C2FC3">
            <w:t xml:space="preserve">e Datos </w:t>
          </w:r>
          <w:r w:rsidR="000F220A">
            <w:t>e</w:t>
          </w:r>
          <w:r w:rsidRPr="009C2FC3" w:rsidR="009C2FC3">
            <w:t xml:space="preserve"> </w:t>
          </w:r>
          <w:r w:rsidRPr="009C2FC3">
            <w:t>Información</w:t>
          </w:r>
          <w:bookmarkEnd w:id="66"/>
          <w:r w:rsidRPr="009C2FC3">
            <w:t xml:space="preserve"> </w:t>
          </w:r>
          <w:r w:rsidRPr="009C2FC3" w:rsidR="009C2FC3">
            <w:t>Sectorial</w:t>
          </w:r>
          <w:bookmarkEnd w:id="67"/>
          <w:bookmarkEnd w:id="68"/>
          <w:r w:rsidRPr="009C2FC3" w:rsidR="009C2FC3">
            <w:t xml:space="preserve"> </w:t>
          </w:r>
        </w:p>
        <w:p w:rsidRPr="00CA4194" w:rsidR="005E3BD6" w:rsidP="005E3BD6" w:rsidRDefault="005E3BD6" w14:paraId="18B760E3" w14:textId="77777777">
          <w:pPr>
            <w:spacing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El sector minero-energético cuenta con un ecosistema de datos heterogéneo compuesto por información estadística, geoespacial, documental y transaccional administrada por el Ministerio de Minas y Energía (MME) y sus entidades adscritas (ANM, UPME, ANH, SGC, CREG, FENOGE e IPSE). Actualmente, la arquitectura de información se caracteriza por repositorios y plataformas tecnológicas que funcionan de manera independiente, con distintos niveles de madurez en gobernanza, catalogación, interoperabilidad y aprovechamiento analítico.</w:t>
          </w:r>
        </w:p>
        <w:p w:rsidRPr="00CA4194" w:rsidR="005E3BD6" w:rsidP="005E3BD6" w:rsidRDefault="005E3BD6" w14:paraId="4E0CAC65"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Aunque existen avances importantes en cuanto al aseguramiento de la información, herramientas tecnológicas y seguridad digital, principalmente en MME, ANM, CREG y SGC, aún persisten brechas importantes en la normalización de modelos de datos, la interoperabilidad sectorial y el talento humano especializado. Estos factores limitan la integración fluida entre sistemas, el intercambio oportuno de información y la consolidación de una visión sectorial unificada para soporte a la toma de decisiones.</w:t>
          </w:r>
        </w:p>
        <w:p w:rsidRPr="00CA4194" w:rsidR="005E3BD6" w:rsidP="005E3BD6" w:rsidRDefault="005E3BD6" w14:paraId="573E86EA"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 xml:space="preserve">Los flujos de información actuales se soportan en servicios internos, sistemas misionales específicos, reportes periódicos, canales documentales y datos geoespaciales, pero la ausencia de un marco sectorial unificado genera duplicidades y dificulta la analítica transversal. En IT, cada </w:t>
          </w:r>
          <w:r w:rsidRPr="00CA4194">
            <w:rPr>
              <w:rFonts w:ascii="Nunito Sans" w:hAnsi="Nunito Sans" w:eastAsia="Arial" w:cs="Calibri"/>
              <w:sz w:val="22"/>
              <w:szCs w:val="22"/>
              <w:lang w:val="es-ES"/>
            </w:rPr>
            <w:lastRenderedPageBreak/>
            <w:t>entidad ha desarrollado sus propias soluciones, lo que fortalece la operación interna, pero fragmenta la arquitectura de información del sector.</w:t>
          </w:r>
        </w:p>
        <w:p w:rsidR="002F36E3" w:rsidP="002F36E3" w:rsidRDefault="005E3BD6" w14:paraId="313F5ABA" w14:textId="77777777">
          <w:pPr>
            <w:spacing w:before="240"/>
            <w:jc w:val="both"/>
            <w:rPr>
              <w:rFonts w:ascii="Nunito Sans" w:hAnsi="Nunito Sans"/>
              <w:sz w:val="22"/>
              <w:szCs w:val="22"/>
              <w:lang w:val="es-ES"/>
            </w:rPr>
          </w:pPr>
          <w:r w:rsidRPr="0047014E">
            <w:rPr>
              <w:rFonts w:ascii="Nunito Sans" w:hAnsi="Nunito Sans" w:eastAsia="Arial" w:cs="Calibri"/>
              <w:sz w:val="22"/>
              <w:szCs w:val="22"/>
              <w:lang w:val="es-ES"/>
            </w:rPr>
            <w:t xml:space="preserve">La </w:t>
          </w:r>
          <w:r w:rsidRPr="0047014E">
            <w:rPr>
              <w:rFonts w:ascii="Nunito Sans" w:hAnsi="Nunito Sans"/>
              <w:sz w:val="22"/>
              <w:szCs w:val="22"/>
              <w:lang w:val="es-ES"/>
            </w:rPr>
            <w:t>situación actual evidencia la necesidad de consolidar una arquitectura de datos sectorial, con lineamientos, modelos, contratos de datos, estándares de interoperabilidad y un gobierno central coordinado por el MME y la UPME.</w:t>
          </w:r>
        </w:p>
        <w:p w:rsidRPr="002F36E3" w:rsidR="005E3BD6" w:rsidP="002F36E3" w:rsidRDefault="005E3BD6" w14:paraId="14CAB240" w14:textId="4A8D7E9E">
          <w:pPr>
            <w:jc w:val="both"/>
            <w:rPr>
              <w:rFonts w:ascii="Nunito Sans" w:hAnsi="Nunito Sans"/>
              <w:sz w:val="22"/>
              <w:szCs w:val="22"/>
              <w:lang w:val="es-ES"/>
            </w:rPr>
          </w:pPr>
          <w:r>
            <w:br/>
          </w:r>
          <w:r w:rsidRPr="2FC2A464" w:rsidR="4F72BE49">
            <w:rPr>
              <w:rFonts w:ascii="Nunito Sans" w:hAnsi="Nunito Sans" w:eastAsia="Nunito Sans" w:cs="Nunito Sans"/>
              <w:sz w:val="22"/>
              <w:szCs w:val="22"/>
              <w:lang w:val="es-ES"/>
            </w:rPr>
            <w:t xml:space="preserve">En este contexto, la aplicación INTEGRAME constituye un componente estratégico para fortalecer la integración de la información del sector, al proporcionar un mecanismo estandarizado para el intercambio de datos entre el Ministerio de Minas y Energía y sus entidades adscritas. Su implementación facilita la interoperabilidad entre sistemas de información, reduce la duplicidad en los procesos de captura y transferencia de datos, mejora la oportunidad y consistencia de la información compartida y contribuye a la consolidación de una visión sectorial </w:t>
          </w:r>
          <w:r w:rsidRPr="2FC2A464" w:rsidR="4A6BD56B">
            <w:rPr>
              <w:rFonts w:ascii="Nunito Sans" w:hAnsi="Nunito Sans" w:eastAsia="Nunito Sans" w:cs="Nunito Sans"/>
              <w:sz w:val="22"/>
              <w:szCs w:val="22"/>
              <w:lang w:val="es-ES"/>
            </w:rPr>
            <w:t>unificada. INTÉGRAME</w:t>
          </w:r>
          <w:r w:rsidRPr="2FC2A464" w:rsidR="4F72BE49">
            <w:rPr>
              <w:rFonts w:ascii="Nunito Sans" w:hAnsi="Nunito Sans" w:eastAsia="Nunito Sans" w:cs="Nunito Sans"/>
              <w:sz w:val="22"/>
              <w:szCs w:val="22"/>
              <w:lang w:val="es-ES"/>
            </w:rPr>
            <w:t xml:space="preserve"> sienta las bases para la adopción de modelos de intercambio, contratos de datos y servicios interoperables que fortalecen la gobernanza de datos y soportan la analítica, la formulación de políticas públicas y la toma de decisiones basada en información confiable y oportuna.</w:t>
          </w:r>
        </w:p>
        <w:p w:rsidR="2FC2A464" w:rsidP="2FC2A464" w:rsidRDefault="2FC2A464" w14:paraId="7808DAAD" w14:textId="4E9ED2B4">
          <w:pPr>
            <w:jc w:val="both"/>
            <w:rPr>
              <w:rFonts w:ascii="Nunito Sans" w:hAnsi="Nunito Sans" w:eastAsia="Nunito Sans" w:cs="Nunito Sans"/>
              <w:sz w:val="22"/>
              <w:szCs w:val="22"/>
              <w:lang w:val="es-ES"/>
            </w:rPr>
          </w:pPr>
        </w:p>
        <w:p w:rsidRPr="00BA7EB3" w:rsidR="00BA7EB3" w:rsidRDefault="00BA7EB3" w14:paraId="73CE00FD" w14:textId="77777777">
          <w:pPr>
            <w:pStyle w:val="Prrafodelista"/>
            <w:numPr>
              <w:ilvl w:val="0"/>
              <w:numId w:val="34"/>
            </w:numPr>
            <w:contextualSpacing w:val="0"/>
            <w:jc w:val="both"/>
            <w:outlineLvl w:val="2"/>
            <w:rPr>
              <w:rFonts w:ascii="Nunito Sans" w:hAnsi="Nunito Sans" w:eastAsia="Nunito Sans" w:cs="Nunito Sans"/>
              <w:b/>
              <w:bCs/>
              <w:i/>
              <w:iCs/>
              <w:vanish/>
              <w:color w:val="E1AF3B"/>
              <w:lang w:val="es-ES"/>
            </w:rPr>
          </w:pPr>
          <w:bookmarkStart w:name="_Toc220362559" w:id="69"/>
          <w:bookmarkStart w:name="_Toc220406847" w:id="70"/>
          <w:bookmarkStart w:name="_Toc220407467" w:id="71"/>
          <w:bookmarkStart w:name="_Toc220407694" w:id="72"/>
          <w:bookmarkStart w:name="_Toc220407963" w:id="73"/>
          <w:bookmarkStart w:name="_Toc220614448" w:id="74"/>
          <w:bookmarkStart w:name="_Toc220664274" w:id="75"/>
          <w:bookmarkStart w:name="_Toc234231826" w:id="76"/>
          <w:bookmarkStart w:name="_Toc234232068" w:id="77"/>
          <w:bookmarkStart w:name="_Toc234232189" w:id="78"/>
          <w:bookmarkStart w:name="_Toc234232310" w:id="79"/>
          <w:bookmarkStart w:name="_Toc234233361" w:id="80"/>
          <w:bookmarkStart w:name="_Toc234233482" w:id="81"/>
          <w:bookmarkStart w:name="_Toc234233604" w:id="82"/>
          <w:bookmarkStart w:name="_Toc234233726" w:id="83"/>
          <w:bookmarkStart w:name="_Toc234233848" w:id="84"/>
          <w:bookmarkStart w:name="_Toc234233969" w:id="85"/>
          <w:bookmarkStart w:name="_Toc234234092" w:id="86"/>
          <w:bookmarkStart w:name="_Toc234234214" w:id="87"/>
          <w:bookmarkStart w:name="_Toc234234335" w:id="88"/>
          <w:bookmarkStart w:name="_Toc234234456" w:id="89"/>
          <w:bookmarkStart w:name="_Toc1035134423" w:id="90"/>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rsidRPr="00BA7EB3" w:rsidR="00BA7EB3" w:rsidRDefault="00BA7EB3" w14:paraId="0DB9AFE8" w14:textId="77777777">
          <w:pPr>
            <w:pStyle w:val="Prrafodelista"/>
            <w:numPr>
              <w:ilvl w:val="1"/>
              <w:numId w:val="34"/>
            </w:numPr>
            <w:contextualSpacing w:val="0"/>
            <w:jc w:val="both"/>
            <w:outlineLvl w:val="2"/>
            <w:rPr>
              <w:rFonts w:ascii="Nunito Sans" w:hAnsi="Nunito Sans" w:eastAsia="Nunito Sans" w:cs="Nunito Sans"/>
              <w:b/>
              <w:bCs/>
              <w:i/>
              <w:iCs/>
              <w:vanish/>
              <w:color w:val="E1AF3B"/>
              <w:lang w:val="es-ES"/>
            </w:rPr>
          </w:pPr>
          <w:bookmarkStart w:name="_Toc220362560" w:id="91"/>
          <w:bookmarkStart w:name="_Toc220406848" w:id="92"/>
          <w:bookmarkStart w:name="_Toc220407468" w:id="93"/>
          <w:bookmarkStart w:name="_Toc220407695" w:id="94"/>
          <w:bookmarkStart w:name="_Toc220407964" w:id="95"/>
          <w:bookmarkStart w:name="_Toc220614449" w:id="96"/>
          <w:bookmarkStart w:name="_Toc220664275" w:id="97"/>
          <w:bookmarkStart w:name="_Toc234231827" w:id="98"/>
          <w:bookmarkStart w:name="_Toc234232069" w:id="99"/>
          <w:bookmarkStart w:name="_Toc234232190" w:id="100"/>
          <w:bookmarkStart w:name="_Toc234232311" w:id="101"/>
          <w:bookmarkStart w:name="_Toc234233362" w:id="102"/>
          <w:bookmarkStart w:name="_Toc234233483" w:id="103"/>
          <w:bookmarkStart w:name="_Toc234233605" w:id="104"/>
          <w:bookmarkStart w:name="_Toc234233727" w:id="105"/>
          <w:bookmarkStart w:name="_Toc234233849" w:id="106"/>
          <w:bookmarkStart w:name="_Toc234233970" w:id="107"/>
          <w:bookmarkStart w:name="_Toc234234093" w:id="108"/>
          <w:bookmarkStart w:name="_Toc234234215" w:id="109"/>
          <w:bookmarkStart w:name="_Toc234234336" w:id="110"/>
          <w:bookmarkStart w:name="_Toc234234457" w:id="111"/>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5E3BD6" w:rsidRDefault="005E3BD6" w14:paraId="3F2502AA" w14:textId="03FAEF87">
          <w:pPr>
            <w:pStyle w:val="Ttulo3"/>
            <w:numPr>
              <w:ilvl w:val="2"/>
              <w:numId w:val="35"/>
            </w:numPr>
          </w:pPr>
          <w:bookmarkStart w:name="_Toc234234458" w:id="112"/>
          <w:r w:rsidRPr="0E79E4E6">
            <w:t>Análisis Componentes de Información institucionales</w:t>
          </w:r>
          <w:bookmarkEnd w:id="90"/>
          <w:bookmarkEnd w:id="112"/>
        </w:p>
        <w:p w:rsidRPr="00DF354F" w:rsidR="00DF354F" w:rsidP="00DF354F" w:rsidRDefault="00DF354F" w14:paraId="0F5D7CB0" w14:textId="77777777">
          <w:pPr>
            <w:rPr>
              <w:lang w:val="es-ES"/>
            </w:rPr>
          </w:pPr>
        </w:p>
        <w:p w:rsidRPr="005C3EC3" w:rsidR="005E3BD6" w:rsidP="005E3BD6" w:rsidRDefault="005E3BD6" w14:paraId="09E3FD31" w14:textId="77777777">
          <w:pPr>
            <w:jc w:val="both"/>
            <w:rPr>
              <w:rFonts w:ascii="Nunito Sans" w:hAnsi="Nunito Sans" w:eastAsia="Arial" w:cs="Calibri"/>
              <w:sz w:val="22"/>
              <w:szCs w:val="22"/>
              <w:lang w:val="es-ES"/>
            </w:rPr>
          </w:pPr>
          <w:r w:rsidRPr="0E79E4E6">
            <w:rPr>
              <w:rFonts w:ascii="Nunito Sans" w:hAnsi="Nunito Sans" w:eastAsia="Arial" w:cs="Calibri"/>
              <w:sz w:val="22"/>
              <w:szCs w:val="22"/>
              <w:lang w:val="es-ES"/>
            </w:rPr>
            <w:t>A continuación, se describe el estado de la arquitectura de información por cada entidad, con base en su madurez, modelos de datos, repositorios, mecanismos de actualización y servicios habilitados:</w:t>
          </w:r>
        </w:p>
        <w:p w:rsidR="005E3BD6" w:rsidP="005E3BD6" w:rsidRDefault="005E3BD6" w14:paraId="0A74F494" w14:textId="77777777">
          <w:pPr>
            <w:jc w:val="both"/>
            <w:rPr>
              <w:rFonts w:ascii="Nunito Sans" w:hAnsi="Nunito Sans" w:eastAsia="Arial" w:cs="Calibri"/>
              <w:sz w:val="22"/>
              <w:szCs w:val="22"/>
              <w:lang w:val="es-ES"/>
            </w:rPr>
          </w:pPr>
        </w:p>
        <w:p w:rsidRPr="008B176D" w:rsidR="005E3BD6" w:rsidP="005E3BD6" w:rsidRDefault="003F64DE" w14:paraId="43D798F3" w14:textId="4A73E8E1">
          <w:pPr>
            <w:ind w:left="360" w:hanging="360"/>
            <w:jc w:val="center"/>
            <w:rPr>
              <w:rFonts w:ascii="Nunito Sans" w:hAnsi="Nunito Sans" w:cs="Calibri"/>
              <w:b/>
              <w:bCs/>
              <w:sz w:val="18"/>
              <w:szCs w:val="18"/>
            </w:rPr>
          </w:pPr>
          <w:bookmarkStart w:name="_Toc220664184" w:id="113"/>
          <w:r w:rsidRPr="003F64DE">
            <w:rPr>
              <w:rFonts w:ascii="Nunito Sans" w:hAnsi="Nunito Sans" w:cs="Calibri"/>
              <w:b/>
              <w:bCs/>
              <w:sz w:val="18"/>
              <w:szCs w:val="18"/>
            </w:rPr>
            <w:t xml:space="preserve">Tabla </w:t>
          </w:r>
          <w:r w:rsidRPr="003F64DE">
            <w:rPr>
              <w:rFonts w:ascii="Nunito Sans" w:hAnsi="Nunito Sans" w:cs="Calibri"/>
              <w:b/>
              <w:bCs/>
              <w:sz w:val="18"/>
              <w:szCs w:val="18"/>
            </w:rPr>
            <w:fldChar w:fldCharType="begin"/>
          </w:r>
          <w:r w:rsidRPr="003F64DE">
            <w:rPr>
              <w:rFonts w:ascii="Nunito Sans" w:hAnsi="Nunito Sans" w:cs="Calibri"/>
              <w:b/>
              <w:bCs/>
              <w:sz w:val="18"/>
              <w:szCs w:val="18"/>
            </w:rPr>
            <w:instrText xml:space="preserve"> SEQ Tabla \* ARABIC </w:instrText>
          </w:r>
          <w:r w:rsidRPr="003F64DE">
            <w:rPr>
              <w:rFonts w:ascii="Nunito Sans" w:hAnsi="Nunito Sans" w:cs="Calibri"/>
              <w:b/>
              <w:bCs/>
              <w:sz w:val="18"/>
              <w:szCs w:val="18"/>
            </w:rPr>
            <w:fldChar w:fldCharType="separate"/>
          </w:r>
          <w:r w:rsidR="00C57F7B">
            <w:rPr>
              <w:rFonts w:ascii="Nunito Sans" w:hAnsi="Nunito Sans" w:cs="Calibri"/>
              <w:b/>
              <w:bCs/>
              <w:noProof/>
              <w:sz w:val="18"/>
              <w:szCs w:val="18"/>
            </w:rPr>
            <w:t>13</w:t>
          </w:r>
          <w:r w:rsidRPr="003F64DE">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Componentes de Información del Sector</w:t>
          </w:r>
          <w:bookmarkEnd w:id="113"/>
        </w:p>
        <w:tbl>
          <w:tblPr>
            <w:tblStyle w:val="Tablaconcuadrcula"/>
            <w:tblW w:w="9350"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1425"/>
            <w:gridCol w:w="7925"/>
          </w:tblGrid>
          <w:tr w:rsidRPr="00D255BF" w:rsidR="005E3BD6" w:rsidTr="2FC2A464" w14:paraId="26FBAB24" w14:textId="77777777">
            <w:trPr>
              <w:trHeight w:val="300"/>
              <w:jc w:val="center"/>
            </w:trPr>
            <w:tc>
              <w:tcPr>
                <w:tcW w:w="1425" w:type="dxa"/>
                <w:shd w:val="clear" w:color="auto" w:fill="E1AF3B"/>
                <w:vAlign w:val="center"/>
              </w:tcPr>
              <w:p w:rsidRPr="00D255BF" w:rsidR="005E3BD6" w:rsidP="002B17CE" w:rsidRDefault="005E3BD6" w14:paraId="41136B2F" w14:textId="77777777">
                <w:pPr>
                  <w:jc w:val="center"/>
                  <w:rPr>
                    <w:rFonts w:ascii="Nunito Sans" w:hAnsi="Nunito Sans" w:eastAsia="Arial" w:cs="Calibri"/>
                    <w:b/>
                    <w:bCs/>
                    <w:color w:val="FFFFFF" w:themeColor="background1"/>
                    <w:sz w:val="18"/>
                    <w:szCs w:val="18"/>
                  </w:rPr>
                </w:pPr>
                <w:r w:rsidRPr="00D255BF">
                  <w:rPr>
                    <w:rFonts w:ascii="Nunito Sans" w:hAnsi="Nunito Sans" w:eastAsia="Arial" w:cs="Calibri"/>
                    <w:b/>
                    <w:bCs/>
                    <w:color w:val="FFFFFF" w:themeColor="background1"/>
                    <w:sz w:val="18"/>
                    <w:szCs w:val="18"/>
                  </w:rPr>
                  <w:t>Entidad</w:t>
                </w:r>
              </w:p>
            </w:tc>
            <w:tc>
              <w:tcPr>
                <w:tcW w:w="7925" w:type="dxa"/>
                <w:shd w:val="clear" w:color="auto" w:fill="E1AF3B"/>
                <w:vAlign w:val="center"/>
              </w:tcPr>
              <w:p w:rsidRPr="00D255BF" w:rsidR="005E3BD6" w:rsidP="002B17CE" w:rsidRDefault="005E3BD6" w14:paraId="2103B9CD" w14:textId="77777777">
                <w:pPr>
                  <w:jc w:val="center"/>
                  <w:rPr>
                    <w:rFonts w:ascii="Nunito Sans" w:hAnsi="Nunito Sans" w:eastAsia="Arial" w:cs="Calibri"/>
                    <w:b/>
                    <w:bCs/>
                    <w:color w:val="FFFFFF" w:themeColor="background1"/>
                    <w:sz w:val="18"/>
                    <w:szCs w:val="18"/>
                  </w:rPr>
                </w:pPr>
                <w:r w:rsidRPr="00D255BF">
                  <w:rPr>
                    <w:rFonts w:ascii="Nunito Sans" w:hAnsi="Nunito Sans" w:eastAsia="Arial" w:cs="Calibri"/>
                    <w:b/>
                    <w:bCs/>
                    <w:color w:val="FFFFFF" w:themeColor="background1"/>
                    <w:sz w:val="18"/>
                    <w:szCs w:val="18"/>
                  </w:rPr>
                  <w:t>Análisis</w:t>
                </w:r>
              </w:p>
            </w:tc>
          </w:tr>
          <w:tr w:rsidRPr="00D255BF" w:rsidR="005E3BD6" w:rsidTr="2FC2A464" w14:paraId="7BA8D3EB" w14:textId="77777777">
            <w:trPr>
              <w:trHeight w:val="300"/>
              <w:jc w:val="center"/>
            </w:trPr>
            <w:tc>
              <w:tcPr>
                <w:tcW w:w="1425" w:type="dxa"/>
                <w:vAlign w:val="center"/>
              </w:tcPr>
              <w:p w:rsidRPr="002F36E3" w:rsidR="005E3BD6" w:rsidP="002F36E3" w:rsidRDefault="005E3BD6" w14:paraId="1FE14A5D" w14:textId="77777777">
                <w:pPr>
                  <w:jc w:val="both"/>
                  <w:rPr>
                    <w:rFonts w:ascii="Nunito Sans" w:hAnsi="Nunito Sans" w:eastAsia="Arial" w:cs="Calibri"/>
                    <w:b/>
                    <w:sz w:val="18"/>
                    <w:szCs w:val="18"/>
                  </w:rPr>
                </w:pPr>
                <w:r w:rsidRPr="002F36E3">
                  <w:rPr>
                    <w:rFonts w:ascii="Nunito Sans" w:hAnsi="Nunito Sans" w:eastAsia="Arial" w:cs="Calibri"/>
                    <w:b/>
                    <w:sz w:val="18"/>
                    <w:szCs w:val="18"/>
                  </w:rPr>
                  <w:t>MME</w:t>
                </w:r>
              </w:p>
            </w:tc>
            <w:tc>
              <w:tcPr>
                <w:tcW w:w="7925" w:type="dxa"/>
                <w:vAlign w:val="center"/>
              </w:tcPr>
              <w:p w:rsidRPr="002F36E3" w:rsidR="005E3BD6" w:rsidP="002F36E3" w:rsidRDefault="005E3BD6" w14:paraId="20EE93CD" w14:textId="77777777">
                <w:pPr>
                  <w:jc w:val="both"/>
                  <w:rPr>
                    <w:rFonts w:ascii="Nunito Sans" w:hAnsi="Nunito Sans" w:eastAsia="Arial" w:cs="Calibri"/>
                    <w:sz w:val="18"/>
                    <w:szCs w:val="18"/>
                  </w:rPr>
                </w:pPr>
                <w:r w:rsidRPr="002F36E3">
                  <w:rPr>
                    <w:rFonts w:ascii="Nunito Sans" w:hAnsi="Nunito Sans" w:eastAsia="Arial" w:cs="Calibri"/>
                    <w:sz w:val="18"/>
                    <w:szCs w:val="18"/>
                  </w:rPr>
                  <w:t>El MME dispone de repositorios de información relativamente consolidados que integran estadísticas sectoriales, informes, sistemas misionales y documentos estratégicos. La gestión de la información se encuentra parcialmente estandarizada y existen procedimientos definidos para la actualización de datos, aunque no se articulan bajo un marco sectorial común. La entidad cuenta con capacidades tecnológicas adecuadas y un nivel aceptable de estructuración documental y estadística. Sin embargo, la ausencia de un modelo sectorial de datos limita la integración fluida con las entidades adscritas. Además, los flujos de información hacia y desde otras entidades se encuentran parcialmente automatizados, lo que implica cargas de consolidación manual y dependencia de reportes periódicos.</w:t>
                </w:r>
              </w:p>
            </w:tc>
          </w:tr>
          <w:tr w:rsidRPr="00D255BF" w:rsidR="005E3BD6" w:rsidTr="2FC2A464" w14:paraId="127324DB" w14:textId="77777777">
            <w:trPr>
              <w:trHeight w:val="300"/>
              <w:jc w:val="center"/>
            </w:trPr>
            <w:tc>
              <w:tcPr>
                <w:tcW w:w="1425" w:type="dxa"/>
                <w:vAlign w:val="center"/>
              </w:tcPr>
              <w:p w:rsidRPr="002F36E3" w:rsidR="005E3BD6" w:rsidP="002F36E3" w:rsidRDefault="005E3BD6" w14:paraId="16D6E445" w14:textId="77777777">
                <w:pPr>
                  <w:jc w:val="both"/>
                  <w:rPr>
                    <w:rFonts w:ascii="Nunito Sans" w:hAnsi="Nunito Sans" w:eastAsia="Arial" w:cs="Calibri"/>
                    <w:b/>
                    <w:sz w:val="18"/>
                    <w:szCs w:val="18"/>
                  </w:rPr>
                </w:pPr>
                <w:r w:rsidRPr="002F36E3">
                  <w:rPr>
                    <w:rFonts w:ascii="Nunito Sans" w:hAnsi="Nunito Sans" w:eastAsia="Arial" w:cs="Calibri"/>
                    <w:b/>
                    <w:sz w:val="18"/>
                    <w:szCs w:val="18"/>
                  </w:rPr>
                  <w:t>ANM</w:t>
                </w:r>
              </w:p>
            </w:tc>
            <w:tc>
              <w:tcPr>
                <w:tcW w:w="7925" w:type="dxa"/>
                <w:vAlign w:val="center"/>
              </w:tcPr>
              <w:p w:rsidRPr="002F36E3" w:rsidR="005E3BD6" w:rsidP="002F36E3" w:rsidRDefault="00482B94" w14:paraId="4CFFF552" w14:textId="4B98EC0D">
                <w:pPr>
                  <w:jc w:val="both"/>
                  <w:rPr>
                    <w:rFonts w:ascii="Nunito Sans" w:hAnsi="Nunito Sans"/>
                    <w:sz w:val="18"/>
                    <w:szCs w:val="18"/>
                  </w:rPr>
                </w:pPr>
                <w:r w:rsidRPr="002F36E3">
                  <w:rPr>
                    <w:rFonts w:ascii="Nunito Sans" w:hAnsi="Nunito Sans" w:eastAsia="Arial" w:cs="Calibri"/>
                    <w:sz w:val="18"/>
                    <w:szCs w:val="18"/>
                  </w:rPr>
                  <w:t xml:space="preserve">La ANM administra un conjunto significativo de sistemas de información, con especial fortaleza en plataformas misionales y geoespaciales relacionadas con el catastro minero y la gestión de títulos. Los procesos de gestión del dato se encuentran consolidados y cuentan con mecanismos definidos para la actualización y validación de la información, soportados por una arquitectura funcional robusta que garantiza la integridad de los datos del sector minero. Asimismo, la entidad dispone de servicios geográficos interoperables que facilitan el intercambio de información geoespacial con otras plataformas. No obstante, persisten oportunidades para fortalecer la integración sectorial mediante la adopción de estándares, mecanismos de interoperabilidad y esquemas de gobernanza comunes que permitan consolidar un ecosistema interoperable, </w:t>
                </w:r>
                <w:r w:rsidRPr="002F36E3">
                  <w:rPr>
                    <w:rFonts w:ascii="Nunito Sans" w:hAnsi="Nunito Sans" w:eastAsia="Arial" w:cs="Calibri"/>
                    <w:sz w:val="18"/>
                    <w:szCs w:val="18"/>
                  </w:rPr>
                  <w:lastRenderedPageBreak/>
                  <w:t>facilitando el intercambio oportuno, seguro y estandarizado de información para los procesos transversales del sector minero-energético.</w:t>
                </w:r>
              </w:p>
            </w:tc>
          </w:tr>
          <w:tr w:rsidRPr="00D255BF" w:rsidR="005E3BD6" w:rsidTr="2FC2A464" w14:paraId="6DA2AB5A" w14:textId="77777777">
            <w:trPr>
              <w:trHeight w:val="300"/>
              <w:jc w:val="center"/>
            </w:trPr>
            <w:tc>
              <w:tcPr>
                <w:tcW w:w="1425" w:type="dxa"/>
                <w:vAlign w:val="center"/>
              </w:tcPr>
              <w:p w:rsidRPr="002F36E3" w:rsidR="005E3BD6" w:rsidP="002F36E3" w:rsidRDefault="005E3BD6" w14:paraId="6659A5C5" w14:textId="77777777">
                <w:pPr>
                  <w:jc w:val="both"/>
                  <w:rPr>
                    <w:rFonts w:ascii="Nunito Sans" w:hAnsi="Nunito Sans" w:eastAsia="Arial" w:cs="Calibri"/>
                    <w:b/>
                    <w:sz w:val="18"/>
                    <w:szCs w:val="18"/>
                  </w:rPr>
                </w:pPr>
                <w:r w:rsidRPr="002F36E3">
                  <w:rPr>
                    <w:rFonts w:ascii="Nunito Sans" w:hAnsi="Nunito Sans" w:eastAsia="Arial" w:cs="Calibri"/>
                    <w:b/>
                    <w:sz w:val="18"/>
                    <w:szCs w:val="18"/>
                  </w:rPr>
                  <w:lastRenderedPageBreak/>
                  <w:t xml:space="preserve">UPME </w:t>
                </w:r>
              </w:p>
            </w:tc>
            <w:tc>
              <w:tcPr>
                <w:tcW w:w="7925" w:type="dxa"/>
                <w:vAlign w:val="center"/>
              </w:tcPr>
              <w:p w:rsidRPr="002F36E3" w:rsidR="005E3BD6" w:rsidP="002F36E3" w:rsidRDefault="005E3BD6" w14:paraId="183969F5" w14:textId="77777777">
                <w:pPr>
                  <w:jc w:val="both"/>
                  <w:rPr>
                    <w:rFonts w:ascii="Nunito Sans" w:hAnsi="Nunito Sans" w:eastAsia="Arial" w:cs="Calibri"/>
                    <w:sz w:val="18"/>
                    <w:szCs w:val="18"/>
                  </w:rPr>
                </w:pPr>
                <w:r w:rsidRPr="002F36E3">
                  <w:rPr>
                    <w:rFonts w:ascii="Nunito Sans" w:hAnsi="Nunito Sans" w:eastAsia="Arial" w:cs="Calibri"/>
                    <w:sz w:val="18"/>
                    <w:szCs w:val="18"/>
                  </w:rPr>
                  <w:t>UPME opera repositorios extensos y de alta relevancia para la planeación energética, que incluyen estadísticas, proyecciones, documentos técnicos y bases de datos para análisis de largo plazo. La gobernanza de la información se encuentra en un nivel intermedio, con normas y prácticas parcialmente definidas que aún requieren formalización para garantizar trazabilidad y calidad completa de los datos. La arquitectura de información es funcional, pero se compone de soluciones y repositorios heterogéneos que generan dependencias en procesos de integración manual. Aunque UPME actúa como un nodo central de análisis sectorial, no dispone todavía de un modelo unificado que facilite la consolidación de información proveniente de las demás entidades adscritas.</w:t>
                </w:r>
              </w:p>
            </w:tc>
          </w:tr>
          <w:tr w:rsidRPr="00D255BF" w:rsidR="005E3BD6" w:rsidTr="2FC2A464" w14:paraId="4BBD6C2C" w14:textId="77777777">
            <w:trPr>
              <w:trHeight w:val="300"/>
              <w:jc w:val="center"/>
            </w:trPr>
            <w:tc>
              <w:tcPr>
                <w:tcW w:w="1425" w:type="dxa"/>
                <w:vAlign w:val="center"/>
              </w:tcPr>
              <w:p w:rsidRPr="002F36E3" w:rsidR="005E3BD6" w:rsidP="002F36E3" w:rsidRDefault="005E3BD6" w14:paraId="14948340"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ANH </w:t>
                </w:r>
              </w:p>
            </w:tc>
            <w:tc>
              <w:tcPr>
                <w:tcW w:w="7925" w:type="dxa"/>
                <w:vAlign w:val="center"/>
              </w:tcPr>
              <w:p w:rsidRPr="002F36E3" w:rsidR="005E3BD6" w:rsidP="002F36E3" w:rsidRDefault="005E3BD6" w14:paraId="207BE2ED" w14:textId="77777777">
                <w:pPr>
                  <w:jc w:val="both"/>
                  <w:rPr>
                    <w:rFonts w:ascii="Nunito Sans" w:hAnsi="Nunito Sans" w:eastAsia="Arial" w:cs="Calibri"/>
                    <w:sz w:val="18"/>
                    <w:szCs w:val="18"/>
                  </w:rPr>
                </w:pPr>
                <w:r w:rsidRPr="002F36E3">
                  <w:rPr>
                    <w:rFonts w:ascii="Nunito Sans" w:hAnsi="Nunito Sans" w:eastAsia="Arial" w:cs="Calibri"/>
                    <w:sz w:val="18"/>
                    <w:szCs w:val="18"/>
                  </w:rPr>
                  <w:t>La ANH administra sistemas especializados orientados a la gestión de contratos, producción, exploración y reservas, lo que le otorga un portafolio de datos críticos para el sector de hidrocarburos. Su arquitectura de información se soporta en plataformas transaccionales y repositorios estructurados que garantizan continuidad operativa. Sin embargo, no cuenta con estándares sectoriales alineados con el resto de las entidades ni con mecanismos robustos de interoperabilidad, lo que provoca intercambios de información mayoritariamente manuales. La actualización de datos es estable, pero la ausencia de modelos comunes limita la integración con los sistemas del MME y afecta la oportunidad de análisis estratégicos.</w:t>
                </w:r>
              </w:p>
            </w:tc>
          </w:tr>
          <w:tr w:rsidRPr="00D255BF" w:rsidR="005E3BD6" w:rsidTr="2FC2A464" w14:paraId="6B96E373" w14:textId="77777777">
            <w:trPr>
              <w:trHeight w:val="300"/>
              <w:jc w:val="center"/>
            </w:trPr>
            <w:tc>
              <w:tcPr>
                <w:tcW w:w="1425" w:type="dxa"/>
                <w:vAlign w:val="center"/>
              </w:tcPr>
              <w:p w:rsidRPr="002F36E3" w:rsidR="005E3BD6" w:rsidP="002F36E3" w:rsidRDefault="005E3BD6" w14:paraId="3CEBB82A"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SGC </w:t>
                </w:r>
              </w:p>
            </w:tc>
            <w:tc>
              <w:tcPr>
                <w:tcW w:w="7925" w:type="dxa"/>
                <w:vAlign w:val="center"/>
              </w:tcPr>
              <w:p w:rsidRPr="002F36E3" w:rsidR="005E3BD6" w:rsidP="002F36E3" w:rsidRDefault="005E3BD6" w14:paraId="3A04F77A" w14:textId="77777777">
                <w:pPr>
                  <w:jc w:val="both"/>
                  <w:rPr>
                    <w:rFonts w:ascii="Nunito Sans" w:hAnsi="Nunito Sans" w:eastAsia="Arial" w:cs="Calibri"/>
                    <w:sz w:val="18"/>
                    <w:szCs w:val="18"/>
                  </w:rPr>
                </w:pPr>
                <w:r w:rsidRPr="002F36E3">
                  <w:rPr>
                    <w:rFonts w:ascii="Nunito Sans" w:hAnsi="Nunito Sans" w:eastAsia="Arial" w:cs="Calibri"/>
                    <w:sz w:val="18"/>
                    <w:szCs w:val="18"/>
                  </w:rPr>
                  <w:t>El SGC posee una de las arquitecturas de información más avanzadas en términos geoespaciales. Sus repositorios están altamente estructurados y trabajados bajo estándares técnicos internacionales, lo que garantiza un manejo disciplinado de los metadatos y de la documentación asociada. La entidad produce y administra grandes volúmenes de datos científicos, cartográficos y geológicos, con procesos de actualización consistentes y rigurosos. A pesar de su solidez técnica, la integración sectorial es limitada debido a que opera bajo marcos metodológicos especializados que no están alineados con un estándar sectorial común, lo que dificulta el aprovechamiento del potencial geoespacial en las demás entidades.</w:t>
                </w:r>
              </w:p>
            </w:tc>
          </w:tr>
          <w:tr w:rsidRPr="00D255BF" w:rsidR="005E3BD6" w:rsidTr="2FC2A464" w14:paraId="16C2A62D" w14:textId="77777777">
            <w:trPr>
              <w:trHeight w:val="300"/>
              <w:jc w:val="center"/>
            </w:trPr>
            <w:tc>
              <w:tcPr>
                <w:tcW w:w="1425" w:type="dxa"/>
                <w:vAlign w:val="center"/>
              </w:tcPr>
              <w:p w:rsidRPr="002F36E3" w:rsidR="005E3BD6" w:rsidP="002F36E3" w:rsidRDefault="005E3BD6" w14:paraId="16A0B4B5"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CREG </w:t>
                </w:r>
              </w:p>
            </w:tc>
            <w:tc>
              <w:tcPr>
                <w:tcW w:w="7925" w:type="dxa"/>
                <w:vAlign w:val="center"/>
              </w:tcPr>
              <w:p w:rsidRPr="002F36E3" w:rsidR="005E3BD6" w:rsidP="002F36E3" w:rsidRDefault="40E26156" w14:paraId="2E413608" w14:textId="1C3B8AEE">
                <w:pPr>
                  <w:jc w:val="both"/>
                  <w:rPr>
                    <w:rFonts w:ascii="Nunito Sans" w:hAnsi="Nunito Sans" w:eastAsia="Arial" w:cs="Calibri"/>
                    <w:sz w:val="18"/>
                    <w:szCs w:val="18"/>
                  </w:rPr>
                </w:pPr>
                <w:r w:rsidRPr="002F36E3">
                  <w:rPr>
                    <w:rFonts w:ascii="Nunito Sans" w:hAnsi="Nunito Sans" w:eastAsiaTheme="minorEastAsia" w:cstheme="minorBidi"/>
                    <w:sz w:val="18"/>
                    <w:szCs w:val="18"/>
                  </w:rPr>
                  <w:t>La CREG administra repositorios de información regulatoria y analítica que soportan los procesos de regulación del sector energético. Sus datos se encuentran organizados bajo procesos internos de control, aunque sin una gobernanza formalizada a nivel sectorial. La entidad realiza intercambios permanentes de información con diversas entidades del sector y del Estado, entre ellas el Ministerio de Minas y Energía (MME), la Unidad de Planeación Minero Energética (UPME), la Superintendencia de Servicios Públicos Domiciliarios (SSPD), el Departamento Administrativo Nacional de Estadística (DANE) y el Instituto Geográfico Agustín Codazzi (IGAC), entre otras, mediante mecanismos que incluyen reportes documentales, servicios de intercambio de información y procesos parcialmente automatizados. La arquitectura de información de la CREG presenta oportunidades para fortalecer su integración al ecosistema digital sectorial, mediante la alineación de modelos de datos, metadatos y estándares de interoperabilidad que faciliten el intercambio y aprovechamiento de la</w:t>
                </w:r>
                <w:r w:rsidRPr="002F36E3" w:rsidR="34C7718D">
                  <w:rPr>
                    <w:rFonts w:ascii="Nunito Sans" w:hAnsi="Nunito Sans" w:eastAsiaTheme="minorEastAsia" w:cstheme="minorBidi"/>
                    <w:sz w:val="18"/>
                    <w:szCs w:val="18"/>
                  </w:rPr>
                  <w:t xml:space="preserve"> </w:t>
                </w:r>
                <w:r w:rsidRPr="002F36E3">
                  <w:rPr>
                    <w:rFonts w:ascii="Nunito Sans" w:hAnsi="Nunito Sans" w:eastAsiaTheme="minorEastAsia" w:cstheme="minorBidi"/>
                    <w:sz w:val="18"/>
                    <w:szCs w:val="18"/>
                  </w:rPr>
                  <w:t>información.</w:t>
                </w:r>
              </w:p>
            </w:tc>
          </w:tr>
          <w:tr w:rsidRPr="00D255BF" w:rsidR="005E3BD6" w:rsidTr="2FC2A464" w14:paraId="439DACF6" w14:textId="77777777">
            <w:trPr>
              <w:trHeight w:val="300"/>
              <w:jc w:val="center"/>
            </w:trPr>
            <w:tc>
              <w:tcPr>
                <w:tcW w:w="1425" w:type="dxa"/>
                <w:vAlign w:val="center"/>
              </w:tcPr>
              <w:p w:rsidRPr="002F36E3" w:rsidR="005E3BD6" w:rsidP="002F36E3" w:rsidRDefault="005E3BD6" w14:paraId="446DDAF3" w14:textId="77777777">
                <w:pPr>
                  <w:jc w:val="both"/>
                  <w:rPr>
                    <w:rFonts w:ascii="Nunito Sans" w:hAnsi="Nunito Sans" w:eastAsia="Arial" w:cs="Calibri"/>
                    <w:b/>
                    <w:sz w:val="18"/>
                    <w:szCs w:val="18"/>
                  </w:rPr>
                </w:pPr>
                <w:r w:rsidRPr="002F36E3">
                  <w:rPr>
                    <w:rFonts w:ascii="Nunito Sans" w:hAnsi="Nunito Sans" w:eastAsia="Arial" w:cs="Calibri"/>
                    <w:b/>
                    <w:sz w:val="18"/>
                    <w:szCs w:val="18"/>
                  </w:rPr>
                  <w:t>FENOGE</w:t>
                </w:r>
              </w:p>
            </w:tc>
            <w:tc>
              <w:tcPr>
                <w:tcW w:w="7925" w:type="dxa"/>
                <w:vAlign w:val="center"/>
              </w:tcPr>
              <w:p w:rsidRPr="002F36E3" w:rsidR="005E3BD6" w:rsidP="002F36E3" w:rsidRDefault="005E3BD6" w14:paraId="45756482" w14:textId="77777777">
                <w:pPr>
                  <w:jc w:val="both"/>
                  <w:rPr>
                    <w:rFonts w:ascii="Nunito Sans" w:hAnsi="Nunito Sans" w:eastAsia="Arial" w:cs="Calibri"/>
                    <w:sz w:val="18"/>
                    <w:szCs w:val="18"/>
                  </w:rPr>
                </w:pPr>
                <w:r w:rsidRPr="002F36E3">
                  <w:rPr>
                    <w:rFonts w:ascii="Nunito Sans" w:hAnsi="Nunito Sans" w:eastAsia="Arial" w:cs="Calibri"/>
                    <w:sz w:val="18"/>
                    <w:szCs w:val="18"/>
                  </w:rPr>
                  <w:t>FENOGE presenta un nivel de madurez bajo en gestión de información. Sus repositorios son limitados y la información se almacena en estructuras simples, sin procesos formales para la actualización, trazabilidad o control de calidad de los datos. La mayoría de los intercambios de información se realiza de manera manual y no existen mecanismos sólidos para garantizar integridad o disponibilidad oportuna de los datos. Esta situación dificulta la integración con el ecosistema sectorial y afecta la capacidad de aportar información estratégica para planeación y análisis.</w:t>
                </w:r>
              </w:p>
            </w:tc>
          </w:tr>
          <w:tr w:rsidRPr="00D255BF" w:rsidR="005E3BD6" w:rsidTr="2FC2A464" w14:paraId="24DA1B7A" w14:textId="77777777">
            <w:trPr>
              <w:trHeight w:val="300"/>
              <w:jc w:val="center"/>
            </w:trPr>
            <w:tc>
              <w:tcPr>
                <w:tcW w:w="1425" w:type="dxa"/>
                <w:vAlign w:val="center"/>
              </w:tcPr>
              <w:p w:rsidRPr="002F36E3" w:rsidR="005E3BD6" w:rsidP="002F36E3" w:rsidRDefault="005E3BD6" w14:paraId="13013C20"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IPSE </w:t>
                </w:r>
              </w:p>
            </w:tc>
            <w:tc>
              <w:tcPr>
                <w:tcW w:w="7925" w:type="dxa"/>
                <w:vAlign w:val="center"/>
              </w:tcPr>
              <w:p w:rsidRPr="002F36E3" w:rsidR="005E3BD6" w:rsidP="002F36E3" w:rsidRDefault="005E3BD6" w14:paraId="316C5A8A" w14:textId="77777777">
                <w:pPr>
                  <w:jc w:val="both"/>
                  <w:rPr>
                    <w:rFonts w:ascii="Nunito Sans" w:hAnsi="Nunito Sans" w:eastAsia="Arial" w:cs="Calibri"/>
                    <w:sz w:val="18"/>
                    <w:szCs w:val="18"/>
                  </w:rPr>
                </w:pPr>
                <w:r w:rsidRPr="002F36E3">
                  <w:rPr>
                    <w:rFonts w:ascii="Nunito Sans" w:hAnsi="Nunito Sans" w:eastAsia="Arial" w:cs="Calibri"/>
                    <w:sz w:val="18"/>
                    <w:szCs w:val="18"/>
                  </w:rPr>
                  <w:t xml:space="preserve">IPSE administra información relacionada con proyectos energéticos en zonas no interconectadas mediante repositorios simples y con esquemas de almacenamiento poco formalizados. La arquitectura de información es incipiente, con procesos limitados de gobernanza y actualización. Los flujos de información hacia el MME se realizan de forma manual y carecen de mecanismos </w:t>
                </w:r>
                <w:r w:rsidRPr="002F36E3">
                  <w:rPr>
                    <w:rFonts w:ascii="Nunito Sans" w:hAnsi="Nunito Sans" w:eastAsia="Arial" w:cs="Calibri"/>
                    <w:sz w:val="18"/>
                    <w:szCs w:val="18"/>
                  </w:rPr>
                  <w:lastRenderedPageBreak/>
                  <w:t>de validación automática. La entidad requiere un proceso de fortalecimiento estructural para adoptar modelos de datos, mecanismos de interoperabilidad y herramientas que permitan consolidar información relevante para el sector.</w:t>
                </w:r>
              </w:p>
            </w:tc>
          </w:tr>
        </w:tbl>
        <w:p w:rsidRPr="00EF5DE4" w:rsidR="005E3BD6" w:rsidP="005E3BD6" w:rsidRDefault="005E3BD6" w14:paraId="5E5CEBC3"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lastRenderedPageBreak/>
            <w:t>Fuente: Elaboración propia</w:t>
          </w:r>
        </w:p>
        <w:p w:rsidRPr="00CA4194" w:rsidR="005E3BD6" w:rsidP="005E3BD6" w:rsidRDefault="005E3BD6" w14:paraId="2DCD8CE1" w14:textId="77777777">
          <w:pPr>
            <w:ind w:left="720"/>
            <w:jc w:val="both"/>
            <w:rPr>
              <w:rFonts w:ascii="Nunito Sans" w:hAnsi="Nunito Sans" w:cs="Calibri" w:eastAsiaTheme="minorEastAsia"/>
              <w:i/>
              <w:iCs/>
              <w:color w:val="FF0000"/>
              <w:sz w:val="22"/>
              <w:szCs w:val="22"/>
              <w:lang w:val="es-ES"/>
            </w:rPr>
          </w:pPr>
        </w:p>
        <w:p w:rsidR="005E3BD6" w:rsidRDefault="005E3BD6" w14:paraId="41A262F0" w14:textId="30E21FA1">
          <w:pPr>
            <w:pStyle w:val="Ttulo3"/>
            <w:numPr>
              <w:ilvl w:val="2"/>
              <w:numId w:val="35"/>
            </w:numPr>
          </w:pPr>
          <w:bookmarkStart w:name="_Toc1476697460" w:id="114"/>
          <w:bookmarkStart w:name="_Toc234234459" w:id="115"/>
          <w:r w:rsidRPr="0E79E4E6">
            <w:t xml:space="preserve">Análisis </w:t>
          </w:r>
          <w:r w:rsidRPr="00D255BF">
            <w:t>Datos Estadísticos</w:t>
          </w:r>
          <w:bookmarkEnd w:id="114"/>
          <w:bookmarkEnd w:id="115"/>
        </w:p>
        <w:p w:rsidRPr="00DF354F" w:rsidR="00DF354F" w:rsidP="00DF354F" w:rsidRDefault="00DF354F" w14:paraId="5CBA06B3" w14:textId="77777777">
          <w:pPr>
            <w:rPr>
              <w:lang w:val="es-ES"/>
            </w:rPr>
          </w:pPr>
        </w:p>
        <w:p w:rsidRPr="005C3EC3" w:rsidR="005E3BD6" w:rsidP="005E3BD6" w:rsidRDefault="005E3BD6" w14:paraId="0DBA6ACE" w14:textId="77777777">
          <w:pPr>
            <w:spacing w:after="240"/>
            <w:jc w:val="both"/>
            <w:rPr>
              <w:rFonts w:ascii="Nunito Sans" w:hAnsi="Nunito Sans" w:eastAsia="Arial" w:cs="Calibri"/>
              <w:sz w:val="22"/>
              <w:szCs w:val="22"/>
              <w:lang w:val="es-ES"/>
            </w:rPr>
          </w:pPr>
          <w:r w:rsidRPr="0E79E4E6">
            <w:rPr>
              <w:rFonts w:ascii="Nunito Sans" w:hAnsi="Nunito Sans" w:eastAsia="Arial" w:cs="Calibri"/>
              <w:sz w:val="22"/>
              <w:szCs w:val="22"/>
              <w:lang w:val="es-ES"/>
            </w:rPr>
            <w:t>Cada entidad administra datos estadísticos relacionados con su mandato misional, pero existen diferencias significativas en estándares, metodologías, interoperabilidad y grado de automatización, a continuación, se presenta un análisis detallado por entidad.</w:t>
          </w:r>
        </w:p>
        <w:p w:rsidRPr="00EB43A6" w:rsidR="005E3BD6" w:rsidP="005E3BD6" w:rsidRDefault="003F64DE" w14:paraId="43A01D9A" w14:textId="664D6872">
          <w:pPr>
            <w:ind w:left="360" w:hanging="360"/>
            <w:jc w:val="center"/>
            <w:rPr>
              <w:rFonts w:ascii="Nunito Sans" w:hAnsi="Nunito Sans" w:cs="Calibri"/>
              <w:b/>
              <w:bCs/>
              <w:sz w:val="18"/>
              <w:szCs w:val="18"/>
            </w:rPr>
          </w:pPr>
          <w:bookmarkStart w:name="_Toc220664185" w:id="116"/>
          <w:r w:rsidRPr="003F64DE">
            <w:rPr>
              <w:rFonts w:ascii="Nunito Sans" w:hAnsi="Nunito Sans" w:cs="Calibri"/>
              <w:b/>
              <w:bCs/>
              <w:sz w:val="18"/>
              <w:szCs w:val="18"/>
            </w:rPr>
            <w:t xml:space="preserve">Tabla </w:t>
          </w:r>
          <w:r w:rsidRPr="003F64DE">
            <w:rPr>
              <w:rFonts w:ascii="Nunito Sans" w:hAnsi="Nunito Sans" w:cs="Calibri"/>
              <w:b/>
              <w:bCs/>
              <w:sz w:val="18"/>
              <w:szCs w:val="18"/>
            </w:rPr>
            <w:fldChar w:fldCharType="begin"/>
          </w:r>
          <w:r w:rsidRPr="003F64DE">
            <w:rPr>
              <w:rFonts w:ascii="Nunito Sans" w:hAnsi="Nunito Sans" w:cs="Calibri"/>
              <w:b/>
              <w:bCs/>
              <w:sz w:val="18"/>
              <w:szCs w:val="18"/>
            </w:rPr>
            <w:instrText xml:space="preserve"> SEQ Tabla \* ARABIC </w:instrText>
          </w:r>
          <w:r w:rsidRPr="003F64DE">
            <w:rPr>
              <w:rFonts w:ascii="Nunito Sans" w:hAnsi="Nunito Sans" w:cs="Calibri"/>
              <w:b/>
              <w:bCs/>
              <w:sz w:val="18"/>
              <w:szCs w:val="18"/>
            </w:rPr>
            <w:fldChar w:fldCharType="separate"/>
          </w:r>
          <w:r w:rsidR="00C57F7B">
            <w:rPr>
              <w:rFonts w:ascii="Nunito Sans" w:hAnsi="Nunito Sans" w:cs="Calibri"/>
              <w:b/>
              <w:bCs/>
              <w:noProof/>
              <w:sz w:val="18"/>
              <w:szCs w:val="18"/>
            </w:rPr>
            <w:t>14</w:t>
          </w:r>
          <w:r w:rsidRPr="003F64DE">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Datos Estadísticos del Sector</w:t>
          </w:r>
          <w:bookmarkEnd w:id="116"/>
          <w:r w:rsidR="005E3BD6">
            <w:rPr>
              <w:rFonts w:ascii="Nunito Sans" w:hAnsi="Nunito Sans" w:cs="Calibri"/>
              <w:b/>
              <w:bCs/>
              <w:sz w:val="18"/>
              <w:szCs w:val="18"/>
            </w:rPr>
            <w:t xml:space="preserve"> </w:t>
          </w:r>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1563"/>
            <w:gridCol w:w="7787"/>
          </w:tblGrid>
          <w:tr w:rsidRPr="00D255BF" w:rsidR="005E3BD6" w:rsidTr="3D9E0835" w14:paraId="4F12FA61" w14:textId="77777777">
            <w:trPr>
              <w:trHeight w:val="300"/>
              <w:jc w:val="center"/>
            </w:trPr>
            <w:tc>
              <w:tcPr>
                <w:tcW w:w="1563" w:type="dxa"/>
                <w:shd w:val="clear" w:color="auto" w:fill="E1AF3B"/>
                <w:vAlign w:val="center"/>
              </w:tcPr>
              <w:p w:rsidRPr="00D255BF" w:rsidR="005E3BD6" w:rsidP="00B4771C" w:rsidRDefault="005E3BD6" w14:paraId="709C82B2" w14:textId="77777777">
                <w:pPr>
                  <w:rPr>
                    <w:rFonts w:ascii="Nunito Sans" w:hAnsi="Nunito Sans" w:eastAsia="Arial" w:cs="Calibri"/>
                    <w:b/>
                    <w:bCs/>
                    <w:color w:val="FFFFFF" w:themeColor="background1"/>
                    <w:sz w:val="18"/>
                    <w:szCs w:val="18"/>
                  </w:rPr>
                </w:pPr>
                <w:r w:rsidRPr="00D255BF">
                  <w:rPr>
                    <w:rFonts w:ascii="Nunito Sans" w:hAnsi="Nunito Sans" w:eastAsia="Arial" w:cs="Calibri"/>
                    <w:b/>
                    <w:bCs/>
                    <w:color w:val="FFFFFF" w:themeColor="background1"/>
                    <w:sz w:val="18"/>
                    <w:szCs w:val="18"/>
                  </w:rPr>
                  <w:t>Entidad</w:t>
                </w:r>
              </w:p>
            </w:tc>
            <w:tc>
              <w:tcPr>
                <w:tcW w:w="7787" w:type="dxa"/>
                <w:shd w:val="clear" w:color="auto" w:fill="E1AF3B"/>
                <w:vAlign w:val="center"/>
              </w:tcPr>
              <w:p w:rsidRPr="00D255BF" w:rsidR="005E3BD6" w:rsidP="00B4771C" w:rsidRDefault="005E3BD6" w14:paraId="3F4EDA21" w14:textId="77777777">
                <w:pPr>
                  <w:rPr>
                    <w:rFonts w:ascii="Nunito Sans" w:hAnsi="Nunito Sans" w:eastAsia="Arial" w:cs="Calibri"/>
                    <w:b/>
                    <w:bCs/>
                    <w:color w:val="FFFFFF" w:themeColor="background1"/>
                    <w:sz w:val="18"/>
                    <w:szCs w:val="18"/>
                  </w:rPr>
                </w:pPr>
                <w:r w:rsidRPr="00D255BF">
                  <w:rPr>
                    <w:rFonts w:ascii="Nunito Sans" w:hAnsi="Nunito Sans" w:eastAsia="Arial" w:cs="Calibri"/>
                    <w:b/>
                    <w:bCs/>
                    <w:color w:val="FFFFFF" w:themeColor="background1"/>
                    <w:sz w:val="18"/>
                    <w:szCs w:val="18"/>
                  </w:rPr>
                  <w:t>Análisis</w:t>
                </w:r>
              </w:p>
            </w:tc>
          </w:tr>
          <w:tr w:rsidRPr="00D255BF" w:rsidR="005E3BD6" w:rsidTr="3D9E0835" w14:paraId="45DF676A" w14:textId="77777777">
            <w:trPr>
              <w:trHeight w:val="300"/>
              <w:jc w:val="center"/>
            </w:trPr>
            <w:tc>
              <w:tcPr>
                <w:tcW w:w="1563" w:type="dxa"/>
                <w:vAlign w:val="center"/>
              </w:tcPr>
              <w:p w:rsidRPr="002F36E3" w:rsidR="005E3BD6" w:rsidP="002F36E3" w:rsidRDefault="005E3BD6" w14:paraId="261C45A3" w14:textId="77777777">
                <w:pPr>
                  <w:jc w:val="both"/>
                  <w:rPr>
                    <w:rFonts w:ascii="Nunito Sans" w:hAnsi="Nunito Sans" w:eastAsia="Arial" w:cs="Calibri"/>
                    <w:b/>
                    <w:sz w:val="18"/>
                    <w:szCs w:val="18"/>
                  </w:rPr>
                </w:pPr>
                <w:r w:rsidRPr="002F36E3">
                  <w:rPr>
                    <w:rFonts w:ascii="Nunito Sans" w:hAnsi="Nunito Sans" w:eastAsia="Arial" w:cs="Calibri"/>
                    <w:b/>
                    <w:sz w:val="18"/>
                    <w:szCs w:val="18"/>
                  </w:rPr>
                  <w:t>MME</w:t>
                </w:r>
              </w:p>
            </w:tc>
            <w:tc>
              <w:tcPr>
                <w:tcW w:w="7787" w:type="dxa"/>
                <w:vAlign w:val="center"/>
              </w:tcPr>
              <w:p w:rsidRPr="002F36E3" w:rsidR="005E3BD6" w:rsidP="002F36E3" w:rsidRDefault="005E3BD6" w14:paraId="25A8555C" w14:textId="77777777">
                <w:pPr>
                  <w:jc w:val="both"/>
                  <w:rPr>
                    <w:rFonts w:ascii="Nunito Sans" w:hAnsi="Nunito Sans" w:eastAsia="Arial" w:cs="Calibri"/>
                    <w:sz w:val="18"/>
                    <w:szCs w:val="18"/>
                  </w:rPr>
                </w:pPr>
                <w:r w:rsidRPr="002F36E3">
                  <w:rPr>
                    <w:rFonts w:ascii="Nunito Sans" w:hAnsi="Nunito Sans" w:eastAsia="Arial" w:cs="Calibri"/>
                    <w:sz w:val="18"/>
                    <w:szCs w:val="18"/>
                  </w:rPr>
                  <w:t>El MME consolida estadísticas estratégicas del sector, integrando información proveniente de las entidades adscritas y actores externos. Sus repositorios presentan un nivel aceptable de estructuración y cuentan con prácticas de publicación relativamente estables. Sin embargo, la calidad y oportunidad de los datos dependen en gran medida de la consistencia con la que las entidades reportan su información. Existen procesos automatizados, pero aún se recurre a consolidaciones manuales debido a la falta de un modelo estadístico sectorial unificado. La ausencia de estándares homogéneos dificulta la armonización de indicadores y genera variabilidad en metodologías y definiciones.</w:t>
                </w:r>
              </w:p>
            </w:tc>
          </w:tr>
          <w:tr w:rsidRPr="00D255BF" w:rsidR="005E3BD6" w:rsidTr="3D9E0835" w14:paraId="04538AD9" w14:textId="77777777">
            <w:trPr>
              <w:trHeight w:val="300"/>
              <w:jc w:val="center"/>
            </w:trPr>
            <w:tc>
              <w:tcPr>
                <w:tcW w:w="1563" w:type="dxa"/>
                <w:vAlign w:val="center"/>
              </w:tcPr>
              <w:p w:rsidRPr="002F36E3" w:rsidR="005E3BD6" w:rsidP="002F36E3" w:rsidRDefault="005E3BD6" w14:paraId="268F21CE" w14:textId="77777777">
                <w:pPr>
                  <w:jc w:val="both"/>
                  <w:rPr>
                    <w:rFonts w:ascii="Nunito Sans" w:hAnsi="Nunito Sans" w:eastAsia="Arial" w:cs="Calibri"/>
                    <w:b/>
                    <w:sz w:val="18"/>
                    <w:szCs w:val="18"/>
                  </w:rPr>
                </w:pPr>
                <w:r w:rsidRPr="002F36E3">
                  <w:rPr>
                    <w:rFonts w:ascii="Nunito Sans" w:hAnsi="Nunito Sans" w:eastAsia="Arial" w:cs="Calibri"/>
                    <w:b/>
                    <w:sz w:val="18"/>
                    <w:szCs w:val="18"/>
                  </w:rPr>
                  <w:t>ANM</w:t>
                </w:r>
              </w:p>
            </w:tc>
            <w:tc>
              <w:tcPr>
                <w:tcW w:w="7787" w:type="dxa"/>
                <w:vAlign w:val="center"/>
              </w:tcPr>
              <w:p w:rsidRPr="002F36E3" w:rsidR="005E3BD6" w:rsidP="002F36E3" w:rsidRDefault="005E3BD6" w14:paraId="5C109C93" w14:textId="77777777">
                <w:pPr>
                  <w:jc w:val="both"/>
                  <w:rPr>
                    <w:rFonts w:ascii="Nunito Sans" w:hAnsi="Nunito Sans" w:eastAsia="Arial" w:cs="Calibri"/>
                    <w:sz w:val="18"/>
                    <w:szCs w:val="18"/>
                  </w:rPr>
                </w:pPr>
                <w:r w:rsidRPr="002F36E3">
                  <w:rPr>
                    <w:rFonts w:ascii="Nunito Sans" w:hAnsi="Nunito Sans" w:eastAsia="Arial" w:cs="Calibri"/>
                    <w:sz w:val="18"/>
                    <w:szCs w:val="18"/>
                  </w:rPr>
                  <w:t>La ANM administra datos estadísticos robustos relacionados con títulos, producción y regalías mineras. Sus procesos de captura, validación y actualización presentan un buen nivel de madurez, permitiendo contar con información confiable para análisis operativos y regulatorios. No obstante, la conexión entre los datos estadísticos y los datos geoespaciales asociados a la actividad minera aún requiere integración plena para potenciar análisis más avanzados. Adicionalmente, la interoperabilidad estadística con el MME se ejecuta de manera parcial, como consecuencia de la ausencia de mecanismos automatizados compartidos a nivel sectorial.</w:t>
                </w:r>
              </w:p>
            </w:tc>
          </w:tr>
          <w:tr w:rsidRPr="00D255BF" w:rsidR="005E3BD6" w:rsidTr="3D9E0835" w14:paraId="1AB76753" w14:textId="77777777">
            <w:trPr>
              <w:trHeight w:val="300"/>
              <w:jc w:val="center"/>
            </w:trPr>
            <w:tc>
              <w:tcPr>
                <w:tcW w:w="1563" w:type="dxa"/>
                <w:vAlign w:val="center"/>
              </w:tcPr>
              <w:p w:rsidRPr="002F36E3" w:rsidR="005E3BD6" w:rsidP="002F36E3" w:rsidRDefault="005E3BD6" w14:paraId="14025956" w14:textId="77777777">
                <w:pPr>
                  <w:jc w:val="both"/>
                  <w:rPr>
                    <w:rFonts w:ascii="Nunito Sans" w:hAnsi="Nunito Sans" w:eastAsia="Arial" w:cs="Calibri"/>
                    <w:b/>
                    <w:sz w:val="18"/>
                    <w:szCs w:val="18"/>
                  </w:rPr>
                </w:pPr>
                <w:r w:rsidRPr="002F36E3">
                  <w:rPr>
                    <w:rFonts w:ascii="Nunito Sans" w:hAnsi="Nunito Sans" w:eastAsia="Arial" w:cs="Calibri"/>
                    <w:b/>
                    <w:sz w:val="18"/>
                    <w:szCs w:val="18"/>
                  </w:rPr>
                  <w:t>UPME</w:t>
                </w:r>
              </w:p>
            </w:tc>
            <w:tc>
              <w:tcPr>
                <w:tcW w:w="7787" w:type="dxa"/>
                <w:vAlign w:val="center"/>
              </w:tcPr>
              <w:p w:rsidRPr="002F36E3" w:rsidR="005E3BD6" w:rsidP="002F36E3" w:rsidRDefault="005E3BD6" w14:paraId="3929FC0E" w14:textId="77777777">
                <w:pPr>
                  <w:jc w:val="both"/>
                  <w:rPr>
                    <w:rFonts w:ascii="Nunito Sans" w:hAnsi="Nunito Sans" w:eastAsia="Arial" w:cs="Calibri"/>
                    <w:sz w:val="18"/>
                    <w:szCs w:val="18"/>
                  </w:rPr>
                </w:pPr>
                <w:r w:rsidRPr="002F36E3">
                  <w:rPr>
                    <w:rFonts w:ascii="Nunito Sans" w:hAnsi="Nunito Sans" w:eastAsia="Arial" w:cs="Calibri"/>
                    <w:sz w:val="18"/>
                    <w:szCs w:val="18"/>
                  </w:rPr>
                  <w:t>UPME es el principal generador de datos estadísticos del sector, especialmente en lo referente a demanda energética, proyecciones, expansión del sistema interconectado y análisis técnico de largo plazo. Sus datos cuentan con alta rigurosidad metodológica y son ampliamente utilizados para planeación y formulación de políticas. A pesar de sus fortalezas, los flujos de información con entidades como la CREG y la ANH muestran dependencia de procesos manuales o parcialmente automatizados, lo que impide una integración fluida. La ausencia de un catálogo estadístico sectorial limita la estandarización plena y complica la interoperabilidad.</w:t>
                </w:r>
              </w:p>
            </w:tc>
          </w:tr>
          <w:tr w:rsidRPr="00D255BF" w:rsidR="005E3BD6" w:rsidTr="3D9E0835" w14:paraId="615C2E5B" w14:textId="77777777">
            <w:trPr>
              <w:trHeight w:val="300"/>
              <w:jc w:val="center"/>
            </w:trPr>
            <w:tc>
              <w:tcPr>
                <w:tcW w:w="1563" w:type="dxa"/>
                <w:vAlign w:val="center"/>
              </w:tcPr>
              <w:p w:rsidRPr="002F36E3" w:rsidR="005E3BD6" w:rsidP="002F36E3" w:rsidRDefault="005E3BD6" w14:paraId="0903A483" w14:textId="77777777">
                <w:pPr>
                  <w:jc w:val="both"/>
                  <w:rPr>
                    <w:rFonts w:ascii="Nunito Sans" w:hAnsi="Nunito Sans" w:eastAsia="Arial" w:cs="Calibri"/>
                    <w:b/>
                    <w:sz w:val="18"/>
                    <w:szCs w:val="18"/>
                  </w:rPr>
                </w:pPr>
                <w:r w:rsidRPr="002F36E3">
                  <w:rPr>
                    <w:rFonts w:ascii="Nunito Sans" w:hAnsi="Nunito Sans" w:eastAsia="Arial" w:cs="Calibri"/>
                    <w:b/>
                    <w:sz w:val="18"/>
                    <w:szCs w:val="18"/>
                  </w:rPr>
                  <w:t>ANH</w:t>
                </w:r>
              </w:p>
            </w:tc>
            <w:tc>
              <w:tcPr>
                <w:tcW w:w="7787" w:type="dxa"/>
                <w:vAlign w:val="center"/>
              </w:tcPr>
              <w:p w:rsidRPr="002F36E3" w:rsidR="005E3BD6" w:rsidP="002F36E3" w:rsidRDefault="005E3BD6" w14:paraId="6BCAE265" w14:textId="77777777">
                <w:pPr>
                  <w:jc w:val="both"/>
                  <w:rPr>
                    <w:rFonts w:ascii="Nunito Sans" w:hAnsi="Nunito Sans" w:eastAsia="Arial" w:cs="Calibri"/>
                    <w:sz w:val="18"/>
                    <w:szCs w:val="18"/>
                  </w:rPr>
                </w:pPr>
                <w:r w:rsidRPr="002F36E3">
                  <w:rPr>
                    <w:rFonts w:ascii="Nunito Sans" w:hAnsi="Nunito Sans" w:eastAsia="Arial" w:cs="Calibri"/>
                    <w:sz w:val="18"/>
                    <w:szCs w:val="18"/>
                  </w:rPr>
                  <w:t>La ANH genera estadísticas críticas para el análisis de hidrocarburos, incluyendo información sobre producción, reservas, exploración y contratos. Sus metodologías son consistentes, pero la heterogeneidad en los ciclos de actualización y la falta de estandarización transversal afectan la armonización de la información sectorial. La interoperabilidad con el MME es reducida, reflejándose en la necesidad de consolidaciones manuales y solicitudes de información formales. La ausencia de un marco común de metadatos limita el uso estratégico de estas estadísticas en procesos de análisis integrados.</w:t>
                </w:r>
              </w:p>
            </w:tc>
          </w:tr>
          <w:tr w:rsidRPr="00D255BF" w:rsidR="005E3BD6" w:rsidTr="3D9E0835" w14:paraId="27BDF6A1" w14:textId="77777777">
            <w:trPr>
              <w:trHeight w:val="300"/>
              <w:jc w:val="center"/>
            </w:trPr>
            <w:tc>
              <w:tcPr>
                <w:tcW w:w="1563" w:type="dxa"/>
                <w:vAlign w:val="center"/>
              </w:tcPr>
              <w:p w:rsidRPr="002F36E3" w:rsidR="005E3BD6" w:rsidP="002F36E3" w:rsidRDefault="005E3BD6" w14:paraId="286B4807"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SGC </w:t>
                </w:r>
              </w:p>
            </w:tc>
            <w:tc>
              <w:tcPr>
                <w:tcW w:w="7787" w:type="dxa"/>
                <w:vAlign w:val="center"/>
              </w:tcPr>
              <w:p w:rsidRPr="002F36E3" w:rsidR="005E3BD6" w:rsidP="002F36E3" w:rsidRDefault="005E3BD6" w14:paraId="36B70EC2" w14:textId="77777777">
                <w:pPr>
                  <w:jc w:val="both"/>
                  <w:rPr>
                    <w:rFonts w:ascii="Nunito Sans" w:hAnsi="Nunito Sans" w:eastAsia="Arial" w:cs="Calibri"/>
                    <w:sz w:val="18"/>
                    <w:szCs w:val="18"/>
                  </w:rPr>
                </w:pPr>
                <w:r w:rsidRPr="002F36E3">
                  <w:rPr>
                    <w:rFonts w:ascii="Nunito Sans" w:hAnsi="Nunito Sans" w:eastAsia="Arial" w:cs="Calibri"/>
                    <w:sz w:val="18"/>
                    <w:szCs w:val="18"/>
                  </w:rPr>
                  <w:t xml:space="preserve">El SGC produce un volumen considerable de estadísticas geoespaciales, sismológicas y volcánicas, además de series especializadas asociadas a recursos minerales. La entidad se caracteriza por mantener altos niveles de calidad técnica gracias al uso de estándares internacionales. No obstante, la articulación de estos datos con las necesidades estadísticas del sector minero-energético aún es limitada, debido a que operan bajo esquemas y metodologías altamente especializados. La interoperabilidad estadística es parcial y depende de solicitudes </w:t>
                </w:r>
                <w:r w:rsidRPr="002F36E3">
                  <w:rPr>
                    <w:rFonts w:ascii="Nunito Sans" w:hAnsi="Nunito Sans" w:eastAsia="Arial" w:cs="Calibri"/>
                    <w:sz w:val="18"/>
                    <w:szCs w:val="18"/>
                  </w:rPr>
                  <w:lastRenderedPageBreak/>
                  <w:t>documentales o flujos informales que no garantizan actualización constante para análisis sectorial.</w:t>
                </w:r>
              </w:p>
            </w:tc>
          </w:tr>
          <w:tr w:rsidRPr="00D255BF" w:rsidR="005E3BD6" w:rsidTr="3D9E0835" w14:paraId="40F4AF8D" w14:textId="77777777">
            <w:trPr>
              <w:trHeight w:val="300"/>
              <w:jc w:val="center"/>
            </w:trPr>
            <w:tc>
              <w:tcPr>
                <w:tcW w:w="1563" w:type="dxa"/>
                <w:vAlign w:val="center"/>
              </w:tcPr>
              <w:p w:rsidRPr="002F36E3" w:rsidR="005E3BD6" w:rsidP="002F36E3" w:rsidRDefault="005E3BD6" w14:paraId="3DAB4346" w14:textId="77777777">
                <w:pPr>
                  <w:jc w:val="both"/>
                  <w:rPr>
                    <w:rFonts w:ascii="Nunito Sans" w:hAnsi="Nunito Sans" w:eastAsia="Arial" w:cs="Calibri"/>
                    <w:b/>
                    <w:sz w:val="18"/>
                    <w:szCs w:val="18"/>
                  </w:rPr>
                </w:pPr>
                <w:r w:rsidRPr="002F36E3">
                  <w:rPr>
                    <w:rFonts w:ascii="Nunito Sans" w:hAnsi="Nunito Sans" w:eastAsia="Arial" w:cs="Calibri"/>
                    <w:b/>
                    <w:sz w:val="18"/>
                    <w:szCs w:val="18"/>
                  </w:rPr>
                  <w:lastRenderedPageBreak/>
                  <w:t xml:space="preserve">CREG </w:t>
                </w:r>
              </w:p>
            </w:tc>
            <w:tc>
              <w:tcPr>
                <w:tcW w:w="7787" w:type="dxa"/>
                <w:vAlign w:val="center"/>
              </w:tcPr>
              <w:p w:rsidRPr="002F36E3" w:rsidR="005E3BD6" w:rsidP="002F36E3" w:rsidRDefault="252504EC" w14:paraId="6E40A487" w14:textId="3039EA30">
                <w:pPr>
                  <w:jc w:val="both"/>
                  <w:rPr>
                    <w:rFonts w:ascii="Nunito Sans" w:hAnsi="Nunito Sans" w:eastAsia="Arial" w:cs="Calibri"/>
                    <w:sz w:val="18"/>
                    <w:szCs w:val="18"/>
                  </w:rPr>
                </w:pPr>
                <w:r w:rsidRPr="002F36E3">
                  <w:rPr>
                    <w:rFonts w:ascii="Nunito Sans" w:hAnsi="Nunito Sans" w:eastAsiaTheme="minorEastAsia" w:cstheme="minorBidi"/>
                    <w:sz w:val="18"/>
                    <w:szCs w:val="18"/>
                  </w:rPr>
                  <w:t>La CREG administra información y datos derivados de los procesos regulatorios del sector energético, incluyendo aspectos relacionados con tarifas, mercados energéticos y cumplimiento normativo. Aunque la calidad de la información es alta y los procesos de captura y gestión se encuentran estructurados, no existe un sistema sectorial común que permita consolidar e intercambiar estos datos de manera automática con otras entidades del sector. La información es gestionada y compartida mediante mecanismos institucionales establecidos; sin embargo, la ausencia de estándares sectoriales homogéneos dificulta su integración y aprovechamiento conjunto dentro del ecosistema de información del sector minero-energético.</w:t>
                </w:r>
              </w:p>
            </w:tc>
          </w:tr>
          <w:tr w:rsidRPr="00D255BF" w:rsidR="005E3BD6" w:rsidTr="3D9E0835" w14:paraId="2EB2FA10" w14:textId="77777777">
            <w:trPr>
              <w:trHeight w:val="300"/>
              <w:jc w:val="center"/>
            </w:trPr>
            <w:tc>
              <w:tcPr>
                <w:tcW w:w="1563" w:type="dxa"/>
                <w:vAlign w:val="center"/>
              </w:tcPr>
              <w:p w:rsidRPr="002F36E3" w:rsidR="005E3BD6" w:rsidP="002F36E3" w:rsidRDefault="005E3BD6" w14:paraId="05FF8C44"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FENOGE </w:t>
                </w:r>
              </w:p>
            </w:tc>
            <w:tc>
              <w:tcPr>
                <w:tcW w:w="7787" w:type="dxa"/>
                <w:vAlign w:val="center"/>
              </w:tcPr>
              <w:p w:rsidRPr="002F36E3" w:rsidR="005E3BD6" w:rsidP="002F36E3" w:rsidRDefault="005E3BD6" w14:paraId="37B4D097" w14:textId="77777777">
                <w:pPr>
                  <w:jc w:val="both"/>
                  <w:rPr>
                    <w:rFonts w:ascii="Nunito Sans" w:hAnsi="Nunito Sans" w:eastAsia="Arial" w:cs="Calibri"/>
                    <w:sz w:val="18"/>
                    <w:szCs w:val="18"/>
                  </w:rPr>
                </w:pPr>
                <w:r w:rsidRPr="002F36E3">
                  <w:rPr>
                    <w:rFonts w:ascii="Nunito Sans" w:hAnsi="Nunito Sans" w:eastAsia="Arial" w:cs="Calibri"/>
                    <w:sz w:val="18"/>
                    <w:szCs w:val="18"/>
                  </w:rPr>
                  <w:t>FENOGE genera datos estadísticos asociados a los proyectos de energías renovables y eficiencia energética que financia o acompaña. Sin embargo, estos datos se producen mediante mecanismos manuales y sin metodologías formales documentadas. La calidad, trazabilidad y frecuencia de actualización no están aseguradas. La entidad carece de sistemas de información robustos y de prácticas de validación que permitan consolidar estadísticas confiables para el sector.</w:t>
                </w:r>
              </w:p>
            </w:tc>
          </w:tr>
          <w:tr w:rsidRPr="00D255BF" w:rsidR="005E3BD6" w:rsidTr="3D9E0835" w14:paraId="6C8FF40F" w14:textId="77777777">
            <w:trPr>
              <w:trHeight w:val="300"/>
              <w:jc w:val="center"/>
            </w:trPr>
            <w:tc>
              <w:tcPr>
                <w:tcW w:w="1563" w:type="dxa"/>
                <w:vAlign w:val="center"/>
              </w:tcPr>
              <w:p w:rsidRPr="002F36E3" w:rsidR="005E3BD6" w:rsidP="002F36E3" w:rsidRDefault="005E3BD6" w14:paraId="232FFD0C" w14:textId="77777777">
                <w:pPr>
                  <w:jc w:val="both"/>
                  <w:rPr>
                    <w:rFonts w:ascii="Nunito Sans" w:hAnsi="Nunito Sans" w:eastAsia="Arial" w:cs="Calibri"/>
                    <w:b/>
                    <w:sz w:val="18"/>
                    <w:szCs w:val="18"/>
                  </w:rPr>
                </w:pPr>
                <w:r w:rsidRPr="002F36E3">
                  <w:rPr>
                    <w:rFonts w:ascii="Nunito Sans" w:hAnsi="Nunito Sans" w:eastAsia="Arial" w:cs="Calibri"/>
                    <w:b/>
                    <w:sz w:val="18"/>
                    <w:szCs w:val="18"/>
                  </w:rPr>
                  <w:t xml:space="preserve">IPSE </w:t>
                </w:r>
              </w:p>
            </w:tc>
            <w:tc>
              <w:tcPr>
                <w:tcW w:w="7787" w:type="dxa"/>
                <w:vAlign w:val="center"/>
              </w:tcPr>
              <w:p w:rsidRPr="002F36E3" w:rsidR="005E3BD6" w:rsidP="002F36E3" w:rsidRDefault="005E3BD6" w14:paraId="030B88E9" w14:textId="77777777">
                <w:pPr>
                  <w:jc w:val="both"/>
                  <w:rPr>
                    <w:rFonts w:ascii="Nunito Sans" w:hAnsi="Nunito Sans" w:eastAsia="Arial" w:cs="Calibri"/>
                    <w:sz w:val="18"/>
                    <w:szCs w:val="18"/>
                  </w:rPr>
                </w:pPr>
                <w:r w:rsidRPr="002F36E3">
                  <w:rPr>
                    <w:rFonts w:ascii="Nunito Sans" w:hAnsi="Nunito Sans" w:eastAsia="Arial" w:cs="Calibri"/>
                    <w:sz w:val="18"/>
                    <w:szCs w:val="18"/>
                  </w:rPr>
                  <w:t>IPSE administra estadísticas relacionadas con proyectos energéticos en zonas no interconectadas, pero los mecanismos de captura y almacenamiento son limitados, con una alta dependencia de registros manuales y documentos dispersos. La actualización es irregular y no existen estructuras estandarizadas para la presentación o consolidación de estadísticas. La entidad requiere fortalecimiento técnico urgente para garantizar la integridad, continuidad y utilidad de sus datos en el contexto sectorial.</w:t>
                </w:r>
              </w:p>
            </w:tc>
          </w:tr>
        </w:tbl>
        <w:p w:rsidRPr="0038010D" w:rsidR="005E3BD6" w:rsidP="005E3BD6" w:rsidRDefault="005E3BD6" w14:paraId="6992E41A" w14:textId="77777777">
          <w:pPr>
            <w:pStyle w:val="Default"/>
            <w:spacing w:line="360" w:lineRule="auto"/>
            <w:jc w:val="center"/>
            <w:rPr>
              <w:rFonts w:ascii="Nunito Sans" w:hAnsi="Nunito Sans" w:cs="Calibri"/>
            </w:rPr>
          </w:pPr>
          <w:bookmarkStart w:name="_Toc1072590217" w:id="117"/>
          <w:r w:rsidRPr="007E3FC8">
            <w:rPr>
              <w:rFonts w:ascii="Nunito Sans" w:hAnsi="Nunito Sans" w:eastAsia="CIDFont+F9" w:cs="Calibri"/>
              <w:color w:val="000000" w:themeColor="text1"/>
              <w:sz w:val="18"/>
              <w:szCs w:val="18"/>
            </w:rPr>
            <w:t>Fuente: Elaboración propia</w:t>
          </w:r>
        </w:p>
        <w:p w:rsidR="005E3BD6" w:rsidRDefault="005E3BD6" w14:paraId="4345A591" w14:textId="095E1ABB">
          <w:pPr>
            <w:pStyle w:val="Ttulo3"/>
            <w:numPr>
              <w:ilvl w:val="2"/>
              <w:numId w:val="35"/>
            </w:numPr>
            <w:spacing w:before="240"/>
          </w:pPr>
          <w:bookmarkStart w:name="_Toc234234460" w:id="118"/>
          <w:r w:rsidRPr="0E79E4E6">
            <w:t>Análisis Datos Geoespaciales</w:t>
          </w:r>
          <w:bookmarkEnd w:id="117"/>
          <w:bookmarkEnd w:id="118"/>
        </w:p>
        <w:p w:rsidRPr="00DF354F" w:rsidR="00DF354F" w:rsidP="00DF354F" w:rsidRDefault="00DF354F" w14:paraId="79EA1056" w14:textId="77777777">
          <w:pPr>
            <w:rPr>
              <w:lang w:val="es-ES"/>
            </w:rPr>
          </w:pPr>
        </w:p>
        <w:p w:rsidRPr="00CA4194" w:rsidR="005E3BD6" w:rsidP="005E3BD6" w:rsidRDefault="005E3BD6" w14:paraId="61ED89A2" w14:textId="77777777">
          <w:pPr>
            <w:jc w:val="both"/>
            <w:rPr>
              <w:rFonts w:ascii="Nunito Sans" w:hAnsi="Nunito Sans" w:cs="Calibri" w:eastAsiaTheme="minorHAnsi"/>
              <w:sz w:val="22"/>
              <w:szCs w:val="22"/>
            </w:rPr>
          </w:pPr>
          <w:r w:rsidRPr="00CA4194">
            <w:rPr>
              <w:rFonts w:ascii="Nunito Sans" w:hAnsi="Nunito Sans" w:eastAsia="Arial" w:cs="Calibri"/>
              <w:sz w:val="22"/>
              <w:szCs w:val="22"/>
              <w:lang w:val="es-ES"/>
            </w:rPr>
            <w:t>Los datos geoespaciales en el sector minero-energético constituyen un insumo crítico para la planeación, el seguimiento técnico y la toma de decisiones territoriales. El análisis de este componente permite identificar cómo cada entidad gestiona información asociada a ubicación, infraestructura, recursos naturales, riesgos y dinámicas del territorio, así como los mecanismos utilizados para su producción, custodia, estandarización y publicación. Este punto examina el estado actual de los sistemas geográficos, los servicios disponibles, los estándares aplicados, la calidad de los datos y el nivel de articulación con la Infraestructura Colombiana de Datos Espaciales (ICDE), evidenciando capacidades, vacíos y oportunidades de fortalecimiento en la gestión geoespacial sectorial.</w:t>
          </w:r>
        </w:p>
        <w:p w:rsidR="005E3BD6" w:rsidP="005E3BD6" w:rsidRDefault="005E3BD6" w14:paraId="70C60382" w14:textId="77777777">
          <w:pPr>
            <w:jc w:val="both"/>
            <w:rPr>
              <w:rFonts w:ascii="Nunito Sans" w:hAnsi="Nunito Sans" w:eastAsia="Arial" w:cs="Calibri"/>
              <w:sz w:val="22"/>
              <w:szCs w:val="22"/>
              <w:lang w:val="es-ES"/>
            </w:rPr>
          </w:pPr>
        </w:p>
        <w:p w:rsidRPr="00EB43A6" w:rsidR="005E3BD6" w:rsidP="005E3BD6" w:rsidRDefault="00DE5383" w14:paraId="7781957F" w14:textId="526890B3">
          <w:pPr>
            <w:ind w:left="360" w:hanging="360"/>
            <w:jc w:val="center"/>
            <w:rPr>
              <w:rFonts w:ascii="Nunito Sans" w:hAnsi="Nunito Sans" w:cs="Calibri"/>
              <w:b/>
              <w:bCs/>
              <w:sz w:val="18"/>
              <w:szCs w:val="18"/>
            </w:rPr>
          </w:pPr>
          <w:bookmarkStart w:name="_Toc220664186" w:id="119"/>
          <w:r w:rsidRPr="00DE5383">
            <w:rPr>
              <w:rFonts w:ascii="Nunito Sans" w:hAnsi="Nunito Sans" w:cs="Calibri"/>
              <w:b/>
              <w:bCs/>
              <w:sz w:val="18"/>
              <w:szCs w:val="18"/>
            </w:rPr>
            <w:t xml:space="preserve">Tabla </w:t>
          </w:r>
          <w:r w:rsidRPr="00DE5383">
            <w:rPr>
              <w:rFonts w:ascii="Nunito Sans" w:hAnsi="Nunito Sans" w:cs="Calibri"/>
              <w:b/>
              <w:bCs/>
              <w:sz w:val="18"/>
              <w:szCs w:val="18"/>
            </w:rPr>
            <w:fldChar w:fldCharType="begin"/>
          </w:r>
          <w:r w:rsidRPr="00DE5383">
            <w:rPr>
              <w:rFonts w:ascii="Nunito Sans" w:hAnsi="Nunito Sans" w:cs="Calibri"/>
              <w:b/>
              <w:bCs/>
              <w:sz w:val="18"/>
              <w:szCs w:val="18"/>
            </w:rPr>
            <w:instrText xml:space="preserve"> SEQ Tabla \* ARABIC </w:instrText>
          </w:r>
          <w:r w:rsidRPr="00DE5383">
            <w:rPr>
              <w:rFonts w:ascii="Nunito Sans" w:hAnsi="Nunito Sans" w:cs="Calibri"/>
              <w:b/>
              <w:bCs/>
              <w:sz w:val="18"/>
              <w:szCs w:val="18"/>
            </w:rPr>
            <w:fldChar w:fldCharType="separate"/>
          </w:r>
          <w:r w:rsidR="00C57F7B">
            <w:rPr>
              <w:rFonts w:ascii="Nunito Sans" w:hAnsi="Nunito Sans" w:cs="Calibri"/>
              <w:b/>
              <w:bCs/>
              <w:noProof/>
              <w:sz w:val="18"/>
              <w:szCs w:val="18"/>
            </w:rPr>
            <w:t>15</w:t>
          </w:r>
          <w:r w:rsidRPr="00DE5383">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Datos Geoespaciales del Sector</w:t>
          </w:r>
          <w:bookmarkEnd w:id="119"/>
        </w:p>
        <w:tbl>
          <w:tblPr>
            <w:tblStyle w:val="Tablaconcuadrcula"/>
            <w:tblW w:w="9350" w:type="dxa"/>
            <w:jc w:val="right"/>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1305"/>
            <w:gridCol w:w="8045"/>
          </w:tblGrid>
          <w:tr w:rsidRPr="00D255BF" w:rsidR="005E3BD6" w:rsidTr="3D9E0835" w14:paraId="4600BFEF" w14:textId="77777777">
            <w:trPr>
              <w:trHeight w:val="300"/>
              <w:jc w:val="right"/>
            </w:trPr>
            <w:tc>
              <w:tcPr>
                <w:tcW w:w="1305" w:type="dxa"/>
                <w:shd w:val="clear" w:color="auto" w:fill="E1AF3B"/>
                <w:vAlign w:val="center"/>
              </w:tcPr>
              <w:p w:rsidRPr="00D255BF" w:rsidR="005E3BD6" w:rsidP="00B4771C" w:rsidRDefault="005E3BD6" w14:paraId="41513255" w14:textId="77777777">
                <w:pPr>
                  <w:rPr>
                    <w:rFonts w:ascii="Nunito Sans" w:hAnsi="Nunito Sans" w:eastAsia="Arial" w:cs="Calibri"/>
                    <w:b/>
                    <w:bCs/>
                    <w:color w:val="FFFFFF" w:themeColor="background1"/>
                    <w:sz w:val="18"/>
                    <w:szCs w:val="18"/>
                  </w:rPr>
                </w:pPr>
                <w:r w:rsidRPr="00D255BF">
                  <w:rPr>
                    <w:rFonts w:ascii="Nunito Sans" w:hAnsi="Nunito Sans" w:eastAsia="Arial" w:cs="Calibri"/>
                    <w:b/>
                    <w:bCs/>
                    <w:color w:val="FFFFFF" w:themeColor="background1"/>
                    <w:sz w:val="18"/>
                    <w:szCs w:val="18"/>
                  </w:rPr>
                  <w:t>Entidad</w:t>
                </w:r>
              </w:p>
            </w:tc>
            <w:tc>
              <w:tcPr>
                <w:tcW w:w="8045" w:type="dxa"/>
                <w:shd w:val="clear" w:color="auto" w:fill="E1AF3B"/>
                <w:vAlign w:val="center"/>
              </w:tcPr>
              <w:p w:rsidRPr="00D255BF" w:rsidR="005E3BD6" w:rsidP="00B4771C" w:rsidRDefault="005E3BD6" w14:paraId="6304B0D5" w14:textId="77777777">
                <w:pPr>
                  <w:rPr>
                    <w:rFonts w:ascii="Nunito Sans" w:hAnsi="Nunito Sans" w:eastAsia="Arial" w:cs="Calibri"/>
                    <w:b/>
                    <w:bCs/>
                    <w:color w:val="FFFFFF" w:themeColor="background1"/>
                    <w:sz w:val="18"/>
                    <w:szCs w:val="18"/>
                  </w:rPr>
                </w:pPr>
                <w:r w:rsidRPr="00D255BF">
                  <w:rPr>
                    <w:rFonts w:ascii="Nunito Sans" w:hAnsi="Nunito Sans" w:eastAsia="Arial" w:cs="Calibri"/>
                    <w:b/>
                    <w:bCs/>
                    <w:color w:val="FFFFFF" w:themeColor="background1"/>
                    <w:sz w:val="18"/>
                    <w:szCs w:val="18"/>
                  </w:rPr>
                  <w:t>Análisis</w:t>
                </w:r>
              </w:p>
            </w:tc>
          </w:tr>
          <w:tr w:rsidRPr="00D255BF" w:rsidR="005E3BD6" w:rsidTr="3D9E0835" w14:paraId="168D52B1" w14:textId="77777777">
            <w:trPr>
              <w:trHeight w:val="300"/>
              <w:jc w:val="right"/>
            </w:trPr>
            <w:tc>
              <w:tcPr>
                <w:tcW w:w="1305" w:type="dxa"/>
                <w:vAlign w:val="center"/>
              </w:tcPr>
              <w:p w:rsidRPr="00ED0723" w:rsidR="005E3BD6" w:rsidP="00ED0723" w:rsidRDefault="005E3BD6" w14:paraId="25D00486"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MME</w:t>
                </w:r>
              </w:p>
            </w:tc>
            <w:tc>
              <w:tcPr>
                <w:tcW w:w="8045" w:type="dxa"/>
                <w:vAlign w:val="center"/>
              </w:tcPr>
              <w:p w:rsidRPr="00ED0723" w:rsidR="005E3BD6" w:rsidP="00ED0723" w:rsidRDefault="005E3BD6" w14:paraId="384A5435"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El MME emplea datos geoespaciales principalmente para contextualizar análisis sectoriales y para apoyar procesos de planeación y seguimiento de políticas. Su dependencia de capas generadas por entidades técnicas hace que su función geoespacial sea integradora más que productora. La gestión geoespacial es de uso estratégico, pero no cuenta con un repositorio sectorial unificado ni con servicios estandarizados que faciliten consumo directo desde las demás entidades.</w:t>
                </w:r>
              </w:p>
            </w:tc>
          </w:tr>
          <w:tr w:rsidRPr="00D255BF" w:rsidR="005E3BD6" w:rsidTr="3D9E0835" w14:paraId="1BD190CE" w14:textId="77777777">
            <w:trPr>
              <w:trHeight w:val="300"/>
              <w:jc w:val="right"/>
            </w:trPr>
            <w:tc>
              <w:tcPr>
                <w:tcW w:w="1305" w:type="dxa"/>
                <w:vAlign w:val="center"/>
              </w:tcPr>
              <w:p w:rsidRPr="00ED0723" w:rsidR="005E3BD6" w:rsidP="00ED0723" w:rsidRDefault="005E3BD6" w14:paraId="46AA172F"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 xml:space="preserve">ANM </w:t>
                </w:r>
              </w:p>
            </w:tc>
            <w:tc>
              <w:tcPr>
                <w:tcW w:w="8045" w:type="dxa"/>
                <w:vAlign w:val="center"/>
              </w:tcPr>
              <w:p w:rsidRPr="00ED0723" w:rsidR="005E3BD6" w:rsidP="00ED0723" w:rsidRDefault="005E3BD6" w14:paraId="06483979"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 xml:space="preserve">Administra información geoespacial esencial para el catastro minero y para la gestión del subsuelo. Maneja capas sobre títulos, áreas de interés y actividades mineras, con procesos de actualización frecuentes. Su infraestructura geoespacial es sólida, aunque opera de forma </w:t>
                </w:r>
                <w:r w:rsidRPr="00ED0723">
                  <w:rPr>
                    <w:rFonts w:ascii="Nunito Sans" w:hAnsi="Nunito Sans" w:eastAsia="Arial" w:cs="Calibri"/>
                    <w:color w:val="000000" w:themeColor="text1"/>
                    <w:sz w:val="18"/>
                    <w:szCs w:val="18"/>
                  </w:rPr>
                  <w:lastRenderedPageBreak/>
                  <w:t>independiente y sin integración automática con plataformas sectoriales, lo que limita la interoperabilidad espacial.</w:t>
                </w:r>
              </w:p>
            </w:tc>
          </w:tr>
          <w:tr w:rsidRPr="00D255BF" w:rsidR="005E3BD6" w:rsidTr="3D9E0835" w14:paraId="7B3F4900" w14:textId="77777777">
            <w:trPr>
              <w:trHeight w:val="300"/>
              <w:jc w:val="right"/>
            </w:trPr>
            <w:tc>
              <w:tcPr>
                <w:tcW w:w="1305" w:type="dxa"/>
                <w:vAlign w:val="center"/>
              </w:tcPr>
              <w:p w:rsidRPr="00ED0723" w:rsidR="005E3BD6" w:rsidP="00ED0723" w:rsidRDefault="005E3BD6" w14:paraId="51ACEB01"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lastRenderedPageBreak/>
                  <w:t xml:space="preserve">UPME </w:t>
                </w:r>
              </w:p>
            </w:tc>
            <w:tc>
              <w:tcPr>
                <w:tcW w:w="8045" w:type="dxa"/>
                <w:vAlign w:val="center"/>
              </w:tcPr>
              <w:p w:rsidRPr="00ED0723" w:rsidR="005E3BD6" w:rsidP="00ED0723" w:rsidRDefault="005E3BD6" w14:paraId="71C059BB"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Utiliza datos geoespaciales como insumo para modelación, proyecciones y planificación del sistema energético. Maneja capas relacionadas con redes eléctricas, infraestructura de transporte energético y áreas de influencia. Aunque su capacidad de análisis espacial es alta, las fuentes proceden de diversas entidades y no existe un modelo geoespacial sectorial que permita integrar la información de forma uniforme.</w:t>
                </w:r>
              </w:p>
            </w:tc>
          </w:tr>
          <w:tr w:rsidRPr="00D255BF" w:rsidR="005E3BD6" w:rsidTr="3D9E0835" w14:paraId="4F9BD3FA" w14:textId="77777777">
            <w:trPr>
              <w:trHeight w:val="300"/>
              <w:jc w:val="right"/>
            </w:trPr>
            <w:tc>
              <w:tcPr>
                <w:tcW w:w="1305" w:type="dxa"/>
                <w:vAlign w:val="center"/>
              </w:tcPr>
              <w:p w:rsidRPr="00ED0723" w:rsidR="005E3BD6" w:rsidP="00ED0723" w:rsidRDefault="005E3BD6" w14:paraId="45E07EC2"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 xml:space="preserve">ANH </w:t>
                </w:r>
              </w:p>
            </w:tc>
            <w:tc>
              <w:tcPr>
                <w:tcW w:w="8045" w:type="dxa"/>
                <w:vAlign w:val="center"/>
              </w:tcPr>
              <w:p w:rsidRPr="00ED0723" w:rsidR="005E3BD6" w:rsidP="00ED0723" w:rsidRDefault="005E3BD6" w14:paraId="506BB8C2"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Gestiona información georreferenciada relacionada con bloques, contratos, pozos y operaciones en el subsuelo. Sus datos geoespaciales tienen un papel crítico en el análisis técnico, pero la falta de alineación con estándares espaciales sectoriales dificulta la integración directa con otros sistemas institucionales. Depende de flujos especializados que no están articulados a un nodo geoespacial sectorial.</w:t>
                </w:r>
              </w:p>
            </w:tc>
          </w:tr>
          <w:tr w:rsidRPr="00D255BF" w:rsidR="005E3BD6" w:rsidTr="3D9E0835" w14:paraId="61A7D38F" w14:textId="77777777">
            <w:trPr>
              <w:trHeight w:val="300"/>
              <w:jc w:val="right"/>
            </w:trPr>
            <w:tc>
              <w:tcPr>
                <w:tcW w:w="1305" w:type="dxa"/>
                <w:vAlign w:val="center"/>
              </w:tcPr>
              <w:p w:rsidRPr="00ED0723" w:rsidR="005E3BD6" w:rsidP="00ED0723" w:rsidRDefault="005E3BD6" w14:paraId="281FEE12"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 xml:space="preserve">SGC  </w:t>
                </w:r>
              </w:p>
            </w:tc>
            <w:tc>
              <w:tcPr>
                <w:tcW w:w="8045" w:type="dxa"/>
                <w:vAlign w:val="center"/>
              </w:tcPr>
              <w:p w:rsidRPr="00ED0723" w:rsidR="005E3BD6" w:rsidP="00ED0723" w:rsidRDefault="005E3BD6" w14:paraId="6BFCF09E"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Es la entidad con mayor fortaleza en datos geoespaciales, al administrar bases de datos geoespaciales de alta precisión, modelos geocientíficos y cartografía oficial. Sus procesos se basan en normas internacionales y aseguran alta calidad y trazabilidad. A pesar de su liderazgo técnico, estas capacidades no están integradas de manera sectorial, lo que restringe el aprovechamiento completo de su información en ejercicios conjuntos de análisis.</w:t>
                </w:r>
              </w:p>
            </w:tc>
          </w:tr>
          <w:tr w:rsidRPr="00D255BF" w:rsidR="005E3BD6" w:rsidTr="3D9E0835" w14:paraId="75D74E53" w14:textId="77777777">
            <w:trPr>
              <w:trHeight w:val="300"/>
              <w:jc w:val="right"/>
            </w:trPr>
            <w:tc>
              <w:tcPr>
                <w:tcW w:w="1305" w:type="dxa"/>
                <w:vAlign w:val="center"/>
              </w:tcPr>
              <w:p w:rsidRPr="00ED0723" w:rsidR="005E3BD6" w:rsidP="00ED0723" w:rsidRDefault="005E3BD6" w14:paraId="7E6C0005"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 xml:space="preserve">CREG </w:t>
                </w:r>
              </w:p>
            </w:tc>
            <w:tc>
              <w:tcPr>
                <w:tcW w:w="8045" w:type="dxa"/>
                <w:vAlign w:val="center"/>
              </w:tcPr>
              <w:p w:rsidRPr="00ED0723" w:rsidR="005E3BD6" w:rsidP="00ED0723" w:rsidRDefault="16FA6BD1" w14:paraId="1049AF50" w14:textId="1247B1C0">
                <w:pPr>
                  <w:jc w:val="both"/>
                  <w:rPr>
                    <w:rFonts w:ascii="Nunito Sans" w:hAnsi="Nunito Sans" w:eastAsiaTheme="minorEastAsia" w:cstheme="minorBidi"/>
                    <w:color w:val="000000" w:themeColor="text1"/>
                    <w:sz w:val="18"/>
                    <w:szCs w:val="18"/>
                  </w:rPr>
                </w:pPr>
                <w:r w:rsidRPr="00ED0723">
                  <w:rPr>
                    <w:rFonts w:ascii="Nunito Sans" w:hAnsi="Nunito Sans" w:eastAsiaTheme="minorEastAsia" w:cstheme="minorBidi"/>
                    <w:color w:val="000000" w:themeColor="text1"/>
                    <w:sz w:val="18"/>
                    <w:szCs w:val="18"/>
                  </w:rPr>
                  <w:t>La CREG utiliza información geoespacial para análisis regulatorios específicos, tales como la identificación de áreas de operación, zonas de influencia y otros aspectos relacionados con los agentes regulados. Su rol en materia geoespacial es principalmente de consumo y aprovechamiento de información, más que de producción de datos. La entidad no cuenta con una estructura dedicada para la administración geoespacial y hace uso de insumos provenientes de diversas entidades técnicas y productoras de información geográfica y estadística, entre ellas la UPME, el IGAC, el DANE y otras entidades competentes, según los requerimientos de cada proceso regulatorio.</w:t>
                </w:r>
              </w:p>
            </w:tc>
          </w:tr>
          <w:tr w:rsidRPr="00D255BF" w:rsidR="005E3BD6" w:rsidTr="3D9E0835" w14:paraId="4DD63A3C" w14:textId="77777777">
            <w:trPr>
              <w:trHeight w:val="300"/>
              <w:jc w:val="right"/>
            </w:trPr>
            <w:tc>
              <w:tcPr>
                <w:tcW w:w="1305" w:type="dxa"/>
                <w:vAlign w:val="center"/>
              </w:tcPr>
              <w:p w:rsidRPr="00ED0723" w:rsidR="005E3BD6" w:rsidP="00ED0723" w:rsidRDefault="005E3BD6" w14:paraId="5FE4C42E"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FENOGE</w:t>
                </w:r>
              </w:p>
            </w:tc>
            <w:tc>
              <w:tcPr>
                <w:tcW w:w="8045" w:type="dxa"/>
                <w:vAlign w:val="center"/>
              </w:tcPr>
              <w:p w:rsidRPr="00ED0723" w:rsidR="005E3BD6" w:rsidP="00ED0723" w:rsidRDefault="005E3BD6" w14:paraId="664706A1"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Su uso de datos geoespaciales es limitado y se orienta principalmente a la ubicación de proyectos de energías renovables y eficiencia energética. No posee un sistema geoespacial formal ni mecanismos estructurados para la actualización o publicación de esta información, lo que dificulta su utilización sectorial.</w:t>
                </w:r>
              </w:p>
            </w:tc>
          </w:tr>
          <w:tr w:rsidRPr="00D255BF" w:rsidR="005E3BD6" w:rsidTr="3D9E0835" w14:paraId="6C5885B3" w14:textId="77777777">
            <w:trPr>
              <w:trHeight w:val="300"/>
              <w:jc w:val="right"/>
            </w:trPr>
            <w:tc>
              <w:tcPr>
                <w:tcW w:w="1305" w:type="dxa"/>
                <w:vAlign w:val="center"/>
              </w:tcPr>
              <w:p w:rsidRPr="00ED0723" w:rsidR="005E3BD6" w:rsidP="00ED0723" w:rsidRDefault="005E3BD6" w14:paraId="2E84F148" w14:textId="77777777">
                <w:pPr>
                  <w:jc w:val="both"/>
                  <w:rPr>
                    <w:rFonts w:ascii="Nunito Sans" w:hAnsi="Nunito Sans" w:eastAsia="Arial" w:cs="Calibri"/>
                    <w:b/>
                    <w:color w:val="000000" w:themeColor="text1"/>
                    <w:sz w:val="18"/>
                    <w:szCs w:val="18"/>
                  </w:rPr>
                </w:pPr>
                <w:r w:rsidRPr="00ED0723">
                  <w:rPr>
                    <w:rFonts w:ascii="Nunito Sans" w:hAnsi="Nunito Sans" w:eastAsia="Arial" w:cs="Calibri"/>
                    <w:b/>
                    <w:color w:val="000000" w:themeColor="text1"/>
                    <w:sz w:val="18"/>
                    <w:szCs w:val="18"/>
                  </w:rPr>
                  <w:t>IPSE</w:t>
                </w:r>
              </w:p>
            </w:tc>
            <w:tc>
              <w:tcPr>
                <w:tcW w:w="8045" w:type="dxa"/>
                <w:vAlign w:val="center"/>
              </w:tcPr>
              <w:p w:rsidRPr="00ED0723" w:rsidR="005E3BD6" w:rsidP="00ED0723" w:rsidRDefault="005E3BD6" w14:paraId="3D2916B2" w14:textId="77777777">
                <w:pPr>
                  <w:jc w:val="both"/>
                  <w:rPr>
                    <w:rFonts w:ascii="Nunito Sans" w:hAnsi="Nunito Sans" w:eastAsia="Arial" w:cs="Calibri"/>
                    <w:color w:val="000000" w:themeColor="text1"/>
                    <w:sz w:val="18"/>
                    <w:szCs w:val="18"/>
                  </w:rPr>
                </w:pPr>
                <w:r w:rsidRPr="00ED0723">
                  <w:rPr>
                    <w:rFonts w:ascii="Nunito Sans" w:hAnsi="Nunito Sans" w:eastAsia="Arial" w:cs="Calibri"/>
                    <w:color w:val="000000" w:themeColor="text1"/>
                    <w:sz w:val="18"/>
                    <w:szCs w:val="18"/>
                  </w:rPr>
                  <w:t>Maneja información georreferenciada relacionada con soluciones energéticas en Zonas No Interconectadas. La administración de estos datos se realiza mediante herramientas básicas que no garantizan continuidad ni estandarización. Requiere fortalecimiento técnico para estructurar su componente geoespacial y alinearlo con prácticas sectoriales.</w:t>
                </w:r>
              </w:p>
            </w:tc>
          </w:tr>
        </w:tbl>
        <w:p w:rsidRPr="00EF5DE4" w:rsidR="005E3BD6" w:rsidP="005E3BD6" w:rsidRDefault="005E3BD6" w14:paraId="1B0E187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06CD7190" w14:textId="77777777">
          <w:pPr>
            <w:ind w:firstLine="720"/>
            <w:jc w:val="both"/>
            <w:rPr>
              <w:rFonts w:ascii="Nunito Sans" w:hAnsi="Nunito Sans" w:cs="Calibri" w:eastAsiaTheme="minorEastAsia"/>
              <w:i/>
              <w:iCs/>
              <w:color w:val="FF0000"/>
              <w:sz w:val="22"/>
              <w:szCs w:val="22"/>
              <w:lang w:val="es-ES"/>
            </w:rPr>
          </w:pPr>
        </w:p>
        <w:p w:rsidR="005E3BD6" w:rsidRDefault="005E3BD6" w14:paraId="128A5D1C" w14:textId="6C2E118C">
          <w:pPr>
            <w:pStyle w:val="Ttulo3"/>
            <w:numPr>
              <w:ilvl w:val="2"/>
              <w:numId w:val="35"/>
            </w:numPr>
          </w:pPr>
          <w:bookmarkStart w:name="_Toc58031459" w:id="120"/>
          <w:bookmarkStart w:name="_Toc234234461" w:id="121"/>
          <w:bookmarkStart w:name="_Hlk213963554" w:id="122"/>
          <w:r w:rsidRPr="0E79E4E6">
            <w:t>Debilidades y fortalezas</w:t>
          </w:r>
          <w:bookmarkEnd w:id="120"/>
          <w:bookmarkEnd w:id="121"/>
          <w:r w:rsidRPr="0E79E4E6">
            <w:t xml:space="preserve"> </w:t>
          </w:r>
          <w:bookmarkEnd w:id="122"/>
        </w:p>
        <w:p w:rsidRPr="00DF354F" w:rsidR="00DF354F" w:rsidP="00DF354F" w:rsidRDefault="00DF354F" w14:paraId="3FC88571" w14:textId="77777777">
          <w:pPr>
            <w:rPr>
              <w:lang w:val="es-ES"/>
            </w:rPr>
          </w:pPr>
        </w:p>
        <w:p w:rsidRPr="00556108" w:rsidR="005E3BD6" w:rsidP="005E3BD6" w:rsidRDefault="005E3BD6" w14:paraId="6122ACB3" w14:textId="77777777">
          <w:pPr>
            <w:jc w:val="both"/>
            <w:rPr>
              <w:rFonts w:ascii="Nunito Sans" w:hAnsi="Nunito Sans" w:cs="Calibri" w:eastAsiaTheme="minorEastAsia"/>
              <w:b/>
              <w:bCs/>
              <w:sz w:val="22"/>
              <w:szCs w:val="22"/>
              <w:lang w:val="es-ES"/>
            </w:rPr>
          </w:pPr>
          <w:r w:rsidRPr="00556108">
            <w:rPr>
              <w:rFonts w:ascii="Nunito Sans" w:hAnsi="Nunito Sans" w:cs="Calibri" w:eastAsiaTheme="minorEastAsia"/>
              <w:b/>
              <w:bCs/>
              <w:sz w:val="22"/>
              <w:szCs w:val="22"/>
              <w:lang w:val="es-ES"/>
            </w:rPr>
            <w:t>Debilidades</w:t>
          </w:r>
        </w:p>
        <w:p w:rsidRPr="00CA4194" w:rsidR="005E3BD6" w:rsidRDefault="005E3BD6" w14:paraId="0A482B58"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Ausencia de un modelo sectorial unificado de datos e información que regule la estructuración, integración y uso de la información.</w:t>
          </w:r>
        </w:p>
        <w:p w:rsidRPr="00CA4194" w:rsidR="005E3BD6" w:rsidRDefault="005E3BD6" w14:paraId="0DB37A0E"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Falta de una gobernanza sectorial formalizada del dato con definición clara de roles y responsabilidades.</w:t>
          </w:r>
        </w:p>
        <w:p w:rsidRPr="00CA4194" w:rsidR="005E3BD6" w:rsidRDefault="005E3BD6" w14:paraId="395E2F92"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Inexistencia de estándares sectoriales comunes para modelos de datos, metadatos e información estadística y geoespacial.</w:t>
          </w:r>
        </w:p>
        <w:p w:rsidRPr="00CA4194" w:rsidR="005E3BD6" w:rsidRDefault="005E3BD6" w14:paraId="6D53CEA0"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Bajo nivel de madurez en la interoperabilidad de datos a nivel sectorial.</w:t>
          </w:r>
        </w:p>
        <w:p w:rsidRPr="00CA4194" w:rsidR="005E3BD6" w:rsidRDefault="005E3BD6" w14:paraId="432AC11E"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Fragmentación y heterogeneidad de los repositorios de información entre entidades.</w:t>
          </w:r>
        </w:p>
        <w:p w:rsidRPr="00CA4194" w:rsidR="005E3BD6" w:rsidRDefault="005E3BD6" w14:paraId="5A3F7270"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Débil articulación entre la información estadística y la información geoespacial.</w:t>
          </w:r>
        </w:p>
        <w:p w:rsidRPr="00CA4194" w:rsidR="005E3BD6" w:rsidRDefault="005E3BD6" w14:paraId="4F162B06"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lastRenderedPageBreak/>
            <w:t>Inexistencia de un modelo estadístico y geoespacial sectorial para análisis transversal.</w:t>
          </w:r>
        </w:p>
        <w:p w:rsidRPr="00CA4194" w:rsidR="005E3BD6" w:rsidRDefault="005E3BD6" w14:paraId="207D5415"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Dependencia estructural de fuentes externas de información sin control sectorial de estándares y calidad.</w:t>
          </w:r>
        </w:p>
        <w:p w:rsidRPr="00CA4194" w:rsidR="005E3BD6" w:rsidRDefault="005E3BD6" w14:paraId="030F6760"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Bajo nivel de automatización en la consolidación y explotación de la información.</w:t>
          </w:r>
        </w:p>
        <w:p w:rsidRPr="00CA4194" w:rsidR="005E3BD6" w:rsidRDefault="005E3BD6" w14:paraId="00FD74C4" w14:textId="77777777">
          <w:pPr>
            <w:pStyle w:val="Prrafodelista"/>
            <w:numPr>
              <w:ilvl w:val="0"/>
              <w:numId w:val="8"/>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Carencia de repositorios o servicios de información sectoriales estandarizados.</w:t>
          </w:r>
        </w:p>
        <w:p w:rsidRPr="00CA4194" w:rsidR="005E3BD6" w:rsidP="005E3BD6" w:rsidRDefault="005E3BD6" w14:paraId="16754119" w14:textId="77777777">
          <w:pPr>
            <w:jc w:val="both"/>
            <w:rPr>
              <w:rFonts w:ascii="Nunito Sans" w:hAnsi="Nunito Sans" w:cs="Calibri" w:eastAsiaTheme="minorEastAsia"/>
              <w:sz w:val="22"/>
              <w:szCs w:val="22"/>
              <w:lang w:val="es-ES"/>
            </w:rPr>
          </w:pPr>
        </w:p>
        <w:p w:rsidRPr="00AD179D" w:rsidR="005E3BD6" w:rsidP="005E3BD6" w:rsidRDefault="005E3BD6" w14:paraId="2B4F27E8" w14:textId="77777777">
          <w:pPr>
            <w:jc w:val="both"/>
            <w:rPr>
              <w:rFonts w:ascii="Nunito Sans" w:hAnsi="Nunito Sans" w:cs="Calibri" w:eastAsiaTheme="minorEastAsia"/>
              <w:b/>
              <w:bCs/>
              <w:sz w:val="22"/>
              <w:szCs w:val="22"/>
              <w:lang w:val="es-ES"/>
            </w:rPr>
          </w:pPr>
          <w:r w:rsidRPr="00AD179D">
            <w:rPr>
              <w:rFonts w:ascii="Nunito Sans" w:hAnsi="Nunito Sans" w:cs="Calibri" w:eastAsiaTheme="minorEastAsia"/>
              <w:b/>
              <w:bCs/>
              <w:sz w:val="22"/>
              <w:szCs w:val="22"/>
              <w:lang w:val="es-ES"/>
            </w:rPr>
            <w:t>Fortalezas</w:t>
          </w:r>
        </w:p>
        <w:p w:rsidRPr="00CA4194" w:rsidR="005E3BD6" w:rsidRDefault="005E3BD6" w14:paraId="16BAAF1B"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Algunas entidades cuentan con repositorios de información consolidados y estructurados que soportan la gestión y explotación de datos sectoriales.</w:t>
          </w:r>
        </w:p>
        <w:p w:rsidRPr="00CA4194" w:rsidR="005E3BD6" w:rsidRDefault="005E3BD6" w14:paraId="12DC50DD"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Algunas entidades disponen de capacidad técnica adecuada para soportar análisis sectorial, incluyendo análisis estadístico y especializado.</w:t>
          </w:r>
        </w:p>
        <w:p w:rsidRPr="00CA4194" w:rsidR="005E3BD6" w:rsidRDefault="005E3BD6" w14:paraId="2916EEA6"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En algunas entidades se evidencian procesos de actualización estables y uso estratégico del dato para la toma de decisiones.</w:t>
          </w:r>
        </w:p>
        <w:p w:rsidRPr="00CA4194" w:rsidR="005E3BD6" w:rsidRDefault="005E3BD6" w14:paraId="6FCE3144"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Existen sistemas misionales robustos y arquitecturas geoespaciales avanzadas en algunas entidades del sector.</w:t>
          </w:r>
        </w:p>
        <w:p w:rsidRPr="00CA4194" w:rsidR="005E3BD6" w:rsidRDefault="005E3BD6" w14:paraId="5444EB2C"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Algunas entidades han definido procesos formales para la actualización y validación de datos que contribuyen a mejorar la calidad de la información.</w:t>
          </w:r>
        </w:p>
        <w:p w:rsidRPr="00CA4194" w:rsidR="005E3BD6" w:rsidRDefault="005E3BD6" w14:paraId="72FEDF5B"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Se dispone de datos mineros estructurados y de alta calidad en entidades con responsabilidades misionales específicas.</w:t>
          </w:r>
        </w:p>
        <w:p w:rsidRPr="00CA4194" w:rsidR="005E3BD6" w:rsidRDefault="005E3BD6" w14:paraId="36CBA73C"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El sector cuenta, a través de determinadas entidades, con una amplia producción estadística que apoya ejercicios de planeación y proyección.</w:t>
          </w:r>
        </w:p>
        <w:p w:rsidRPr="00CA4194" w:rsidR="005E3BD6" w:rsidRDefault="005E3BD6" w14:paraId="3DDB8855"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Existen repositorios de alta relevancia para el análisis energético en entidades con funciones de planeación y regulación.</w:t>
          </w:r>
        </w:p>
        <w:p w:rsidRPr="00CA4194" w:rsidR="005E3BD6" w:rsidRDefault="005E3BD6" w14:paraId="2A09EF0F"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Algunas entidades aplican procesos metodológicos avanzados para la gestión y análisis de datos.</w:t>
          </w:r>
        </w:p>
        <w:p w:rsidRPr="00CA4194" w:rsidR="005E3BD6" w:rsidRDefault="005E3BD6" w14:paraId="5A24E58B"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Producción de información estratégica de hidrocarburos soportada en plataformas especializadas para contratos, pozos y reservas.</w:t>
          </w:r>
        </w:p>
        <w:p w:rsidRPr="00CA4194" w:rsidR="005E3BD6" w:rsidRDefault="005E3BD6" w14:paraId="5486F031"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Se dispone de alto nivel técnico en la gestión de datos geoespaciales y geocientíficos en entidades con competencias especializadas.</w:t>
          </w:r>
        </w:p>
        <w:p w:rsidRPr="00CA4194" w:rsidR="005E3BD6" w:rsidRDefault="005E3BD6" w14:paraId="57B97AD1" w14:textId="77777777">
          <w:pPr>
            <w:pStyle w:val="Prrafodelista"/>
            <w:numPr>
              <w:ilvl w:val="0"/>
              <w:numId w:val="9"/>
            </w:numPr>
            <w:ind w:left="709" w:hanging="283"/>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Uso de estándares internacionales y esquemas de metadatos sólidos en repositorios de información de determinadas entidades.</w:t>
          </w:r>
        </w:p>
        <w:p w:rsidRPr="00CA4194" w:rsidR="005E3BD6" w:rsidP="005E3BD6" w:rsidRDefault="005E3BD6" w14:paraId="01A976CD" w14:textId="77777777">
          <w:pPr>
            <w:pStyle w:val="Prrafodelista"/>
            <w:ind w:left="709" w:hanging="283"/>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Flujos estables de información hacia la UPME y el MME en entidades con mayor madurez en gestión del dato.</w:t>
          </w:r>
        </w:p>
        <w:p w:rsidRPr="00CA4194" w:rsidR="005E3BD6" w:rsidP="005E3BD6" w:rsidRDefault="005E3BD6" w14:paraId="5D3F45E7" w14:textId="77777777">
          <w:pPr>
            <w:pStyle w:val="Prrafodelista"/>
            <w:ind w:left="709" w:hanging="283"/>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Disponibilidad de información estratégica relacionada con Zonas No Interconectadas y conocimiento territorial relevante</w:t>
          </w:r>
        </w:p>
        <w:p w:rsidR="005E3BD6" w:rsidP="005E3BD6" w:rsidRDefault="005E3BD6" w14:paraId="5F6987EF" w14:textId="77777777">
          <w:pPr>
            <w:jc w:val="both"/>
            <w:rPr>
              <w:rFonts w:ascii="Nunito Sans" w:hAnsi="Nunito Sans" w:cs="Calibri" w:eastAsiaTheme="minorEastAsia"/>
              <w:sz w:val="22"/>
              <w:szCs w:val="22"/>
              <w:lang w:val="es-ES"/>
            </w:rPr>
          </w:pPr>
        </w:p>
        <w:p w:rsidR="005E3BD6" w:rsidRDefault="005E3BD6" w14:paraId="4117669C" w14:textId="31A4F191">
          <w:pPr>
            <w:pStyle w:val="Ttulo3"/>
            <w:numPr>
              <w:ilvl w:val="2"/>
              <w:numId w:val="35"/>
            </w:numPr>
          </w:pPr>
          <w:bookmarkStart w:name="_Toc1835343677" w:id="123"/>
          <w:bookmarkStart w:name="_Toc234234462" w:id="124"/>
          <w:bookmarkStart w:name="_Hlk213963571" w:id="125"/>
          <w:r w:rsidRPr="0E79E4E6">
            <w:t>Rupturas Estratégicas</w:t>
          </w:r>
          <w:bookmarkEnd w:id="123"/>
          <w:bookmarkEnd w:id="124"/>
          <w:r w:rsidRPr="0E79E4E6">
            <w:t xml:space="preserve"> </w:t>
          </w:r>
          <w:bookmarkEnd w:id="125"/>
        </w:p>
        <w:p w:rsidRPr="00DF354F" w:rsidR="00DF354F" w:rsidP="00DF354F" w:rsidRDefault="00DF354F" w14:paraId="377AD238" w14:textId="77777777">
          <w:pPr>
            <w:rPr>
              <w:lang w:val="es-ES"/>
            </w:rPr>
          </w:pPr>
        </w:p>
        <w:p w:rsidR="24A9F8DE" w:rsidP="4E60D266" w:rsidRDefault="24A9F8DE" w14:paraId="1035DD8E" w14:textId="444B2BBD">
          <w:pPr>
            <w:jc w:val="both"/>
            <w:rPr>
              <w:rFonts w:ascii="Nunito Sans" w:hAnsi="Nunito Sans" w:eastAsiaTheme="minorEastAsia"/>
              <w:sz w:val="22"/>
              <w:szCs w:val="22"/>
            </w:rPr>
          </w:pPr>
          <w:r w:rsidRPr="2FC2A464">
            <w:rPr>
              <w:rFonts w:ascii="Nunito Sans" w:hAnsi="Nunito Sans" w:eastAsiaTheme="minorEastAsia"/>
              <w:sz w:val="22"/>
              <w:szCs w:val="22"/>
            </w:rPr>
            <w:t xml:space="preserve">Las rupturas estratégicas del PETI sectorial representan los cambios estructurales necesarios para cerrar las brechas identificadas entre la Situación Actual (AS-IS) y la Arquitectura Objetivo (TO-BE) del Sector Minero-Energético, derivadas del diagnóstico sectorial, del análisis DOFA, en </w:t>
          </w:r>
          <w:r w:rsidRPr="2FC2A464">
            <w:rPr>
              <w:rFonts w:ascii="Nunito Sans" w:hAnsi="Nunito Sans" w:eastAsiaTheme="minorEastAsia"/>
              <w:sz w:val="22"/>
              <w:szCs w:val="22"/>
            </w:rPr>
            <w:lastRenderedPageBreak/>
            <w:t>coherencia con los objetivos del Plan Nacional de Desarrollo y el enfoque de Transición Energética Justa; a continuación se presentan las rupturas estratégicas definidas para este dominio, las cuales orientan la evolución de sus capacidades, la priorización de iniciativas y la formulación de la hoja de ruta sectorial:</w:t>
          </w:r>
        </w:p>
        <w:p w:rsidR="005E3BD6" w:rsidP="005E3BD6" w:rsidRDefault="005E3BD6" w14:paraId="547890EA" w14:textId="77777777">
          <w:pPr>
            <w:jc w:val="both"/>
            <w:rPr>
              <w:rFonts w:ascii="Nunito Sans" w:hAnsi="Nunito Sans" w:cs="Calibri"/>
              <w:sz w:val="22"/>
              <w:szCs w:val="22"/>
            </w:rPr>
          </w:pPr>
        </w:p>
        <w:p w:rsidRPr="00EB43A6" w:rsidR="005E3BD6" w:rsidP="005E3BD6" w:rsidRDefault="002A7B26" w14:paraId="305C49FC" w14:textId="3ED07DFC">
          <w:pPr>
            <w:ind w:left="360" w:hanging="360"/>
            <w:jc w:val="center"/>
            <w:rPr>
              <w:rFonts w:ascii="Nunito Sans" w:hAnsi="Nunito Sans" w:cs="Calibri"/>
              <w:b/>
              <w:bCs/>
              <w:sz w:val="18"/>
              <w:szCs w:val="18"/>
            </w:rPr>
          </w:pPr>
          <w:bookmarkStart w:name="_Toc220664187" w:id="126"/>
          <w:r w:rsidRPr="00B404B0">
            <w:rPr>
              <w:rFonts w:ascii="Nunito Sans" w:hAnsi="Nunito Sans" w:cs="Calibri"/>
              <w:b/>
              <w:bCs/>
              <w:sz w:val="18"/>
              <w:szCs w:val="18"/>
            </w:rPr>
            <w:t xml:space="preserve">Tabla </w:t>
          </w:r>
          <w:r w:rsidRPr="00B404B0">
            <w:rPr>
              <w:rFonts w:ascii="Nunito Sans" w:hAnsi="Nunito Sans" w:cs="Calibri"/>
              <w:b/>
              <w:bCs/>
              <w:sz w:val="18"/>
              <w:szCs w:val="18"/>
            </w:rPr>
            <w:fldChar w:fldCharType="begin"/>
          </w:r>
          <w:r w:rsidRPr="00B404B0">
            <w:rPr>
              <w:rFonts w:ascii="Nunito Sans" w:hAnsi="Nunito Sans" w:cs="Calibri"/>
              <w:b/>
              <w:bCs/>
              <w:sz w:val="18"/>
              <w:szCs w:val="18"/>
            </w:rPr>
            <w:instrText xml:space="preserve"> SEQ Tabla \* ARABIC </w:instrText>
          </w:r>
          <w:r w:rsidRPr="00B404B0">
            <w:rPr>
              <w:rFonts w:ascii="Nunito Sans" w:hAnsi="Nunito Sans" w:cs="Calibri"/>
              <w:b/>
              <w:bCs/>
              <w:sz w:val="18"/>
              <w:szCs w:val="18"/>
            </w:rPr>
            <w:fldChar w:fldCharType="separate"/>
          </w:r>
          <w:r w:rsidR="00C57F7B">
            <w:rPr>
              <w:rFonts w:ascii="Nunito Sans" w:hAnsi="Nunito Sans" w:cs="Calibri"/>
              <w:b/>
              <w:bCs/>
              <w:noProof/>
              <w:sz w:val="18"/>
              <w:szCs w:val="18"/>
            </w:rPr>
            <w:t>16</w:t>
          </w:r>
          <w:r w:rsidRPr="00B404B0">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45299D" w:rsidR="005E3BD6">
            <w:rPr>
              <w:rFonts w:ascii="Nunito Sans" w:hAnsi="Nunito Sans" w:cs="Calibri"/>
              <w:b/>
              <w:bCs/>
              <w:sz w:val="18"/>
              <w:szCs w:val="18"/>
            </w:rPr>
            <w:t>Paradigma</w:t>
          </w:r>
          <w:r w:rsidR="005E3BD6">
            <w:rPr>
              <w:rFonts w:ascii="Nunito Sans" w:hAnsi="Nunito Sans" w:cs="Calibri"/>
              <w:b/>
              <w:bCs/>
              <w:sz w:val="18"/>
              <w:szCs w:val="18"/>
            </w:rPr>
            <w:t>s</w:t>
          </w:r>
          <w:r w:rsidRPr="0045299D" w:rsidR="005E3BD6">
            <w:rPr>
              <w:rFonts w:ascii="Nunito Sans" w:hAnsi="Nunito Sans" w:cs="Calibri"/>
              <w:b/>
              <w:bCs/>
              <w:sz w:val="18"/>
              <w:szCs w:val="18"/>
            </w:rPr>
            <w:t xml:space="preserve"> de Datos </w:t>
          </w:r>
          <w:r w:rsidR="005E3BD6">
            <w:rPr>
              <w:rFonts w:ascii="Nunito Sans" w:hAnsi="Nunito Sans" w:cs="Calibri"/>
              <w:b/>
              <w:bCs/>
              <w:sz w:val="18"/>
              <w:szCs w:val="18"/>
            </w:rPr>
            <w:t>e Información Sectorial</w:t>
          </w:r>
          <w:bookmarkEnd w:id="126"/>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467"/>
            <w:gridCol w:w="5154"/>
          </w:tblGrid>
          <w:tr w:rsidRPr="00E56B23" w:rsidR="005E3BD6" w:rsidTr="00654126" w14:paraId="1D0632CD"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654126" w:rsidRDefault="005E3BD6" w14:paraId="5F8F0E61" w14:textId="77777777">
                <w:pPr>
                  <w:ind w:left="33"/>
                  <w:jc w:val="center"/>
                  <w:rPr>
                    <w:rFonts w:ascii="Nunito Sans" w:hAnsi="Nunito Sans" w:eastAsia="Arial" w:cs="Calibri"/>
                    <w:b/>
                    <w:bCs/>
                    <w:color w:val="FFFFFF" w:themeColor="background1"/>
                    <w:sz w:val="18"/>
                    <w:szCs w:val="18"/>
                  </w:rPr>
                </w:pPr>
                <w:r w:rsidRPr="00E56B23">
                  <w:rPr>
                    <w:rFonts w:ascii="Nunito Sans" w:hAnsi="Nunito Sans" w:eastAsia="Arial" w:cs="Calibri"/>
                    <w:b/>
                    <w:bCs/>
                    <w:color w:val="FFFFFF" w:themeColor="background1"/>
                    <w:sz w:val="18"/>
                    <w:szCs w:val="18"/>
                  </w:rPr>
                  <w:t>Atributo</w:t>
                </w:r>
              </w:p>
            </w:tc>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654126" w:rsidRDefault="005E3BD6" w14:paraId="0E27842C" w14:textId="77777777">
                <w:pPr>
                  <w:jc w:val="center"/>
                  <w:rPr>
                    <w:rFonts w:ascii="Nunito Sans" w:hAnsi="Nunito Sans" w:eastAsia="Arial" w:cs="Calibri"/>
                    <w:b/>
                    <w:bCs/>
                    <w:color w:val="FFFFFF" w:themeColor="background1"/>
                    <w:sz w:val="18"/>
                    <w:szCs w:val="18"/>
                  </w:rPr>
                </w:pPr>
                <w:r w:rsidRPr="00E56B23">
                  <w:rPr>
                    <w:rFonts w:ascii="Nunito Sans" w:hAnsi="Nunito Sans" w:eastAsia="Arial" w:cs="Calibri"/>
                    <w:b/>
                    <w:bCs/>
                    <w:color w:val="FFFFFF" w:themeColor="background1"/>
                    <w:sz w:val="18"/>
                    <w:szCs w:val="18"/>
                  </w:rPr>
                  <w:t>Descripción</w:t>
                </w:r>
              </w:p>
            </w:tc>
          </w:tr>
          <w:tr w:rsidRPr="00E56B23" w:rsidR="005E3BD6" w:rsidTr="00654126" w14:paraId="71C1B6A2"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11D79966"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Identificador</w:t>
                </w:r>
              </w:p>
            </w:tc>
            <w:tc>
              <w:tcPr>
                <w:tcW w:w="0" w:type="auto"/>
                <w:tcBorders>
                  <w:top w:val="single" w:color="FFFFFF" w:themeColor="background1" w:sz="4" w:space="0"/>
                  <w:left w:val="single" w:color="FFFFFF" w:themeColor="background1" w:sz="4" w:space="0"/>
                </w:tcBorders>
                <w:vAlign w:val="center"/>
                <w:hideMark/>
              </w:tcPr>
              <w:p w:rsidRPr="00E56B23" w:rsidR="005E3BD6" w:rsidP="00E15D20" w:rsidRDefault="005E3BD6" w14:paraId="17249701" w14:textId="77777777">
                <w:pPr>
                  <w:jc w:val="both"/>
                  <w:rPr>
                    <w:rFonts w:ascii="Nunito Sans" w:hAnsi="Nunito Sans" w:eastAsia="Arial" w:cs="Calibri"/>
                    <w:sz w:val="18"/>
                    <w:szCs w:val="18"/>
                  </w:rPr>
                </w:pPr>
                <w:r w:rsidRPr="00E56B23">
                  <w:rPr>
                    <w:rFonts w:ascii="Nunito Sans" w:hAnsi="Nunito Sans" w:eastAsia="Arial" w:cs="Calibri"/>
                    <w:sz w:val="18"/>
                    <w:szCs w:val="18"/>
                  </w:rPr>
                  <w:t>RE–03</w:t>
                </w:r>
              </w:p>
            </w:tc>
          </w:tr>
          <w:tr w:rsidRPr="00E56B23" w:rsidR="005E3BD6" w:rsidTr="00654126" w14:paraId="54A00068"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2F886AAD"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Nombre Corto</w:t>
                </w:r>
              </w:p>
            </w:tc>
            <w:tc>
              <w:tcPr>
                <w:tcW w:w="0" w:type="auto"/>
                <w:tcBorders>
                  <w:left w:val="single" w:color="FFFFFF" w:themeColor="background1" w:sz="4" w:space="0"/>
                </w:tcBorders>
                <w:vAlign w:val="center"/>
                <w:hideMark/>
              </w:tcPr>
              <w:p w:rsidRPr="00E56B23" w:rsidR="005E3BD6" w:rsidP="00E15D20" w:rsidRDefault="005E3BD6" w14:paraId="1F713236" w14:textId="77777777">
                <w:pPr>
                  <w:jc w:val="both"/>
                  <w:rPr>
                    <w:rFonts w:ascii="Nunito Sans" w:hAnsi="Nunito Sans" w:eastAsia="Arial" w:cs="Calibri"/>
                    <w:sz w:val="18"/>
                    <w:szCs w:val="18"/>
                  </w:rPr>
                </w:pPr>
                <w:r w:rsidRPr="00E56B23">
                  <w:rPr>
                    <w:rFonts w:ascii="Nunito Sans" w:hAnsi="Nunito Sans" w:eastAsia="Arial" w:cs="Calibri"/>
                    <w:sz w:val="18"/>
                    <w:szCs w:val="18"/>
                  </w:rPr>
                  <w:t>Gobernanza de datos</w:t>
                </w:r>
              </w:p>
            </w:tc>
          </w:tr>
          <w:tr w:rsidRPr="00E56B23" w:rsidR="005E3BD6" w:rsidTr="00654126" w14:paraId="099313B1"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193C77DD"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Descripción del Paradigma</w:t>
                </w:r>
              </w:p>
            </w:tc>
            <w:tc>
              <w:tcPr>
                <w:tcW w:w="0" w:type="auto"/>
                <w:tcBorders>
                  <w:left w:val="single" w:color="FFFFFF" w:themeColor="background1" w:sz="4" w:space="0"/>
                </w:tcBorders>
                <w:vAlign w:val="center"/>
                <w:hideMark/>
              </w:tcPr>
              <w:p w:rsidRPr="00E56B23" w:rsidR="005E3BD6" w:rsidP="00E15D20" w:rsidRDefault="005E3BD6" w14:paraId="3FCF2A35" w14:textId="77777777">
                <w:pPr>
                  <w:jc w:val="both"/>
                  <w:rPr>
                    <w:rFonts w:ascii="Nunito Sans" w:hAnsi="Nunito Sans" w:eastAsia="Arial" w:cs="Calibri"/>
                    <w:sz w:val="18"/>
                    <w:szCs w:val="18"/>
                  </w:rPr>
                </w:pPr>
                <w:r w:rsidRPr="00E56B23">
                  <w:rPr>
                    <w:rFonts w:ascii="Nunito Sans" w:hAnsi="Nunito Sans" w:eastAsia="Arial" w:cs="Calibri"/>
                    <w:sz w:val="18"/>
                    <w:szCs w:val="18"/>
                  </w:rPr>
                  <w:t>Manejo de datos sin estándares ni responsables comunes.</w:t>
                </w:r>
              </w:p>
            </w:tc>
          </w:tr>
          <w:tr w:rsidRPr="00E56B23" w:rsidR="005E3BD6" w:rsidTr="00654126" w14:paraId="754ACEE9"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6A671802"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Efectos Directos</w:t>
                </w:r>
              </w:p>
            </w:tc>
            <w:tc>
              <w:tcPr>
                <w:tcW w:w="0" w:type="auto"/>
                <w:tcBorders>
                  <w:left w:val="single" w:color="FFFFFF" w:themeColor="background1" w:sz="4" w:space="0"/>
                </w:tcBorders>
                <w:vAlign w:val="center"/>
                <w:hideMark/>
              </w:tcPr>
              <w:p w:rsidRPr="00E56B23" w:rsidR="005E3BD6" w:rsidP="00E15D20" w:rsidRDefault="005E3BD6" w14:paraId="1010F319" w14:textId="77777777">
                <w:pPr>
                  <w:jc w:val="both"/>
                  <w:rPr>
                    <w:rFonts w:ascii="Nunito Sans" w:hAnsi="Nunito Sans" w:eastAsia="Arial" w:cs="Calibri"/>
                    <w:sz w:val="18"/>
                    <w:szCs w:val="18"/>
                  </w:rPr>
                </w:pPr>
                <w:r w:rsidRPr="00E56B23">
                  <w:rPr>
                    <w:rFonts w:ascii="Nunito Sans" w:hAnsi="Nunito Sans" w:eastAsia="Arial" w:cs="Calibri"/>
                    <w:sz w:val="18"/>
                    <w:szCs w:val="18"/>
                  </w:rPr>
                  <w:t>Datos inconsistentes y poca confiabilidad.</w:t>
                </w:r>
              </w:p>
            </w:tc>
          </w:tr>
          <w:tr w:rsidRPr="00E56B23" w:rsidR="005E3BD6" w:rsidTr="00654126" w14:paraId="526FBD0D"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51F0AFC3"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Descripción de la Ruptura</w:t>
                </w:r>
              </w:p>
            </w:tc>
            <w:tc>
              <w:tcPr>
                <w:tcW w:w="0" w:type="auto"/>
                <w:tcBorders>
                  <w:left w:val="single" w:color="FFFFFF" w:themeColor="background1" w:sz="4" w:space="0"/>
                </w:tcBorders>
                <w:vAlign w:val="center"/>
                <w:hideMark/>
              </w:tcPr>
              <w:p w:rsidRPr="00E56B23" w:rsidR="005E3BD6" w:rsidP="00E15D20" w:rsidRDefault="005E3BD6" w14:paraId="1993B411" w14:textId="77777777">
                <w:pPr>
                  <w:jc w:val="both"/>
                  <w:rPr>
                    <w:rFonts w:ascii="Nunito Sans" w:hAnsi="Nunito Sans" w:eastAsia="Arial" w:cs="Calibri"/>
                    <w:sz w:val="18"/>
                    <w:szCs w:val="18"/>
                  </w:rPr>
                </w:pPr>
                <w:r w:rsidRPr="00E56B23">
                  <w:rPr>
                    <w:rFonts w:ascii="Nunito Sans" w:hAnsi="Nunito Sans" w:eastAsia="Arial" w:cs="Calibri"/>
                    <w:sz w:val="18"/>
                    <w:szCs w:val="18"/>
                  </w:rPr>
                  <w:t>Establecer gobernanza de datos con políticas y responsables.</w:t>
                </w:r>
              </w:p>
            </w:tc>
          </w:tr>
          <w:tr w:rsidRPr="00E56B23" w:rsidR="005E3BD6" w:rsidTr="00654126" w14:paraId="3EE91A9A"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23B48380"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Cómo romper el Paradigma</w:t>
                </w:r>
              </w:p>
            </w:tc>
            <w:tc>
              <w:tcPr>
                <w:tcW w:w="0" w:type="auto"/>
                <w:tcBorders>
                  <w:left w:val="single" w:color="FFFFFF" w:themeColor="background1" w:sz="4" w:space="0"/>
                </w:tcBorders>
                <w:vAlign w:val="center"/>
                <w:hideMark/>
              </w:tcPr>
              <w:p w:rsidRPr="00E56B23" w:rsidR="005E3BD6" w:rsidP="00E15D20" w:rsidRDefault="005E3BD6" w14:paraId="5F258EEE" w14:textId="77777777">
                <w:pPr>
                  <w:jc w:val="both"/>
                  <w:rPr>
                    <w:rFonts w:ascii="Nunito Sans" w:hAnsi="Nunito Sans" w:eastAsia="Arial" w:cs="Calibri"/>
                    <w:sz w:val="18"/>
                    <w:szCs w:val="18"/>
                  </w:rPr>
                </w:pPr>
                <w:r w:rsidRPr="00E56B23">
                  <w:rPr>
                    <w:rFonts w:ascii="Nunito Sans" w:hAnsi="Nunito Sans" w:eastAsia="Arial" w:cs="Calibri"/>
                    <w:sz w:val="18"/>
                    <w:szCs w:val="18"/>
                  </w:rPr>
                  <w:t>Diccionarios, modelos semánticos, metadatos, roles claros.</w:t>
                </w:r>
              </w:p>
            </w:tc>
          </w:tr>
          <w:tr w:rsidRPr="00E56B23" w:rsidR="005E3BD6" w:rsidTr="00654126" w14:paraId="03EF27EB"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0FAE4D21"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Impacto Esperado</w:t>
                </w:r>
              </w:p>
            </w:tc>
            <w:tc>
              <w:tcPr>
                <w:tcW w:w="0" w:type="auto"/>
                <w:tcBorders>
                  <w:left w:val="single" w:color="FFFFFF" w:themeColor="background1" w:sz="4" w:space="0"/>
                </w:tcBorders>
                <w:vAlign w:val="center"/>
                <w:hideMark/>
              </w:tcPr>
              <w:p w:rsidRPr="00E56B23" w:rsidR="005E3BD6" w:rsidP="00E15D20" w:rsidRDefault="005E3BD6" w14:paraId="2CD1B3E5" w14:textId="77777777">
                <w:pPr>
                  <w:jc w:val="both"/>
                  <w:rPr>
                    <w:rFonts w:ascii="Nunito Sans" w:hAnsi="Nunito Sans" w:eastAsia="Arial" w:cs="Calibri"/>
                    <w:sz w:val="18"/>
                    <w:szCs w:val="18"/>
                  </w:rPr>
                </w:pPr>
                <w:r w:rsidRPr="00E56B23">
                  <w:rPr>
                    <w:rFonts w:ascii="Nunito Sans" w:hAnsi="Nunito Sans" w:eastAsia="Arial" w:cs="Calibri"/>
                    <w:sz w:val="18"/>
                    <w:szCs w:val="18"/>
                  </w:rPr>
                  <w:t>Datos confiables y auditables.</w:t>
                </w:r>
              </w:p>
            </w:tc>
          </w:tr>
          <w:tr w:rsidRPr="00E56B23" w:rsidR="005E3BD6" w:rsidTr="00654126" w14:paraId="28492A62"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08DB200A"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Grupos de Interés</w:t>
                </w:r>
              </w:p>
            </w:tc>
            <w:tc>
              <w:tcPr>
                <w:tcW w:w="0" w:type="auto"/>
                <w:tcBorders>
                  <w:left w:val="single" w:color="FFFFFF" w:themeColor="background1" w:sz="4" w:space="0"/>
                </w:tcBorders>
                <w:vAlign w:val="center"/>
                <w:hideMark/>
              </w:tcPr>
              <w:p w:rsidRPr="00E56B23" w:rsidR="005E3BD6" w:rsidP="00E15D20" w:rsidRDefault="005E3BD6" w14:paraId="5968E5EA" w14:textId="77777777">
                <w:pPr>
                  <w:jc w:val="both"/>
                  <w:rPr>
                    <w:rFonts w:ascii="Nunito Sans" w:hAnsi="Nunito Sans" w:eastAsia="Arial" w:cs="Calibri"/>
                    <w:sz w:val="18"/>
                    <w:szCs w:val="18"/>
                  </w:rPr>
                </w:pPr>
                <w:r w:rsidRPr="00E56B23">
                  <w:rPr>
                    <w:rFonts w:ascii="Nunito Sans" w:hAnsi="Nunito Sans" w:eastAsia="Arial" w:cs="Calibri"/>
                    <w:sz w:val="18"/>
                    <w:szCs w:val="18"/>
                  </w:rPr>
                  <w:t>Ciudadanos, empresas, academia, entidades sectoriales.</w:t>
                </w:r>
              </w:p>
            </w:tc>
          </w:tr>
          <w:tr w:rsidRPr="00E56B23" w:rsidR="005E3BD6" w:rsidTr="00E56B23" w14:paraId="5D0C162C" w14:textId="77777777">
            <w:trPr>
              <w:trHeight w:val="7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19EBCC6B"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Dominio MRAE</w:t>
                </w:r>
              </w:p>
            </w:tc>
            <w:tc>
              <w:tcPr>
                <w:tcW w:w="0" w:type="auto"/>
                <w:tcBorders>
                  <w:left w:val="single" w:color="FFFFFF" w:themeColor="background1" w:sz="4" w:space="0"/>
                </w:tcBorders>
                <w:vAlign w:val="center"/>
                <w:hideMark/>
              </w:tcPr>
              <w:p w:rsidRPr="00E56B23" w:rsidR="005E3BD6" w:rsidP="00E15D20" w:rsidRDefault="005E3BD6" w14:paraId="060DDE0C" w14:textId="77777777">
                <w:pPr>
                  <w:jc w:val="both"/>
                  <w:rPr>
                    <w:rFonts w:ascii="Nunito Sans" w:hAnsi="Nunito Sans" w:eastAsia="Arial" w:cs="Calibri"/>
                    <w:sz w:val="18"/>
                    <w:szCs w:val="18"/>
                  </w:rPr>
                </w:pPr>
                <w:r w:rsidRPr="00E56B23">
                  <w:rPr>
                    <w:rFonts w:ascii="Nunito Sans" w:hAnsi="Nunito Sans" w:eastAsia="Arial" w:cs="Calibri"/>
                    <w:sz w:val="18"/>
                    <w:szCs w:val="18"/>
                  </w:rPr>
                  <w:t>Arquitectura de Información</w:t>
                </w:r>
              </w:p>
            </w:tc>
          </w:tr>
          <w:tr w:rsidRPr="00E56B23" w:rsidR="005E3BD6" w:rsidTr="00654126" w14:paraId="2B0DAE67"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33BB8F72" w14:textId="77777777">
                <w:pPr>
                  <w:ind w:left="33"/>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Clasificación de Impacto</w:t>
                </w:r>
              </w:p>
            </w:tc>
            <w:tc>
              <w:tcPr>
                <w:tcW w:w="0" w:type="auto"/>
                <w:tcBorders>
                  <w:left w:val="single" w:color="FFFFFF" w:themeColor="background1" w:sz="4" w:space="0"/>
                </w:tcBorders>
                <w:vAlign w:val="center"/>
                <w:hideMark/>
              </w:tcPr>
              <w:p w:rsidRPr="00E56B23" w:rsidR="005E3BD6" w:rsidP="00E15D20" w:rsidRDefault="005E3BD6" w14:paraId="3D7ACCC0" w14:textId="77777777">
                <w:pPr>
                  <w:jc w:val="both"/>
                  <w:rPr>
                    <w:rFonts w:ascii="Nunito Sans" w:hAnsi="Nunito Sans" w:eastAsia="Arial" w:cs="Calibri"/>
                    <w:sz w:val="18"/>
                    <w:szCs w:val="18"/>
                  </w:rPr>
                </w:pPr>
                <w:r w:rsidRPr="00E56B23">
                  <w:rPr>
                    <w:rFonts w:ascii="Nunito Sans" w:hAnsi="Nunito Sans" w:eastAsia="Arial" w:cs="Calibri"/>
                    <w:sz w:val="18"/>
                    <w:szCs w:val="18"/>
                  </w:rPr>
                  <w:t>Alto</w:t>
                </w:r>
              </w:p>
            </w:tc>
          </w:tr>
        </w:tbl>
        <w:p w:rsidRPr="00E56B23" w:rsidR="005E3BD6" w:rsidP="005E3BD6" w:rsidRDefault="005E3BD6" w14:paraId="46E8784A" w14:textId="77777777">
          <w:pPr>
            <w:jc w:val="both"/>
            <w:rPr>
              <w:rFonts w:ascii="Nunito Sans" w:hAnsi="Nunito Sans" w:eastAsia="Arial" w:cs="Calibri"/>
              <w:sz w:val="18"/>
              <w:szCs w:val="18"/>
              <w:lang w:val="es-ES"/>
            </w:rPr>
          </w:pPr>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434"/>
            <w:gridCol w:w="5225"/>
          </w:tblGrid>
          <w:tr w:rsidRPr="00E56B23" w:rsidR="005E3BD6" w:rsidTr="00654126" w14:paraId="24D02509"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654126" w:rsidRDefault="005E3BD6" w14:paraId="5F5B84AD" w14:textId="77777777">
                <w:pPr>
                  <w:jc w:val="center"/>
                  <w:rPr>
                    <w:rFonts w:ascii="Nunito Sans" w:hAnsi="Nunito Sans" w:eastAsia="Arial" w:cs="Calibri"/>
                    <w:b/>
                    <w:bCs/>
                    <w:color w:val="FFFFFF" w:themeColor="background1"/>
                    <w:sz w:val="18"/>
                    <w:szCs w:val="18"/>
                  </w:rPr>
                </w:pPr>
                <w:r w:rsidRPr="00E56B23">
                  <w:rPr>
                    <w:rFonts w:ascii="Nunito Sans" w:hAnsi="Nunito Sans" w:eastAsia="Arial" w:cs="Calibri"/>
                    <w:b/>
                    <w:bCs/>
                    <w:color w:val="FFFFFF" w:themeColor="background1"/>
                    <w:sz w:val="18"/>
                    <w:szCs w:val="18"/>
                  </w:rPr>
                  <w:t>Atributo</w:t>
                </w:r>
              </w:p>
            </w:tc>
            <w:tc>
              <w:tcPr>
                <w:tcW w:w="0" w:type="auto"/>
                <w:tcBorders>
                  <w:left w:val="single" w:color="FFFFFF" w:themeColor="background1" w:sz="4" w:space="0"/>
                </w:tcBorders>
                <w:shd w:val="clear" w:color="auto" w:fill="E5B33C"/>
                <w:hideMark/>
              </w:tcPr>
              <w:p w:rsidRPr="00E56B23" w:rsidR="005E3BD6" w:rsidP="00654126" w:rsidRDefault="005E3BD6" w14:paraId="54FDB9DD" w14:textId="77777777">
                <w:pPr>
                  <w:jc w:val="center"/>
                  <w:rPr>
                    <w:rFonts w:ascii="Nunito Sans" w:hAnsi="Nunito Sans" w:eastAsia="Arial" w:cs="Calibri"/>
                    <w:b/>
                    <w:bCs/>
                    <w:color w:val="FFFFFF" w:themeColor="background1"/>
                    <w:sz w:val="18"/>
                    <w:szCs w:val="18"/>
                  </w:rPr>
                </w:pPr>
                <w:r w:rsidRPr="00E56B23">
                  <w:rPr>
                    <w:rFonts w:ascii="Nunito Sans" w:hAnsi="Nunito Sans" w:eastAsia="Arial" w:cs="Calibri"/>
                    <w:b/>
                    <w:bCs/>
                    <w:color w:val="FFFFFF" w:themeColor="background1"/>
                    <w:sz w:val="18"/>
                    <w:szCs w:val="18"/>
                  </w:rPr>
                  <w:t>Descripción</w:t>
                </w:r>
              </w:p>
            </w:tc>
          </w:tr>
          <w:tr w:rsidRPr="00E56B23" w:rsidR="005E3BD6" w:rsidTr="00654126" w14:paraId="7EAD4753"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60298443"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Identificador</w:t>
                </w:r>
              </w:p>
            </w:tc>
            <w:tc>
              <w:tcPr>
                <w:tcW w:w="0" w:type="auto"/>
                <w:tcBorders>
                  <w:left w:val="single" w:color="FFFFFF" w:themeColor="background1" w:sz="4" w:space="0"/>
                </w:tcBorders>
                <w:hideMark/>
              </w:tcPr>
              <w:p w:rsidRPr="00E56B23" w:rsidR="005E3BD6" w:rsidP="00E15D20" w:rsidRDefault="005E3BD6" w14:paraId="33C3EECF" w14:textId="77777777">
                <w:pPr>
                  <w:jc w:val="both"/>
                  <w:rPr>
                    <w:rFonts w:ascii="Nunito Sans" w:hAnsi="Nunito Sans" w:eastAsia="Arial" w:cs="Calibri"/>
                    <w:sz w:val="18"/>
                    <w:szCs w:val="18"/>
                  </w:rPr>
                </w:pPr>
                <w:r w:rsidRPr="00E56B23">
                  <w:rPr>
                    <w:rFonts w:ascii="Nunito Sans" w:hAnsi="Nunito Sans" w:eastAsia="Arial" w:cs="Calibri"/>
                    <w:sz w:val="18"/>
                    <w:szCs w:val="18"/>
                  </w:rPr>
                  <w:t>RE–04</w:t>
                </w:r>
              </w:p>
            </w:tc>
          </w:tr>
          <w:tr w:rsidRPr="00E56B23" w:rsidR="005E3BD6" w:rsidTr="00654126" w14:paraId="6DB33F8F"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589629F8"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Nombre Corto</w:t>
                </w:r>
              </w:p>
            </w:tc>
            <w:tc>
              <w:tcPr>
                <w:tcW w:w="0" w:type="auto"/>
                <w:tcBorders>
                  <w:left w:val="single" w:color="FFFFFF" w:themeColor="background1" w:sz="4" w:space="0"/>
                </w:tcBorders>
                <w:hideMark/>
              </w:tcPr>
              <w:p w:rsidRPr="00E56B23" w:rsidR="005E3BD6" w:rsidP="00E15D20" w:rsidRDefault="005E3BD6" w14:paraId="13D501D0" w14:textId="77777777">
                <w:pPr>
                  <w:jc w:val="both"/>
                  <w:rPr>
                    <w:rFonts w:ascii="Nunito Sans" w:hAnsi="Nunito Sans" w:eastAsia="Arial" w:cs="Calibri"/>
                    <w:sz w:val="18"/>
                    <w:szCs w:val="18"/>
                  </w:rPr>
                </w:pPr>
                <w:r w:rsidRPr="00E56B23">
                  <w:rPr>
                    <w:rFonts w:ascii="Nunito Sans" w:hAnsi="Nunito Sans" w:eastAsia="Arial" w:cs="Calibri"/>
                    <w:sz w:val="18"/>
                    <w:szCs w:val="18"/>
                  </w:rPr>
                  <w:t>IDE sectorial</w:t>
                </w:r>
              </w:p>
            </w:tc>
          </w:tr>
          <w:tr w:rsidRPr="00E56B23" w:rsidR="005E3BD6" w:rsidTr="00654126" w14:paraId="10D8D133"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109A373B"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Descripción del Paradigma</w:t>
                </w:r>
              </w:p>
            </w:tc>
            <w:tc>
              <w:tcPr>
                <w:tcW w:w="0" w:type="auto"/>
                <w:tcBorders>
                  <w:left w:val="single" w:color="FFFFFF" w:themeColor="background1" w:sz="4" w:space="0"/>
                </w:tcBorders>
                <w:hideMark/>
              </w:tcPr>
              <w:p w:rsidRPr="00E56B23" w:rsidR="005E3BD6" w:rsidP="00E15D20" w:rsidRDefault="005E3BD6" w14:paraId="074583AA" w14:textId="77777777">
                <w:pPr>
                  <w:jc w:val="both"/>
                  <w:rPr>
                    <w:rFonts w:ascii="Nunito Sans" w:hAnsi="Nunito Sans" w:eastAsia="Arial" w:cs="Calibri"/>
                    <w:sz w:val="18"/>
                    <w:szCs w:val="18"/>
                  </w:rPr>
                </w:pPr>
                <w:r w:rsidRPr="00E56B23">
                  <w:rPr>
                    <w:rFonts w:ascii="Nunito Sans" w:hAnsi="Nunito Sans" w:eastAsia="Arial" w:cs="Calibri"/>
                    <w:sz w:val="18"/>
                    <w:szCs w:val="18"/>
                  </w:rPr>
                  <w:t>Información geográfica fragmentada y sin estándar.</w:t>
                </w:r>
              </w:p>
            </w:tc>
          </w:tr>
          <w:tr w:rsidRPr="00E56B23" w:rsidR="005E3BD6" w:rsidTr="00654126" w14:paraId="4BBE23DA"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68DE4D18"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Efectos Directos</w:t>
                </w:r>
              </w:p>
            </w:tc>
            <w:tc>
              <w:tcPr>
                <w:tcW w:w="0" w:type="auto"/>
                <w:tcBorders>
                  <w:left w:val="single" w:color="FFFFFF" w:themeColor="background1" w:sz="4" w:space="0"/>
                </w:tcBorders>
                <w:hideMark/>
              </w:tcPr>
              <w:p w:rsidRPr="00E56B23" w:rsidR="005E3BD6" w:rsidP="00E15D20" w:rsidRDefault="005E3BD6" w14:paraId="33407B12" w14:textId="77777777">
                <w:pPr>
                  <w:jc w:val="both"/>
                  <w:rPr>
                    <w:rFonts w:ascii="Nunito Sans" w:hAnsi="Nunito Sans" w:eastAsia="Arial" w:cs="Calibri"/>
                    <w:sz w:val="18"/>
                    <w:szCs w:val="18"/>
                  </w:rPr>
                </w:pPr>
                <w:r w:rsidRPr="00E56B23">
                  <w:rPr>
                    <w:rFonts w:ascii="Nunito Sans" w:hAnsi="Nunito Sans" w:eastAsia="Arial" w:cs="Calibri"/>
                    <w:sz w:val="18"/>
                    <w:szCs w:val="18"/>
                  </w:rPr>
                  <w:t>Dificultad para análisis.</w:t>
                </w:r>
              </w:p>
            </w:tc>
          </w:tr>
          <w:tr w:rsidRPr="00E56B23" w:rsidR="005E3BD6" w:rsidTr="00654126" w14:paraId="60A0CCD3"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58723284"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Descripción de la Ruptura</w:t>
                </w:r>
              </w:p>
            </w:tc>
            <w:tc>
              <w:tcPr>
                <w:tcW w:w="0" w:type="auto"/>
                <w:tcBorders>
                  <w:left w:val="single" w:color="FFFFFF" w:themeColor="background1" w:sz="4" w:space="0"/>
                </w:tcBorders>
                <w:hideMark/>
              </w:tcPr>
              <w:p w:rsidRPr="00E56B23" w:rsidR="005E3BD6" w:rsidP="00E15D20" w:rsidRDefault="005E3BD6" w14:paraId="3008E75E" w14:textId="77777777">
                <w:pPr>
                  <w:jc w:val="both"/>
                  <w:rPr>
                    <w:rFonts w:ascii="Nunito Sans" w:hAnsi="Nunito Sans" w:eastAsia="Arial" w:cs="Calibri"/>
                    <w:sz w:val="18"/>
                    <w:szCs w:val="18"/>
                  </w:rPr>
                </w:pPr>
                <w:r w:rsidRPr="00E56B23">
                  <w:rPr>
                    <w:rFonts w:ascii="Nunito Sans" w:hAnsi="Nunito Sans" w:eastAsia="Arial" w:cs="Calibri"/>
                    <w:sz w:val="18"/>
                    <w:szCs w:val="18"/>
                  </w:rPr>
                  <w:t>Consolidar infraestructura geoespacial sectorial.</w:t>
                </w:r>
              </w:p>
            </w:tc>
          </w:tr>
          <w:tr w:rsidRPr="00E56B23" w:rsidR="005E3BD6" w:rsidTr="00654126" w14:paraId="4F96F438"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13DEA607"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Cómo romper el Paradigma</w:t>
                </w:r>
              </w:p>
            </w:tc>
            <w:tc>
              <w:tcPr>
                <w:tcW w:w="0" w:type="auto"/>
                <w:tcBorders>
                  <w:left w:val="single" w:color="FFFFFF" w:themeColor="background1" w:sz="4" w:space="0"/>
                </w:tcBorders>
                <w:hideMark/>
              </w:tcPr>
              <w:p w:rsidRPr="00E56B23" w:rsidR="005E3BD6" w:rsidP="00E15D20" w:rsidRDefault="005E3BD6" w14:paraId="5F94192E" w14:textId="77777777">
                <w:pPr>
                  <w:jc w:val="both"/>
                  <w:rPr>
                    <w:rFonts w:ascii="Nunito Sans" w:hAnsi="Nunito Sans" w:eastAsia="Arial" w:cs="Calibri"/>
                    <w:sz w:val="18"/>
                    <w:szCs w:val="18"/>
                  </w:rPr>
                </w:pPr>
                <w:r w:rsidRPr="00E56B23">
                  <w:rPr>
                    <w:rFonts w:ascii="Nunito Sans" w:hAnsi="Nunito Sans" w:eastAsia="Arial" w:cs="Calibri"/>
                    <w:sz w:val="18"/>
                    <w:szCs w:val="18"/>
                  </w:rPr>
                  <w:t>OGC, visores, metadatos, normalización espacial.</w:t>
                </w:r>
              </w:p>
            </w:tc>
          </w:tr>
          <w:tr w:rsidRPr="00E56B23" w:rsidR="005E3BD6" w:rsidTr="00654126" w14:paraId="50951DD6"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6D23E182"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Impacto Esperado</w:t>
                </w:r>
              </w:p>
            </w:tc>
            <w:tc>
              <w:tcPr>
                <w:tcW w:w="0" w:type="auto"/>
                <w:tcBorders>
                  <w:left w:val="single" w:color="FFFFFF" w:themeColor="background1" w:sz="4" w:space="0"/>
                </w:tcBorders>
                <w:hideMark/>
              </w:tcPr>
              <w:p w:rsidRPr="00E56B23" w:rsidR="005E3BD6" w:rsidP="00E15D20" w:rsidRDefault="005E3BD6" w14:paraId="148F17EA" w14:textId="77777777">
                <w:pPr>
                  <w:jc w:val="both"/>
                  <w:rPr>
                    <w:rFonts w:ascii="Nunito Sans" w:hAnsi="Nunito Sans" w:eastAsia="Arial" w:cs="Calibri"/>
                    <w:sz w:val="18"/>
                    <w:szCs w:val="18"/>
                  </w:rPr>
                </w:pPr>
                <w:r w:rsidRPr="00E56B23">
                  <w:rPr>
                    <w:rFonts w:ascii="Nunito Sans" w:hAnsi="Nunito Sans" w:eastAsia="Arial" w:cs="Calibri"/>
                    <w:sz w:val="18"/>
                    <w:szCs w:val="18"/>
                  </w:rPr>
                  <w:t>Planificación sectorial basada en datos geográficos confiables.</w:t>
                </w:r>
              </w:p>
            </w:tc>
          </w:tr>
          <w:tr w:rsidRPr="00E56B23" w:rsidR="005E3BD6" w:rsidTr="00654126" w14:paraId="6454D48F"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03A66C91"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Grupos de Interés</w:t>
                </w:r>
              </w:p>
            </w:tc>
            <w:tc>
              <w:tcPr>
                <w:tcW w:w="0" w:type="auto"/>
                <w:tcBorders>
                  <w:left w:val="single" w:color="FFFFFF" w:themeColor="background1" w:sz="4" w:space="0"/>
                </w:tcBorders>
                <w:hideMark/>
              </w:tcPr>
              <w:p w:rsidRPr="00E56B23" w:rsidR="005E3BD6" w:rsidP="00E15D20" w:rsidRDefault="005E3BD6" w14:paraId="229FB7A4" w14:textId="77777777">
                <w:pPr>
                  <w:jc w:val="both"/>
                  <w:rPr>
                    <w:rFonts w:ascii="Nunito Sans" w:hAnsi="Nunito Sans" w:eastAsia="Arial" w:cs="Calibri"/>
                    <w:sz w:val="18"/>
                    <w:szCs w:val="18"/>
                  </w:rPr>
                </w:pPr>
                <w:r w:rsidRPr="00E56B23">
                  <w:rPr>
                    <w:rFonts w:ascii="Nunito Sans" w:hAnsi="Nunito Sans" w:eastAsia="Arial" w:cs="Calibri"/>
                    <w:sz w:val="18"/>
                    <w:szCs w:val="18"/>
                  </w:rPr>
                  <w:t>Ciudadanos, empresas, academia, entidades sectoriales.</w:t>
                </w:r>
              </w:p>
            </w:tc>
          </w:tr>
          <w:tr w:rsidRPr="00E56B23" w:rsidR="005E3BD6" w:rsidTr="00654126" w14:paraId="4B9B57F5"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256B64D1"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Dominio MRAE</w:t>
                </w:r>
              </w:p>
            </w:tc>
            <w:tc>
              <w:tcPr>
                <w:tcW w:w="0" w:type="auto"/>
                <w:tcBorders>
                  <w:left w:val="single" w:color="FFFFFF" w:themeColor="background1" w:sz="4" w:space="0"/>
                </w:tcBorders>
                <w:hideMark/>
              </w:tcPr>
              <w:p w:rsidRPr="00E56B23" w:rsidR="005E3BD6" w:rsidP="00E15D20" w:rsidRDefault="005E3BD6" w14:paraId="24076ADD" w14:textId="77777777">
                <w:pPr>
                  <w:jc w:val="both"/>
                  <w:rPr>
                    <w:rFonts w:ascii="Nunito Sans" w:hAnsi="Nunito Sans" w:eastAsia="Arial" w:cs="Calibri"/>
                    <w:sz w:val="18"/>
                    <w:szCs w:val="18"/>
                  </w:rPr>
                </w:pPr>
                <w:r w:rsidRPr="00E56B23">
                  <w:rPr>
                    <w:rFonts w:ascii="Nunito Sans" w:hAnsi="Nunito Sans" w:eastAsia="Arial" w:cs="Calibri"/>
                    <w:sz w:val="18"/>
                    <w:szCs w:val="18"/>
                  </w:rPr>
                  <w:t>Arquitectura de Información</w:t>
                </w:r>
              </w:p>
            </w:tc>
          </w:tr>
          <w:tr w:rsidRPr="00E56B23" w:rsidR="005E3BD6" w:rsidTr="00654126" w14:paraId="1010C1C4" w14:textId="77777777">
            <w:trPr>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E56B23" w:rsidR="005E3BD6" w:rsidP="00B4771C" w:rsidRDefault="005E3BD6" w14:paraId="218A2A46" w14:textId="77777777">
                <w:pPr>
                  <w:jc w:val="both"/>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Clasificación de Impacto</w:t>
                </w:r>
              </w:p>
            </w:tc>
            <w:tc>
              <w:tcPr>
                <w:tcW w:w="0" w:type="auto"/>
                <w:tcBorders>
                  <w:left w:val="single" w:color="FFFFFF" w:themeColor="background1" w:sz="4" w:space="0"/>
                </w:tcBorders>
                <w:hideMark/>
              </w:tcPr>
              <w:p w:rsidRPr="00E56B23" w:rsidR="005E3BD6" w:rsidP="00E15D20" w:rsidRDefault="005E3BD6" w14:paraId="4C8471DB" w14:textId="77777777">
                <w:pPr>
                  <w:jc w:val="both"/>
                  <w:rPr>
                    <w:rFonts w:ascii="Nunito Sans" w:hAnsi="Nunito Sans" w:eastAsia="Arial" w:cs="Calibri"/>
                    <w:sz w:val="18"/>
                    <w:szCs w:val="18"/>
                  </w:rPr>
                </w:pPr>
                <w:r w:rsidRPr="00E56B23">
                  <w:rPr>
                    <w:rFonts w:ascii="Nunito Sans" w:hAnsi="Nunito Sans" w:eastAsia="Arial" w:cs="Calibri"/>
                    <w:sz w:val="18"/>
                    <w:szCs w:val="18"/>
                  </w:rPr>
                  <w:t>Alto</w:t>
                </w:r>
              </w:p>
            </w:tc>
          </w:tr>
        </w:tbl>
        <w:p w:rsidRPr="00E56B23" w:rsidR="005E3BD6" w:rsidP="005E3BD6" w:rsidRDefault="005E3BD6" w14:paraId="6DE6428F" w14:textId="77777777">
          <w:pPr>
            <w:jc w:val="both"/>
            <w:rPr>
              <w:rFonts w:ascii="Nunito Sans" w:hAnsi="Nunito Sans" w:eastAsia="Arial" w:cs="Calibri"/>
              <w:sz w:val="18"/>
              <w:szCs w:val="18"/>
              <w:lang w:val="es-ES"/>
            </w:rPr>
          </w:pPr>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410"/>
            <w:gridCol w:w="5244"/>
          </w:tblGrid>
          <w:tr w:rsidRPr="009E5D2E" w:rsidR="005E3BD6" w:rsidTr="00E56B23" w14:paraId="047ACCD7"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E56B23" w:rsidRDefault="005E3BD6" w14:paraId="3594574B" w14:textId="77777777">
                <w:pPr>
                  <w:jc w:val="center"/>
                  <w:rPr>
                    <w:rFonts w:ascii="Nunito Sans" w:hAnsi="Nunito Sans" w:eastAsia="Arial" w:cs="Calibri"/>
                    <w:b/>
                    <w:bCs/>
                    <w:color w:val="FFFFFF" w:themeColor="background1"/>
                    <w:sz w:val="18"/>
                    <w:szCs w:val="18"/>
                  </w:rPr>
                </w:pPr>
                <w:r w:rsidRPr="00E56B23">
                  <w:rPr>
                    <w:rFonts w:ascii="Nunito Sans" w:hAnsi="Nunito Sans" w:eastAsia="Arial" w:cs="Calibri"/>
                    <w:b/>
                    <w:bCs/>
                    <w:color w:val="FFFFFF" w:themeColor="background1"/>
                    <w:sz w:val="18"/>
                    <w:szCs w:val="18"/>
                  </w:rPr>
                  <w:t>Atributo</w:t>
                </w:r>
              </w:p>
            </w:tc>
            <w:tc>
              <w:tcPr>
                <w:tcW w:w="524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E56B23" w:rsidRDefault="005E3BD6" w14:paraId="16E5AF17" w14:textId="77777777">
                <w:pPr>
                  <w:jc w:val="center"/>
                  <w:rPr>
                    <w:rFonts w:ascii="Nunito Sans" w:hAnsi="Nunito Sans" w:eastAsia="Arial" w:cs="Calibri"/>
                    <w:b/>
                    <w:bCs/>
                    <w:color w:val="FFFFFF" w:themeColor="background1"/>
                    <w:sz w:val="18"/>
                    <w:szCs w:val="18"/>
                  </w:rPr>
                </w:pPr>
                <w:r w:rsidRPr="00E56B23">
                  <w:rPr>
                    <w:rFonts w:ascii="Nunito Sans" w:hAnsi="Nunito Sans" w:eastAsia="Arial" w:cs="Calibri"/>
                    <w:b/>
                    <w:bCs/>
                    <w:color w:val="FFFFFF" w:themeColor="background1"/>
                    <w:sz w:val="18"/>
                    <w:szCs w:val="18"/>
                  </w:rPr>
                  <w:t>Descripción</w:t>
                </w:r>
              </w:p>
            </w:tc>
          </w:tr>
          <w:tr w:rsidRPr="009E5D2E" w:rsidR="005E3BD6" w:rsidTr="00E56B23" w14:paraId="111FE5E7"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76111285"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Identificador</w:t>
                </w:r>
              </w:p>
            </w:tc>
            <w:tc>
              <w:tcPr>
                <w:tcW w:w="5244" w:type="dxa"/>
                <w:tcBorders>
                  <w:top w:val="single" w:color="FFFFFF" w:themeColor="background1" w:sz="4" w:space="0"/>
                  <w:left w:val="single" w:color="FFFFFF" w:themeColor="background1" w:sz="4" w:space="0"/>
                </w:tcBorders>
                <w:vAlign w:val="center"/>
                <w:hideMark/>
              </w:tcPr>
              <w:p w:rsidRPr="00E56B23" w:rsidR="005E3BD6" w:rsidP="00E15D20" w:rsidRDefault="005E3BD6" w14:paraId="08005DEC" w14:textId="77777777">
                <w:pPr>
                  <w:jc w:val="both"/>
                  <w:rPr>
                    <w:rFonts w:ascii="Nunito Sans" w:hAnsi="Nunito Sans" w:eastAsia="Arial" w:cs="Calibri"/>
                    <w:sz w:val="18"/>
                    <w:szCs w:val="18"/>
                  </w:rPr>
                </w:pPr>
                <w:r w:rsidRPr="00E56B23">
                  <w:rPr>
                    <w:rFonts w:ascii="Nunito Sans" w:hAnsi="Nunito Sans" w:eastAsia="Arial" w:cs="Calibri"/>
                    <w:sz w:val="18"/>
                    <w:szCs w:val="18"/>
                  </w:rPr>
                  <w:t>RE–05</w:t>
                </w:r>
              </w:p>
            </w:tc>
          </w:tr>
          <w:tr w:rsidRPr="009E5D2E" w:rsidR="005E3BD6" w:rsidTr="00E56B23" w14:paraId="73498E49"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0FC3871E"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Nombre Corto</w:t>
                </w:r>
              </w:p>
            </w:tc>
            <w:tc>
              <w:tcPr>
                <w:tcW w:w="5244" w:type="dxa"/>
                <w:tcBorders>
                  <w:left w:val="single" w:color="FFFFFF" w:themeColor="background1" w:sz="4" w:space="0"/>
                </w:tcBorders>
                <w:vAlign w:val="center"/>
                <w:hideMark/>
              </w:tcPr>
              <w:p w:rsidRPr="00E56B23" w:rsidR="005E3BD6" w:rsidP="00E15D20" w:rsidRDefault="005E3BD6" w14:paraId="5B234637" w14:textId="77777777">
                <w:pPr>
                  <w:jc w:val="both"/>
                  <w:rPr>
                    <w:rFonts w:ascii="Nunito Sans" w:hAnsi="Nunito Sans" w:eastAsia="Arial"/>
                    <w:sz w:val="18"/>
                    <w:szCs w:val="18"/>
                  </w:rPr>
                </w:pPr>
                <w:r w:rsidRPr="00E56B23">
                  <w:rPr>
                    <w:rFonts w:ascii="Nunito Sans" w:hAnsi="Nunito Sans" w:eastAsia="Nunito Sans" w:cs="Nunito Sans"/>
                    <w:sz w:val="18"/>
                    <w:szCs w:val="18"/>
                  </w:rPr>
                  <w:t>Articulación sectorial para analítica avanzada</w:t>
                </w:r>
              </w:p>
            </w:tc>
          </w:tr>
          <w:tr w:rsidRPr="009E5D2E" w:rsidR="005E3BD6" w:rsidTr="00E56B23" w14:paraId="1FF12F7D"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67E46C58"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Descripción del Paradigma</w:t>
                </w:r>
              </w:p>
            </w:tc>
            <w:tc>
              <w:tcPr>
                <w:tcW w:w="5244" w:type="dxa"/>
                <w:tcBorders>
                  <w:left w:val="single" w:color="FFFFFF" w:themeColor="background1" w:sz="4" w:space="0"/>
                </w:tcBorders>
                <w:vAlign w:val="center"/>
                <w:hideMark/>
              </w:tcPr>
              <w:p w:rsidRPr="00E56B23" w:rsidR="005E3BD6" w:rsidP="00E15D20" w:rsidRDefault="005E3BD6" w14:paraId="411D667A" w14:textId="77777777">
                <w:pPr>
                  <w:jc w:val="both"/>
                  <w:rPr>
                    <w:rFonts w:ascii="Nunito Sans" w:hAnsi="Nunito Sans" w:eastAsia="Nunito Sans" w:cs="Nunito Sans"/>
                    <w:sz w:val="18"/>
                    <w:szCs w:val="18"/>
                  </w:rPr>
                </w:pPr>
                <w:r w:rsidRPr="00E56B23">
                  <w:rPr>
                    <w:rFonts w:ascii="Nunito Sans" w:hAnsi="Nunito Sans" w:eastAsia="Arial" w:cs="Calibri"/>
                    <w:sz w:val="18"/>
                    <w:szCs w:val="18"/>
                  </w:rPr>
                  <w:t xml:space="preserve">Uso del dato solo a nivel descriptivo. </w:t>
                </w:r>
                <w:r w:rsidRPr="00E56B23">
                  <w:rPr>
                    <w:rFonts w:ascii="Nunito Sans" w:hAnsi="Nunito Sans" w:eastAsia="Nunito Sans" w:cs="Nunito Sans"/>
                    <w:sz w:val="18"/>
                    <w:szCs w:val="18"/>
                  </w:rPr>
                  <w:t>La explotación del dato en el sector se concentra principalmente en análisis descriptivos y reportes institucionales independientes, orientados a necesidades operativas o regulatorias específicas de cada entidad. Este enfoque asume que el valor del dato se materializa principalmente a nivel institucional y no como un activo estratégico sectorial articulado.</w:t>
                </w:r>
              </w:p>
            </w:tc>
          </w:tr>
          <w:tr w:rsidRPr="009E5D2E" w:rsidR="005E3BD6" w:rsidTr="00E56B23" w14:paraId="639F6294"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02B787BC"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Efectos Directos</w:t>
                </w:r>
              </w:p>
            </w:tc>
            <w:tc>
              <w:tcPr>
                <w:tcW w:w="5244" w:type="dxa"/>
                <w:tcBorders>
                  <w:left w:val="single" w:color="FFFFFF" w:themeColor="background1" w:sz="4" w:space="0"/>
                </w:tcBorders>
                <w:vAlign w:val="center"/>
                <w:hideMark/>
              </w:tcPr>
              <w:p w:rsidRPr="00E56B23" w:rsidR="005E3BD6" w:rsidP="00E15D20" w:rsidRDefault="005E3BD6" w14:paraId="55DEE90C" w14:textId="77777777">
                <w:pPr>
                  <w:jc w:val="both"/>
                  <w:rPr>
                    <w:rFonts w:ascii="Nunito Sans" w:hAnsi="Nunito Sans" w:eastAsia="Nunito Sans" w:cs="Nunito Sans"/>
                    <w:sz w:val="18"/>
                    <w:szCs w:val="18"/>
                  </w:rPr>
                </w:pPr>
                <w:r w:rsidRPr="00E56B23">
                  <w:rPr>
                    <w:rFonts w:ascii="Nunito Sans" w:hAnsi="Nunito Sans" w:eastAsia="Nunito Sans" w:cs="Nunito Sans"/>
                    <w:sz w:val="18"/>
                    <w:szCs w:val="18"/>
                  </w:rPr>
                  <w:t>Limitación en la capacidad de integrar información proveniente de múltiples entidades para análisis transversales.</w:t>
                </w:r>
                <w:r w:rsidRPr="00E56B23">
                  <w:rPr>
                    <w:rFonts w:ascii="Nunito Sans" w:hAnsi="Nunito Sans"/>
                    <w:sz w:val="18"/>
                    <w:szCs w:val="18"/>
                  </w:rPr>
                  <w:br/>
                </w:r>
                <w:r w:rsidRPr="00E56B23">
                  <w:rPr>
                    <w:rFonts w:ascii="Nunito Sans" w:hAnsi="Nunito Sans" w:eastAsia="Nunito Sans" w:cs="Nunito Sans"/>
                    <w:sz w:val="18"/>
                    <w:szCs w:val="18"/>
                  </w:rPr>
                  <w:t>Visiones parciales y no correlacionadas de la cadena de valor minero-energética.</w:t>
                </w:r>
                <w:r w:rsidRPr="00E56B23">
                  <w:rPr>
                    <w:rFonts w:ascii="Nunito Sans" w:hAnsi="Nunito Sans"/>
                    <w:sz w:val="18"/>
                    <w:szCs w:val="18"/>
                  </w:rPr>
                  <w:br/>
                </w:r>
                <w:r w:rsidRPr="00E56B23">
                  <w:rPr>
                    <w:rFonts w:ascii="Nunito Sans" w:hAnsi="Nunito Sans" w:eastAsia="Nunito Sans" w:cs="Nunito Sans"/>
                    <w:sz w:val="18"/>
                    <w:szCs w:val="18"/>
                  </w:rPr>
                  <w:t>Restricciones para desarrollar modelos predictivos y prescriptivos sectoriales.</w:t>
                </w:r>
              </w:p>
            </w:tc>
          </w:tr>
          <w:tr w:rsidRPr="009E5D2E" w:rsidR="005E3BD6" w:rsidTr="00E56B23" w14:paraId="5D85474B"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7495A3DA"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Descripción de la Ruptura</w:t>
                </w:r>
              </w:p>
            </w:tc>
            <w:tc>
              <w:tcPr>
                <w:tcW w:w="5244" w:type="dxa"/>
                <w:tcBorders>
                  <w:left w:val="single" w:color="FFFFFF" w:themeColor="background1" w:sz="4" w:space="0"/>
                </w:tcBorders>
                <w:vAlign w:val="center"/>
                <w:hideMark/>
              </w:tcPr>
              <w:p w:rsidRPr="00E56B23" w:rsidR="005E3BD6" w:rsidP="00E15D20" w:rsidRDefault="005E3BD6" w14:paraId="2BBBC51A" w14:textId="77777777">
                <w:pPr>
                  <w:jc w:val="both"/>
                  <w:rPr>
                    <w:rFonts w:ascii="Nunito Sans" w:hAnsi="Nunito Sans" w:eastAsia="Arial"/>
                    <w:sz w:val="18"/>
                    <w:szCs w:val="18"/>
                  </w:rPr>
                </w:pPr>
                <w:r w:rsidRPr="00E56B23">
                  <w:rPr>
                    <w:rFonts w:ascii="Nunito Sans" w:hAnsi="Nunito Sans" w:eastAsia="Nunito Sans" w:cs="Nunito Sans"/>
                    <w:sz w:val="18"/>
                    <w:szCs w:val="18"/>
                  </w:rPr>
                  <w:t xml:space="preserve">Aunque el sector cuenta con información suficiente para análisis descriptivo y cumplimiento institucional, no dispone de </w:t>
                </w:r>
                <w:r w:rsidRPr="00E56B23">
                  <w:rPr>
                    <w:rFonts w:ascii="Nunito Sans" w:hAnsi="Nunito Sans" w:eastAsia="Nunito Sans" w:cs="Nunito Sans"/>
                    <w:sz w:val="18"/>
                    <w:szCs w:val="18"/>
                  </w:rPr>
                  <w:lastRenderedPageBreak/>
                  <w:t>capacidades sectoriales consolidadas que permitan articular datos, armonizar su semántica y explotarlos de manera integrada. La ausencia de modelos de datos comunes, catálogos sectoriales, mecanismos de integración automatizada y plataformas compartidas de analítica avanzada limita el uso del dato como habilitador de decisiones estratégicas a escala sectorial</w:t>
                </w:r>
              </w:p>
            </w:tc>
          </w:tr>
          <w:tr w:rsidRPr="009E5D2E" w:rsidR="005E3BD6" w:rsidTr="00E56B23" w14:paraId="07B34505"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5D0CE1B6"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lastRenderedPageBreak/>
                  <w:t>Cómo romper el Paradigma</w:t>
                </w:r>
              </w:p>
            </w:tc>
            <w:tc>
              <w:tcPr>
                <w:tcW w:w="5244" w:type="dxa"/>
                <w:tcBorders>
                  <w:left w:val="single" w:color="FFFFFF" w:themeColor="background1" w:sz="4" w:space="0"/>
                </w:tcBorders>
                <w:vAlign w:val="center"/>
                <w:hideMark/>
              </w:tcPr>
              <w:p w:rsidRPr="00E56B23" w:rsidR="005E3BD6" w:rsidP="00E15D20" w:rsidRDefault="005E3BD6" w14:paraId="523BD84F" w14:textId="77777777">
                <w:pPr>
                  <w:jc w:val="both"/>
                  <w:rPr>
                    <w:rFonts w:ascii="Nunito Sans" w:hAnsi="Nunito Sans"/>
                    <w:sz w:val="18"/>
                    <w:szCs w:val="18"/>
                  </w:rPr>
                </w:pPr>
                <w:r w:rsidRPr="00E56B23">
                  <w:rPr>
                    <w:rFonts w:ascii="Nunito Sans" w:hAnsi="Nunito Sans" w:eastAsia="Nunito Sans" w:cs="Nunito Sans"/>
                    <w:sz w:val="18"/>
                    <w:szCs w:val="18"/>
                  </w:rPr>
                  <w:t>Definir y adoptar un modelo sectorial de datos e información que permita la estandarización semántica y técnica entre entidades.</w:t>
                </w:r>
              </w:p>
              <w:p w:rsidRPr="00E56B23" w:rsidR="005E3BD6" w:rsidP="00E15D20" w:rsidRDefault="005E3BD6" w14:paraId="5CE63CB1" w14:textId="77777777">
                <w:pPr>
                  <w:jc w:val="both"/>
                  <w:rPr>
                    <w:rFonts w:ascii="Nunito Sans" w:hAnsi="Nunito Sans" w:eastAsia="Arial"/>
                    <w:sz w:val="18"/>
                    <w:szCs w:val="18"/>
                  </w:rPr>
                </w:pPr>
                <w:r w:rsidRPr="00E56B23">
                  <w:rPr>
                    <w:rFonts w:ascii="Nunito Sans" w:hAnsi="Nunito Sans" w:eastAsia="Nunito Sans" w:cs="Nunito Sans"/>
                    <w:sz w:val="18"/>
                    <w:szCs w:val="18"/>
                  </w:rPr>
                  <w:t>Desarrollar plataformas compartidas de analítica avanzada que soporten modelos predictivos y prescriptivos sectoriales.</w:t>
                </w:r>
                <w:r w:rsidRPr="00E56B23">
                  <w:rPr>
                    <w:rFonts w:ascii="Nunito Sans" w:hAnsi="Nunito Sans"/>
                    <w:sz w:val="18"/>
                    <w:szCs w:val="18"/>
                  </w:rPr>
                  <w:br/>
                </w:r>
                <w:r w:rsidRPr="00E56B23">
                  <w:rPr>
                    <w:rFonts w:ascii="Nunito Sans" w:hAnsi="Nunito Sans" w:eastAsia="Nunito Sans" w:cs="Nunito Sans"/>
                    <w:sz w:val="18"/>
                    <w:szCs w:val="18"/>
                  </w:rPr>
                  <w:t xml:space="preserve"> Promover el uso del dato como insumo estratégico para la toma de decisiones integrales del sector.</w:t>
                </w:r>
              </w:p>
            </w:tc>
          </w:tr>
          <w:tr w:rsidRPr="009E5D2E" w:rsidR="005E3BD6" w:rsidTr="00E56B23" w14:paraId="4FCD3B9F"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036B87D1"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Impacto Esperado</w:t>
                </w:r>
              </w:p>
            </w:tc>
            <w:tc>
              <w:tcPr>
                <w:tcW w:w="5244" w:type="dxa"/>
                <w:tcBorders>
                  <w:left w:val="single" w:color="FFFFFF" w:themeColor="background1" w:sz="4" w:space="0"/>
                </w:tcBorders>
                <w:vAlign w:val="center"/>
                <w:hideMark/>
              </w:tcPr>
              <w:p w:rsidRPr="00E56B23" w:rsidR="005E3BD6" w:rsidP="00E15D20" w:rsidRDefault="005E3BD6" w14:paraId="4F461CD7" w14:textId="77777777">
                <w:pPr>
                  <w:jc w:val="both"/>
                  <w:rPr>
                    <w:rFonts w:ascii="Nunito Sans" w:hAnsi="Nunito Sans" w:eastAsia="Nunito Sans" w:cs="Nunito Sans"/>
                    <w:sz w:val="18"/>
                    <w:szCs w:val="18"/>
                  </w:rPr>
                </w:pPr>
                <w:r w:rsidRPr="00E56B23">
                  <w:rPr>
                    <w:rFonts w:ascii="Nunito Sans" w:hAnsi="Nunito Sans" w:eastAsia="Nunito Sans" w:cs="Nunito Sans"/>
                    <w:sz w:val="18"/>
                    <w:szCs w:val="18"/>
                  </w:rPr>
                  <w:t>Mejora sustancial en la calidad y oportunidad de las decisiones sectoriales.</w:t>
                </w:r>
                <w:r w:rsidRPr="00E56B23">
                  <w:rPr>
                    <w:rFonts w:ascii="Nunito Sans" w:hAnsi="Nunito Sans"/>
                    <w:sz w:val="18"/>
                    <w:szCs w:val="18"/>
                  </w:rPr>
                  <w:br/>
                </w:r>
                <w:r w:rsidRPr="00E56B23">
                  <w:rPr>
                    <w:rFonts w:ascii="Nunito Sans" w:hAnsi="Nunito Sans" w:eastAsia="Nunito Sans" w:cs="Nunito Sans"/>
                    <w:sz w:val="18"/>
                    <w:szCs w:val="18"/>
                  </w:rPr>
                  <w:t>Capacidad de anticipación frente a escenarios de demanda, riesgos regulatorios y socioambientales.</w:t>
                </w:r>
              </w:p>
            </w:tc>
          </w:tr>
          <w:tr w:rsidRPr="009E5D2E" w:rsidR="005E3BD6" w:rsidTr="00E56B23" w14:paraId="3DCCCB0B"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0F752299"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Grupos de Interés</w:t>
                </w:r>
              </w:p>
            </w:tc>
            <w:tc>
              <w:tcPr>
                <w:tcW w:w="5244" w:type="dxa"/>
                <w:tcBorders>
                  <w:left w:val="single" w:color="FFFFFF" w:themeColor="background1" w:sz="4" w:space="0"/>
                </w:tcBorders>
                <w:vAlign w:val="center"/>
                <w:hideMark/>
              </w:tcPr>
              <w:p w:rsidRPr="00E56B23" w:rsidR="005E3BD6" w:rsidP="00E15D20" w:rsidRDefault="005E3BD6" w14:paraId="1BBD0746" w14:textId="77777777">
                <w:pPr>
                  <w:jc w:val="both"/>
                  <w:rPr>
                    <w:rFonts w:ascii="Nunito Sans" w:hAnsi="Nunito Sans" w:eastAsia="Arial" w:cs="Calibri"/>
                    <w:sz w:val="18"/>
                    <w:szCs w:val="18"/>
                  </w:rPr>
                </w:pPr>
                <w:r w:rsidRPr="00E56B23">
                  <w:rPr>
                    <w:rFonts w:ascii="Nunito Sans" w:hAnsi="Nunito Sans" w:eastAsia="Arial" w:cs="Calibri"/>
                    <w:sz w:val="18"/>
                    <w:szCs w:val="18"/>
                  </w:rPr>
                  <w:t>Ciudadanos, empresas, academia, entidades sectoriales.</w:t>
                </w:r>
              </w:p>
            </w:tc>
          </w:tr>
          <w:tr w:rsidRPr="009E5D2E" w:rsidR="005E3BD6" w:rsidTr="00E56B23" w14:paraId="5869702A"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74962AD4"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Dominio MRAE</w:t>
                </w:r>
              </w:p>
            </w:tc>
            <w:tc>
              <w:tcPr>
                <w:tcW w:w="5244" w:type="dxa"/>
                <w:tcBorders>
                  <w:left w:val="single" w:color="FFFFFF" w:themeColor="background1" w:sz="4" w:space="0"/>
                </w:tcBorders>
                <w:vAlign w:val="center"/>
                <w:hideMark/>
              </w:tcPr>
              <w:p w:rsidRPr="00E56B23" w:rsidR="005E3BD6" w:rsidP="00E15D20" w:rsidRDefault="005E3BD6" w14:paraId="3FF5EBF2" w14:textId="77777777">
                <w:pPr>
                  <w:jc w:val="both"/>
                  <w:rPr>
                    <w:rFonts w:ascii="Nunito Sans" w:hAnsi="Nunito Sans" w:eastAsia="Arial" w:cs="Calibri"/>
                    <w:sz w:val="18"/>
                    <w:szCs w:val="18"/>
                  </w:rPr>
                </w:pPr>
                <w:r w:rsidRPr="00E56B23">
                  <w:rPr>
                    <w:rFonts w:ascii="Nunito Sans" w:hAnsi="Nunito Sans" w:eastAsia="Arial" w:cs="Calibri"/>
                    <w:sz w:val="18"/>
                    <w:szCs w:val="18"/>
                  </w:rPr>
                  <w:t>Arquitectura de Información</w:t>
                </w:r>
              </w:p>
            </w:tc>
          </w:tr>
          <w:tr w:rsidRPr="009E5D2E" w:rsidR="005E3BD6" w:rsidTr="00E56B23" w14:paraId="2EB1D14E" w14:textId="77777777">
            <w:trPr>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E56B23" w:rsidR="005E3BD6" w:rsidP="00B4771C" w:rsidRDefault="005E3BD6" w14:paraId="6000DF83" w14:textId="77777777">
                <w:pPr>
                  <w:rPr>
                    <w:rFonts w:ascii="Nunito Sans" w:hAnsi="Nunito Sans" w:eastAsia="Arial" w:cs="Calibri"/>
                    <w:color w:val="FFFFFF" w:themeColor="background1"/>
                    <w:sz w:val="18"/>
                    <w:szCs w:val="18"/>
                  </w:rPr>
                </w:pPr>
                <w:r w:rsidRPr="00E56B23">
                  <w:rPr>
                    <w:rFonts w:ascii="Nunito Sans" w:hAnsi="Nunito Sans" w:eastAsia="Arial" w:cs="Calibri"/>
                    <w:color w:val="FFFFFF" w:themeColor="background1"/>
                    <w:sz w:val="18"/>
                    <w:szCs w:val="18"/>
                  </w:rPr>
                  <w:t>Clasificación de Impacto</w:t>
                </w:r>
              </w:p>
            </w:tc>
            <w:tc>
              <w:tcPr>
                <w:tcW w:w="5244" w:type="dxa"/>
                <w:tcBorders>
                  <w:left w:val="single" w:color="FFFFFF" w:themeColor="background1" w:sz="4" w:space="0"/>
                </w:tcBorders>
                <w:vAlign w:val="center"/>
                <w:hideMark/>
              </w:tcPr>
              <w:p w:rsidRPr="00E56B23" w:rsidR="005E3BD6" w:rsidP="00B4771C" w:rsidRDefault="005E3BD6" w14:paraId="1C8B7FC8" w14:textId="77777777">
                <w:pPr>
                  <w:rPr>
                    <w:rFonts w:ascii="Nunito Sans" w:hAnsi="Nunito Sans" w:eastAsia="Arial" w:cs="Calibri"/>
                    <w:sz w:val="18"/>
                    <w:szCs w:val="18"/>
                  </w:rPr>
                </w:pPr>
                <w:r w:rsidRPr="00E56B23">
                  <w:rPr>
                    <w:rFonts w:ascii="Nunito Sans" w:hAnsi="Nunito Sans" w:eastAsia="Arial" w:cs="Calibri"/>
                    <w:sz w:val="18"/>
                    <w:szCs w:val="18"/>
                  </w:rPr>
                  <w:t>Alto</w:t>
                </w:r>
              </w:p>
            </w:tc>
          </w:tr>
        </w:tbl>
        <w:p w:rsidRPr="0038010D" w:rsidR="005E3BD6" w:rsidP="005E3BD6" w:rsidRDefault="005E3BD6" w14:paraId="76B7794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77B44765" w14:textId="77777777">
          <w:pPr>
            <w:jc w:val="both"/>
            <w:rPr>
              <w:rFonts w:ascii="Nunito Sans" w:hAnsi="Nunito Sans" w:eastAsia="Arial" w:cs="Calibri"/>
              <w:sz w:val="22"/>
              <w:szCs w:val="22"/>
              <w:lang w:val="es-ES"/>
            </w:rPr>
          </w:pPr>
        </w:p>
        <w:p w:rsidR="005E3BD6" w:rsidRDefault="005E3BD6" w14:paraId="5A23ED4B" w14:textId="7DE1E1EF">
          <w:pPr>
            <w:pStyle w:val="Ttulo2"/>
            <w:numPr>
              <w:ilvl w:val="1"/>
              <w:numId w:val="35"/>
            </w:numPr>
          </w:pPr>
          <w:bookmarkStart w:name="_Toc1449197937" w:id="127"/>
          <w:bookmarkStart w:name="_Hlk213963631" w:id="128"/>
          <w:bookmarkStart w:name="_Toc234234463" w:id="129"/>
          <w:r w:rsidRPr="0E79E4E6">
            <w:t xml:space="preserve">Situación Actual (AS-IS) Interoperabilidad </w:t>
          </w:r>
          <w:r w:rsidR="000F220A">
            <w:t>S</w:t>
          </w:r>
          <w:r w:rsidRPr="0E79E4E6">
            <w:t>ectorial</w:t>
          </w:r>
          <w:bookmarkEnd w:id="127"/>
          <w:bookmarkEnd w:id="128"/>
          <w:bookmarkEnd w:id="129"/>
        </w:p>
        <w:p w:rsidRPr="00CA4194" w:rsidR="005E3BD6" w:rsidP="005E3BD6" w:rsidRDefault="005E3BD6" w14:paraId="2F533CF9"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La interoperabilidad del sector Minas y Energía se presenta de forma heterogénea entre el Ministerio de Minas y Energía y sus entidades adscritas, combinando mecanismos de intercambio por servicios (servicios de consulta y servicios web) y exposición de información especializada, con diferentes niveles de integración. A nivel del Ministerio de Minas y Energía se reconoce una brecha de interoperabilidad interna, asociada a la coexistencia de múltiples sistemas de información sin integración efectiva, y se plantea como cierre la formulación e implementación de un Modelo de Interoperabilidad; adicionalmente, se identifica la necesidad de intercambio con sistemas externos y se orienta la evolución hacia la adopción del Marco de Interoperabilidad del Ministerio de Tecnologías de la Información y las Comunicaciones (MinTIC, Ministerio de Tecnologías de la Información y las Comunicaciones) como solución de intercambio con otras entidades.</w:t>
          </w:r>
        </w:p>
        <w:p w:rsidRPr="00CA4194" w:rsidR="005E3BD6" w:rsidP="005E3BD6" w:rsidRDefault="005E3BD6" w14:paraId="2756F76C" w14:textId="77777777">
          <w:pPr>
            <w:ind w:left="426"/>
            <w:jc w:val="both"/>
            <w:rPr>
              <w:rFonts w:ascii="Nunito Sans" w:hAnsi="Nunito Sans" w:eastAsia="Arial" w:cs="Calibri"/>
              <w:sz w:val="22"/>
              <w:szCs w:val="22"/>
              <w:lang w:val="es-ES"/>
            </w:rPr>
          </w:pPr>
        </w:p>
        <w:p w:rsidRPr="00CA4194" w:rsidR="005E3BD6" w:rsidP="005E3BD6" w:rsidRDefault="005E3BD6" w14:paraId="4E5EB157"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cuanto a mecanismos, flujos de datos y tecnología de integración empleada por entidad: el Instituto de Planificación y Promoción de Soluciones Energéticas para Zonas No Interconectadas evidencia interoperabilidad operativa mediante IPSE-API (Interfaz de Programación de Aplicaciones, mecanismo para exponer y consumir funciones/datos entre sistemas) y oferta de información geográfica a través de SIGIPSE (Sistema de Información Geográfica del Instituto de Planificación y Promoción de Soluciones Energéticas para Zonas No Interconectadas) con WMS (Web Map Service, Servicio de Mapas en la Web) y WFS (Web Feature Service, Servicio de Entidades Geográficas en la Web) para consumo por clientes internos y externos.</w:t>
          </w:r>
        </w:p>
        <w:p w:rsidRPr="00CA4194" w:rsidR="005E3BD6" w:rsidP="005E3BD6" w:rsidRDefault="005E3BD6" w14:paraId="21C63EE8" w14:textId="77777777">
          <w:pPr>
            <w:ind w:left="426"/>
            <w:jc w:val="both"/>
            <w:rPr>
              <w:rFonts w:ascii="Nunito Sans" w:hAnsi="Nunito Sans" w:eastAsia="Arial" w:cs="Calibri"/>
              <w:sz w:val="22"/>
              <w:szCs w:val="22"/>
              <w:lang w:val="es-ES"/>
            </w:rPr>
          </w:pPr>
        </w:p>
        <w:p w:rsidR="15B32ECB" w:rsidP="3D9E0835" w:rsidRDefault="15B32ECB" w14:paraId="52E11C47" w14:textId="3E61E9FF">
          <w:pPr>
            <w:jc w:val="both"/>
          </w:pPr>
          <w:r w:rsidRPr="3D9E0835">
            <w:rPr>
              <w:rFonts w:ascii="Nunito Sans" w:hAnsi="Nunito Sans" w:eastAsia="Arial" w:cs="Calibri"/>
              <w:sz w:val="22"/>
              <w:szCs w:val="22"/>
              <w:lang w:val="es-ES"/>
            </w:rPr>
            <w:t xml:space="preserve">La Comisión de Regulación de Energía y Gas (CREG), como resultado de su ejercicio de Planeación Estratégica de Tecnologías de la Información (PETI), documenta una hoja de ruta para el fortalecimiento de la interoperabilidad, compuesta por proyectos de intercambio de datos, adquisición e implementación de una plataforma de integración y la implementación de un repositorio de datos maestros y de referencia (datos base compartidos), complementada con un programa de calidad de datos y un CoE (Center of Excellence, Centro de Excelencia) de BI (Business Intelligence, Inteligencia de Negocios) y analítica. </w:t>
          </w:r>
        </w:p>
        <w:p w:rsidR="3D9E0835" w:rsidP="3D9E0835" w:rsidRDefault="3D9E0835" w14:paraId="70783C7A" w14:textId="49B828ED">
          <w:pPr>
            <w:jc w:val="both"/>
            <w:rPr>
              <w:rFonts w:ascii="Nunito Sans" w:hAnsi="Nunito Sans" w:eastAsia="Arial" w:cs="Calibri"/>
              <w:sz w:val="22"/>
              <w:szCs w:val="22"/>
              <w:lang w:val="es-ES"/>
            </w:rPr>
          </w:pPr>
        </w:p>
        <w:p w:rsidR="15B32ECB" w:rsidP="3D9E0835" w:rsidRDefault="15B32ECB" w14:paraId="2796F56E" w14:textId="14FD9822">
          <w:pPr>
            <w:jc w:val="both"/>
            <w:rPr>
              <w:rFonts w:ascii="Nunito Sans" w:hAnsi="Nunito Sans" w:eastAsia="Arial" w:cs="Calibri"/>
              <w:sz w:val="22"/>
              <w:szCs w:val="22"/>
              <w:lang w:val="es-ES"/>
            </w:rPr>
          </w:pPr>
          <w:r w:rsidRPr="3D9E0835">
            <w:rPr>
              <w:rFonts w:ascii="Nunito Sans" w:hAnsi="Nunito Sans" w:eastAsia="Arial" w:cs="Calibri"/>
              <w:sz w:val="22"/>
              <w:szCs w:val="22"/>
              <w:lang w:val="es-ES"/>
            </w:rPr>
            <w:t>Por su parte, el Servicio Geológico Colombiano evidencia mecanismos de consulta e intercambio de información mediante el Geoportal institucional (consumo de geoservicios) y el Banco de Información Petrolera como repositorio oficial de información técnica, soportado por esquemas de gobernanza técnica a través de instancias como la mesa de arquitectura, la mesa de seguridad de la información y la mesa de control de cambios.</w:t>
          </w:r>
        </w:p>
        <w:p w:rsidRPr="00CA4194" w:rsidR="005E3BD6" w:rsidP="005E3BD6" w:rsidRDefault="005E3BD6" w14:paraId="2E589548" w14:textId="77777777">
          <w:pPr>
            <w:ind w:left="426"/>
            <w:jc w:val="both"/>
            <w:rPr>
              <w:rFonts w:ascii="Nunito Sans" w:hAnsi="Nunito Sans" w:eastAsia="Arial" w:cs="Calibri"/>
              <w:sz w:val="22"/>
              <w:szCs w:val="22"/>
              <w:lang w:val="es-ES"/>
            </w:rPr>
          </w:pPr>
        </w:p>
        <w:p w:rsidRPr="00172FA5" w:rsidR="005E3BD6" w:rsidP="005E3BD6" w:rsidRDefault="1F325162" w14:paraId="1763B4F7" w14:textId="1F1707D3">
          <w:pPr>
            <w:spacing w:after="240"/>
            <w:jc w:val="both"/>
            <w:rPr>
              <w:rFonts w:ascii="Nunito Sans" w:hAnsi="Nunito Sans" w:eastAsia="Arial" w:cs="Calibri"/>
              <w:sz w:val="22"/>
              <w:szCs w:val="22"/>
              <w:lang w:val="es-ES"/>
            </w:rPr>
          </w:pPr>
          <w:r w:rsidRPr="4E60D266">
            <w:rPr>
              <w:rFonts w:ascii="Nunito Sans" w:hAnsi="Nunito Sans" w:eastAsia="Arial" w:cs="Calibri"/>
              <w:sz w:val="22"/>
              <w:szCs w:val="22"/>
              <w:lang w:val="es-ES"/>
            </w:rPr>
            <w:t>Respecto al nivel de estandarización, gobernanza y eficacia, el estado actual evidencia avances puntuales por entidad, pero aún requiere consolidación sectorial: el Ministerio de Minas y Energía reporta brechas de integración interna y necesidad de formalizar el modelo y el marco para intercambio interinstitucional; la Comisión de Regulación de Energía y Gas presenta una ruta estructurada hacia estandarización mediante plataforma de integración y gobierno de datos; el Instituto de Planificación y Promoción de Soluciones Energéticas para Zonas No Interconectadas y el Servicio Geológico Colombiano cuentan con servicios ya operativos (servicios de consulta y geoservicios), aunque el Servicio Geológico Colombiano identifica la necesidad de fortalecer mecanismos de gobernanza del dato y la gestión del ciclo de vida de la información para asegurar consistencia y oportunidad del dato. En conjunto, el sector debe converger hacia estándares comunes, catálogo de servicios y reglas de gobierno sectorial que eviten fragmentación y mejoren la eficacia del intercambio de información para la toma de decisiones.</w:t>
          </w:r>
          <w:r w:rsidRPr="4E60D266" w:rsidR="7385A104">
            <w:rPr>
              <w:rFonts w:ascii="Nunito Sans" w:hAnsi="Nunito Sans" w:eastAsia="Arial" w:cs="Calibri"/>
              <w:sz w:val="22"/>
              <w:szCs w:val="22"/>
              <w:lang w:val="es-ES"/>
            </w:rPr>
            <w:t xml:space="preserve"> </w:t>
          </w:r>
        </w:p>
        <w:p w:rsidRPr="004661A2" w:rsidR="004661A2" w:rsidRDefault="004661A2" w14:paraId="0EF08353" w14:textId="77777777">
          <w:pPr>
            <w:pStyle w:val="Prrafodelista"/>
            <w:numPr>
              <w:ilvl w:val="1"/>
              <w:numId w:val="35"/>
            </w:numPr>
            <w:contextualSpacing w:val="0"/>
            <w:jc w:val="both"/>
            <w:outlineLvl w:val="2"/>
            <w:rPr>
              <w:rFonts w:ascii="Nunito Sans" w:hAnsi="Nunito Sans" w:eastAsia="Nunito Sans" w:cs="Nunito Sans"/>
              <w:b/>
              <w:bCs/>
              <w:iCs/>
              <w:vanish/>
              <w:color w:val="EDB600"/>
              <w:sz w:val="26"/>
              <w:lang w:val="es-ES"/>
            </w:rPr>
          </w:pPr>
          <w:bookmarkStart w:name="_Toc220407702" w:id="130"/>
          <w:bookmarkStart w:name="_Toc220407971" w:id="131"/>
          <w:bookmarkStart w:name="_Toc220614456" w:id="132"/>
          <w:bookmarkStart w:name="_Toc220664282" w:id="133"/>
          <w:bookmarkStart w:name="_Toc234231834" w:id="134"/>
          <w:bookmarkStart w:name="_Toc234232076" w:id="135"/>
          <w:bookmarkStart w:name="_Toc234232197" w:id="136"/>
          <w:bookmarkStart w:name="_Toc234232318" w:id="137"/>
          <w:bookmarkStart w:name="_Toc234233369" w:id="138"/>
          <w:bookmarkStart w:name="_Toc234233490" w:id="139"/>
          <w:bookmarkStart w:name="_Toc234233612" w:id="140"/>
          <w:bookmarkStart w:name="_Toc234233734" w:id="141"/>
          <w:bookmarkStart w:name="_Toc234233856" w:id="142"/>
          <w:bookmarkStart w:name="_Toc234233977" w:id="143"/>
          <w:bookmarkStart w:name="_Toc234234100" w:id="144"/>
          <w:bookmarkStart w:name="_Toc234234222" w:id="145"/>
          <w:bookmarkStart w:name="_Toc234234343" w:id="146"/>
          <w:bookmarkStart w:name="_Toc234234464" w:id="147"/>
          <w:bookmarkStart w:name="_Toc829793362" w:id="148"/>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rsidR="005E3BD6" w:rsidRDefault="005E3BD6" w14:paraId="672217FB" w14:textId="083302E8">
          <w:pPr>
            <w:pStyle w:val="Ttulo3"/>
            <w:numPr>
              <w:ilvl w:val="2"/>
              <w:numId w:val="36"/>
            </w:numPr>
          </w:pPr>
          <w:bookmarkStart w:name="_Toc234234465" w:id="149"/>
          <w:r w:rsidRPr="0E79E4E6">
            <w:t>Análisis sectorial de interoperabilidad</w:t>
          </w:r>
          <w:bookmarkEnd w:id="148"/>
          <w:bookmarkEnd w:id="149"/>
        </w:p>
        <w:p w:rsidRPr="00DF354F" w:rsidR="00DF354F" w:rsidP="00DF354F" w:rsidRDefault="00DF354F" w14:paraId="046C99C2" w14:textId="77777777">
          <w:pPr>
            <w:rPr>
              <w:lang w:val="es-ES"/>
            </w:rPr>
          </w:pPr>
        </w:p>
        <w:p w:rsidR="005E3BD6" w:rsidP="005E3BD6" w:rsidRDefault="005E3BD6" w14:paraId="21FEF77D" w14:textId="77777777">
          <w:pPr>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El análisis del estado actual de la interoperabilidad en el sector minero-energético evidencia un nivel de madurez heterogéneo, con avances relevantes a nivel institucional, pero aún sin una articulación sectorial plenamente consolidada.</w:t>
          </w:r>
        </w:p>
        <w:p w:rsidR="005E3BD6" w:rsidP="005E3BD6" w:rsidRDefault="005E3BD6" w14:paraId="4D694130" w14:textId="77777777">
          <w:pPr>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 xml:space="preserve"> </w:t>
          </w:r>
        </w:p>
        <w:p w:rsidR="005E3BD6" w:rsidP="005E3BD6" w:rsidRDefault="005E3BD6" w14:paraId="59F6B2EA" w14:textId="77777777">
          <w:pPr>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Ministerio de Minas y Energía (rol de articulador sectorial)</w:t>
          </w:r>
        </w:p>
        <w:p w:rsidR="005E3BD6" w:rsidP="005E3BD6" w:rsidRDefault="005E3BD6" w14:paraId="683AAB19" w14:textId="77777777">
          <w:pPr>
            <w:jc w:val="both"/>
          </w:pPr>
          <w:r w:rsidRPr="2FC2A464">
            <w:rPr>
              <w:rFonts w:ascii="Nunito Sans" w:hAnsi="Nunito Sans" w:eastAsia="Nunito Sans" w:cs="Nunito Sans"/>
              <w:sz w:val="22"/>
              <w:szCs w:val="22"/>
              <w:lang w:val="es-ES"/>
            </w:rPr>
            <w:t>Se identifica una brecha de interoperabilidad interna asociada a la coexistencia de múltiples sistemas de información que operan de manera aislada, sin mecanismos de integración estandarizados. Como acción de cierre, el Ministerio ha definido la formulación e implementación de un Modelo de Interoperabilidad institucional, orientado a integrar sus sistemas de información y a sentar las bases para la articulación sectorial.</w:t>
          </w:r>
        </w:p>
        <w:p w:rsidR="2FC2A464" w:rsidP="2FC2A464" w:rsidRDefault="2FC2A464" w14:paraId="084B76DD" w14:textId="0FD0679C">
          <w:pPr>
            <w:jc w:val="both"/>
            <w:rPr>
              <w:rFonts w:ascii="Nunito Sans" w:hAnsi="Nunito Sans" w:eastAsia="Nunito Sans" w:cs="Nunito Sans"/>
              <w:sz w:val="22"/>
              <w:szCs w:val="22"/>
              <w:lang w:val="es-ES"/>
            </w:rPr>
          </w:pPr>
        </w:p>
        <w:p w:rsidR="3B66D521" w:rsidP="2FC2A464" w:rsidRDefault="3B66D521" w14:paraId="6288D659" w14:textId="69298B3D">
          <w:pPr>
            <w:jc w:val="both"/>
          </w:pPr>
          <w:r w:rsidRPr="2FC2A464">
            <w:rPr>
              <w:rFonts w:ascii="Nunito Sans" w:hAnsi="Nunito Sans" w:eastAsia="Nunito Sans" w:cs="Nunito Sans"/>
              <w:sz w:val="22"/>
              <w:szCs w:val="22"/>
              <w:lang w:val="es-ES"/>
            </w:rPr>
            <w:lastRenderedPageBreak/>
            <w:t>Las entidades del sector han realizado avances significativos en el fortalecimiento de sus capacidades de interoperabilidad, mediante la adopción de la plataforma de interoperabilidad del Estado, la implementación de infraestructura X-Road y el desarrollo de servicios interoperables. Estos esfuerzos representan una base estratégica para consolidar un modelo de interoperabilidad sectorial que facilite el intercambio seguro, estandarizado y reutilizable de información entre las entidades del sector minero-energético y el Estado.</w:t>
          </w:r>
        </w:p>
        <w:p w:rsidR="005E3BD6" w:rsidP="005E3BD6" w:rsidRDefault="005E3BD6" w14:paraId="2DC2D418" w14:textId="77777777">
          <w:pPr>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 xml:space="preserve"> </w:t>
          </w:r>
        </w:p>
        <w:p w:rsidR="005E3BD6" w:rsidP="005E3BD6" w:rsidRDefault="005E3BD6" w14:paraId="264F79C8" w14:textId="77777777">
          <w:pPr>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Adicionalmente, se reconoce la necesidad de interoperabilidad con sistemas de información externos, para lo cual se plantea la adopción del Marco de Interoperabilidad definido por el Ministerio de Tecnologías de la Información y las Comunicaciones (MinTIC) como solución para el intercambio de información interinstitucional. En este contexto, el portafolio incorpora la iniciativa “Evolución a la implementación del Marco de Interoperabilidad definido por el MinTIC”, concebida como habilitador transversal para el intercambio seguro y estandarizado de información a nivel sectorial.</w:t>
          </w:r>
        </w:p>
        <w:p w:rsidR="005E3BD6" w:rsidP="005E3BD6" w:rsidRDefault="005E3BD6" w14:paraId="51FFB80F" w14:textId="77777777">
          <w:pPr>
            <w:spacing w:before="240" w:after="240"/>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 xml:space="preserve">Instituto de Planificación y Promoción de Soluciones Energéticas para Zonas No Interconectadas (IPSE) En el IPSE se evidencia una capacidad operativa concreta de interoperabilidad mediante el uso de </w:t>
          </w:r>
          <w:r w:rsidRPr="761B0734">
            <w:rPr>
              <w:rFonts w:ascii="Nunito Sans" w:hAnsi="Nunito Sans" w:eastAsia="Nunito Sans" w:cs="Nunito Sans"/>
              <w:b/>
              <w:bCs/>
              <w:sz w:val="22"/>
              <w:szCs w:val="22"/>
              <w:lang w:val="es-ES"/>
            </w:rPr>
            <w:t>IPSE-API</w:t>
          </w:r>
          <w:r w:rsidRPr="761B0734">
            <w:rPr>
              <w:rFonts w:ascii="Nunito Sans" w:hAnsi="Nunito Sans" w:eastAsia="Nunito Sans" w:cs="Nunito Sans"/>
              <w:sz w:val="22"/>
              <w:szCs w:val="22"/>
              <w:lang w:val="es-ES"/>
            </w:rPr>
            <w:t xml:space="preserve">, que permite el acceso seguro e integración con aplicaciones y componentes institucionales a través de reglas y protocolos definidos. Asimismo, se destaca la exposición de información geográfica mediante </w:t>
          </w:r>
          <w:r w:rsidRPr="761B0734">
            <w:rPr>
              <w:rFonts w:ascii="Nunito Sans" w:hAnsi="Nunito Sans" w:eastAsia="Nunito Sans" w:cs="Nunito Sans"/>
              <w:b/>
              <w:bCs/>
              <w:sz w:val="22"/>
              <w:szCs w:val="22"/>
              <w:lang w:val="es-ES"/>
            </w:rPr>
            <w:t>SIGIPSE</w:t>
          </w:r>
          <w:r w:rsidRPr="761B0734">
            <w:rPr>
              <w:rFonts w:ascii="Nunito Sans" w:hAnsi="Nunito Sans" w:eastAsia="Nunito Sans" w:cs="Nunito Sans"/>
              <w:sz w:val="22"/>
              <w:szCs w:val="22"/>
              <w:lang w:val="es-ES"/>
            </w:rPr>
            <w:t>, que ofrece servicios web geográficos tales como WMS (Web Map Service) y WFS (Web Feature Service), habilitando el consumo de información por clientes internos y externos.</w:t>
          </w:r>
        </w:p>
        <w:p w:rsidR="005E3BD6" w:rsidP="005E3BD6" w:rsidRDefault="005E3BD6" w14:paraId="5A44FF73" w14:textId="77777777">
          <w:pPr>
            <w:spacing w:before="240" w:after="240"/>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 xml:space="preserve">De manera complementaria, el IPSE ha avanzado en la adopción de lineamientos de </w:t>
          </w:r>
          <w:r w:rsidRPr="761B0734">
            <w:rPr>
              <w:rFonts w:ascii="Nunito Sans" w:hAnsi="Nunito Sans" w:eastAsia="Nunito Sans" w:cs="Nunito Sans"/>
              <w:b/>
              <w:bCs/>
              <w:sz w:val="22"/>
              <w:szCs w:val="22"/>
              <w:lang w:val="es-ES"/>
            </w:rPr>
            <w:t>Arquitectura Empresarial</w:t>
          </w:r>
          <w:r w:rsidRPr="761B0734">
            <w:rPr>
              <w:rFonts w:ascii="Nunito Sans" w:hAnsi="Nunito Sans" w:eastAsia="Nunito Sans" w:cs="Nunito Sans"/>
              <w:sz w:val="22"/>
              <w:szCs w:val="22"/>
              <w:lang w:val="es-ES"/>
            </w:rPr>
            <w:t>, alineando estrategia, procesos, datos, aplicaciones y tecnología, así como en el fortalecimiento de políticas de seguridad digital, con referencia explícita a la norma ISO 27001:2022 y al Modelo de Seguridad y Privacidad de la Información.</w:t>
          </w:r>
        </w:p>
        <w:p w:rsidRPr="00B03CF5" w:rsidR="005E3BD6" w:rsidRDefault="005E3BD6" w14:paraId="2408BD1D" w14:textId="77777777">
          <w:pPr>
            <w:pStyle w:val="Ttulo4"/>
            <w:numPr>
              <w:ilvl w:val="3"/>
              <w:numId w:val="36"/>
            </w:numPr>
          </w:pPr>
          <w:r w:rsidRPr="00B03CF5">
            <w:t>Comisión de Regulación de Energía y Gas (CREG)</w:t>
          </w:r>
        </w:p>
        <w:p w:rsidRPr="0016607A" w:rsidR="005E3BD6" w:rsidP="3D9E0835" w:rsidRDefault="005E3BD6" w14:paraId="7E4BCF4F" w14:textId="3C536D8F">
          <w:pPr>
            <w:spacing w:after="240"/>
            <w:jc w:val="both"/>
            <w:rPr>
              <w:rFonts w:ascii="Nunito Sans" w:hAnsi="Nunito Sans" w:eastAsia="Nunito Sans" w:cs="Nunito Sans"/>
              <w:sz w:val="22"/>
              <w:szCs w:val="22"/>
              <w:lang w:val="es-ES"/>
            </w:rPr>
          </w:pPr>
          <w:r>
            <w:br/>
          </w:r>
          <w:r w:rsidRPr="0016607A" w:rsidR="574BAA10">
            <w:rPr>
              <w:rFonts w:ascii="Nunito Sans" w:hAnsi="Nunito Sans" w:eastAsiaTheme="minorEastAsia" w:cstheme="minorBidi"/>
              <w:sz w:val="22"/>
              <w:szCs w:val="22"/>
            </w:rPr>
            <w:t xml:space="preserve">La CREG, como resultado de su ejercicio de Planeación Estratégica de Tecnologías de la Información (PETI), ha definido una hoja de ruta para el fortalecimiento de la interoperabilidad y la gestión de datos, materializada en proyectos explícitos y secuenciales que incluyen la implementación de interoperabilidad para el intercambio de datos en dos etapas, la adquisición e implementación de una plataforma de integración para la orquestación y gestión de servicios, la implementación de un repositorio de datos maestros y de referencia, el diseño e implementación de un programa de calidad de datos y la conformación de un </w:t>
          </w:r>
          <w:r w:rsidRPr="0016607A" w:rsidR="574BAA10">
            <w:rPr>
              <w:rFonts w:ascii="Nunito Sans" w:hAnsi="Nunito Sans" w:eastAsiaTheme="minorEastAsia" w:cstheme="minorBidi"/>
              <w:b/>
              <w:bCs/>
              <w:sz w:val="22"/>
              <w:szCs w:val="22"/>
            </w:rPr>
            <w:t>Centro de Excelencia (CoE) en Inteligencia de Negocios y Analítica</w:t>
          </w:r>
          <w:r w:rsidRPr="0016607A" w:rsidR="574BAA10">
            <w:rPr>
              <w:rFonts w:ascii="Nunito Sans" w:hAnsi="Nunito Sans" w:eastAsiaTheme="minorEastAsia" w:cstheme="minorBidi"/>
              <w:sz w:val="22"/>
              <w:szCs w:val="22"/>
            </w:rPr>
            <w:t>. Este conjunto de iniciativas evidencia un enfoque integral que articula interoperabilidad, gobierno de datos y capacidades analíticas, orientado a fortalecer la gestión y el aprovechamiento de la información institucional.</w:t>
          </w:r>
        </w:p>
        <w:p w:rsidRPr="00B03CF5" w:rsidR="005E3BD6" w:rsidRDefault="005E3BD6" w14:paraId="3D5CF85E" w14:textId="77777777">
          <w:pPr>
            <w:pStyle w:val="Ttulo4"/>
            <w:numPr>
              <w:ilvl w:val="3"/>
              <w:numId w:val="36"/>
            </w:numPr>
          </w:pPr>
          <w:r w:rsidRPr="00B03CF5">
            <w:t>Servicio Geológico Colombiano (SGC)</w:t>
          </w:r>
        </w:p>
        <w:p w:rsidRPr="009E5D2E" w:rsidR="005E3BD6" w:rsidP="005E3BD6" w:rsidRDefault="005E3BD6" w14:paraId="32B112EE" w14:textId="77777777">
          <w:pPr>
            <w:jc w:val="both"/>
            <w:rPr>
              <w:rFonts w:ascii="Nunito Sans" w:hAnsi="Nunito Sans" w:eastAsia="Nunito Sans" w:cs="Nunito Sans"/>
              <w:b/>
              <w:bCs/>
              <w:color w:val="E1AF3B"/>
              <w:sz w:val="22"/>
              <w:szCs w:val="22"/>
              <w:lang w:val="es-ES"/>
            </w:rPr>
          </w:pPr>
          <w:r>
            <w:lastRenderedPageBreak/>
            <w:br/>
          </w:r>
          <w:r w:rsidRPr="761B0734">
            <w:rPr>
              <w:rFonts w:ascii="Nunito Sans" w:hAnsi="Nunito Sans" w:eastAsia="Nunito Sans" w:cs="Nunito Sans"/>
              <w:sz w:val="22"/>
              <w:szCs w:val="22"/>
              <w:lang w:val="es-ES"/>
            </w:rPr>
            <w:t>En el SGC se identifica una trayectoria sostenida de fortalecimiento de la Arquitectura Empresarial, con un primer ciclo orientado a la arquitectura institucional y un segundo ciclo focalizado en analítica de datos y gestión de información geocientífica. La entidad cuenta con instancias formales de gobernanza —como mesas de arquitectura, aplicaciones, seguridad de la información y control de cambios— con alcance sobre estándares, lineamientos, mejores prácticas y continuidad del ejercicio arquitectónico.</w:t>
          </w:r>
        </w:p>
        <w:p w:rsidRPr="00DA2DC1" w:rsidR="005E3BD6" w:rsidP="00DA2DC1" w:rsidRDefault="005E3BD6" w14:paraId="20A4FF8F" w14:textId="1E715D2F">
          <w:pPr>
            <w:spacing w:before="240" w:after="240"/>
            <w:jc w:val="both"/>
            <w:rPr>
              <w:rFonts w:ascii="Nunito Sans" w:hAnsi="Nunito Sans" w:eastAsia="Nunito Sans" w:cs="Nunito Sans"/>
              <w:sz w:val="22"/>
              <w:szCs w:val="22"/>
              <w:lang w:val="es-ES"/>
            </w:rPr>
          </w:pPr>
          <w:r w:rsidRPr="0E79E4E6">
            <w:rPr>
              <w:rFonts w:ascii="Nunito Sans" w:hAnsi="Nunito Sans" w:eastAsia="Nunito Sans" w:cs="Nunito Sans"/>
              <w:sz w:val="22"/>
              <w:szCs w:val="22"/>
              <w:lang w:val="es-ES"/>
            </w:rPr>
            <w:t xml:space="preserve">Adicionalmente, el SGC dispone de una oferta de servicios institucionales para consulta e intercambio de información, incluyendo el </w:t>
          </w:r>
          <w:r w:rsidRPr="0E79E4E6">
            <w:rPr>
              <w:rFonts w:ascii="Nunito Sans" w:hAnsi="Nunito Sans" w:eastAsia="Nunito Sans" w:cs="Nunito Sans"/>
              <w:b/>
              <w:bCs/>
              <w:sz w:val="22"/>
              <w:szCs w:val="22"/>
              <w:lang w:val="es-ES"/>
            </w:rPr>
            <w:t>Geoportal institucional</w:t>
          </w:r>
          <w:r w:rsidRPr="0E79E4E6">
            <w:rPr>
              <w:rFonts w:ascii="Nunito Sans" w:hAnsi="Nunito Sans" w:eastAsia="Nunito Sans" w:cs="Nunito Sans"/>
              <w:sz w:val="22"/>
              <w:szCs w:val="22"/>
              <w:lang w:val="es-ES"/>
            </w:rPr>
            <w:t xml:space="preserve"> para consumo de geoservicios y el </w:t>
          </w:r>
          <w:r w:rsidRPr="0E79E4E6">
            <w:rPr>
              <w:rFonts w:ascii="Nunito Sans" w:hAnsi="Nunito Sans" w:eastAsia="Nunito Sans" w:cs="Nunito Sans"/>
              <w:b/>
              <w:bCs/>
              <w:sz w:val="22"/>
              <w:szCs w:val="22"/>
              <w:lang w:val="es-ES"/>
            </w:rPr>
            <w:t>Banco de Información Petrolera</w:t>
          </w:r>
          <w:r w:rsidRPr="0E79E4E6">
            <w:rPr>
              <w:rFonts w:ascii="Nunito Sans" w:hAnsi="Nunito Sans" w:eastAsia="Nunito Sans" w:cs="Nunito Sans"/>
              <w:sz w:val="22"/>
              <w:szCs w:val="22"/>
              <w:lang w:val="es-ES"/>
            </w:rPr>
            <w:t>, como repositorio oficial de información técnica del sector hidrocarburos.</w:t>
          </w:r>
        </w:p>
        <w:p w:rsidR="005E3BD6" w:rsidRDefault="005E3BD6" w14:paraId="74ECC924" w14:textId="3508D61B">
          <w:pPr>
            <w:pStyle w:val="Ttulo3"/>
            <w:numPr>
              <w:ilvl w:val="2"/>
              <w:numId w:val="36"/>
            </w:numPr>
          </w:pPr>
          <w:bookmarkStart w:name="_Toc234234466" w:id="150"/>
          <w:r w:rsidRPr="0E79E4E6">
            <w:t>Análisis de Flujos de Datos y Modelo de Interoperabilidad Sectorial.</w:t>
          </w:r>
          <w:bookmarkEnd w:id="150"/>
        </w:p>
        <w:p w:rsidRPr="00DF354F" w:rsidR="00DF354F" w:rsidP="00DF354F" w:rsidRDefault="00DF354F" w14:paraId="79061D9F" w14:textId="77777777">
          <w:pPr>
            <w:rPr>
              <w:lang w:val="es-ES"/>
            </w:rPr>
          </w:pPr>
        </w:p>
        <w:p w:rsidRPr="007720B7" w:rsidR="007720B7" w:rsidP="3D9E0835" w:rsidRDefault="005E3BD6" w14:paraId="2C0BC216" w14:textId="2B3D228A">
          <w:pPr>
            <w:spacing w:after="160" w:line="257" w:lineRule="auto"/>
            <w:jc w:val="both"/>
          </w:pPr>
          <w:r w:rsidRPr="3D9E0835">
            <w:rPr>
              <w:rFonts w:ascii="Nunito Sans" w:hAnsi="Nunito Sans" w:eastAsia="Arial" w:cs="Calibri"/>
              <w:sz w:val="22"/>
              <w:szCs w:val="22"/>
              <w:lang w:val="es-ES"/>
            </w:rPr>
            <w:t xml:space="preserve">La arquitectura de integración del sector no es una malla desordenada, sino que tiende hacia un modelo </w:t>
          </w:r>
          <w:r w:rsidRPr="3D9E0835">
            <w:rPr>
              <w:rFonts w:ascii="Nunito Sans" w:hAnsi="Nunito Sans" w:eastAsia="Arial" w:cs="Calibri"/>
              <w:i/>
              <w:iCs/>
              <w:sz w:val="22"/>
              <w:szCs w:val="22"/>
              <w:lang w:val="es-ES"/>
            </w:rPr>
            <w:t>Hub-and-Spoke</w:t>
          </w:r>
          <w:r w:rsidRPr="3D9E0835">
            <w:rPr>
              <w:rFonts w:ascii="Nunito Sans" w:hAnsi="Nunito Sans" w:eastAsia="Arial" w:cs="Calibri"/>
              <w:sz w:val="22"/>
              <w:szCs w:val="22"/>
              <w:lang w:val="es-ES"/>
            </w:rPr>
            <w:t xml:space="preserve"> (Concentrador y Radios), donde el MME y su plataforma INTÉGRAME buscan consolidarse como el nodo central</w:t>
          </w:r>
        </w:p>
        <w:p w:rsidRPr="00EB43A6" w:rsidR="005E3BD6" w:rsidP="005E3BD6" w:rsidRDefault="00F2742B" w14:paraId="42664EA5" w14:textId="053F8BC7">
          <w:pPr>
            <w:ind w:left="360" w:hanging="360"/>
            <w:jc w:val="center"/>
            <w:rPr>
              <w:rFonts w:ascii="Nunito Sans" w:hAnsi="Nunito Sans" w:cs="Calibri"/>
              <w:b/>
              <w:bCs/>
              <w:sz w:val="18"/>
              <w:szCs w:val="18"/>
            </w:rPr>
          </w:pPr>
          <w:bookmarkStart w:name="_Toc220664188" w:id="151"/>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17</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45299D" w:rsidR="005E3BD6">
            <w:rPr>
              <w:rFonts w:ascii="Nunito Sans" w:hAnsi="Nunito Sans" w:cs="Calibri"/>
              <w:b/>
              <w:bCs/>
              <w:sz w:val="18"/>
              <w:szCs w:val="18"/>
            </w:rPr>
            <w:t xml:space="preserve">Flujos de </w:t>
          </w:r>
          <w:r w:rsidR="005E3BD6">
            <w:rPr>
              <w:rFonts w:ascii="Nunito Sans" w:hAnsi="Nunito Sans" w:cs="Calibri"/>
              <w:b/>
              <w:bCs/>
              <w:sz w:val="18"/>
              <w:szCs w:val="18"/>
            </w:rPr>
            <w:t>Datos</w:t>
          </w:r>
          <w:r w:rsidRPr="0045299D" w:rsidR="005E3BD6">
            <w:rPr>
              <w:rFonts w:ascii="Nunito Sans" w:hAnsi="Nunito Sans" w:cs="Calibri"/>
              <w:b/>
              <w:bCs/>
              <w:sz w:val="18"/>
              <w:szCs w:val="18"/>
            </w:rPr>
            <w:t xml:space="preserve"> de Información entre </w:t>
          </w:r>
          <w:r w:rsidR="005E3BD6">
            <w:rPr>
              <w:rFonts w:ascii="Nunito Sans" w:hAnsi="Nunito Sans" w:cs="Calibri"/>
              <w:b/>
              <w:bCs/>
              <w:sz w:val="18"/>
              <w:szCs w:val="18"/>
            </w:rPr>
            <w:t>S</w:t>
          </w:r>
          <w:r w:rsidRPr="0045299D" w:rsidR="005E3BD6">
            <w:rPr>
              <w:rFonts w:ascii="Nunito Sans" w:hAnsi="Nunito Sans" w:cs="Calibri"/>
              <w:b/>
              <w:bCs/>
              <w:sz w:val="18"/>
              <w:szCs w:val="18"/>
            </w:rPr>
            <w:t>istemas del Sector</w:t>
          </w:r>
          <w:bookmarkEnd w:id="151"/>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559"/>
            <w:gridCol w:w="1629"/>
            <w:gridCol w:w="2823"/>
            <w:gridCol w:w="2636"/>
          </w:tblGrid>
          <w:tr w:rsidRPr="009E5D2E" w:rsidR="005E3BD6" w:rsidTr="00B4771C" w14:paraId="6EBBBE68" w14:textId="77777777">
            <w:trPr>
              <w:trHeight w:val="315"/>
              <w:jc w:val="center"/>
            </w:trPr>
            <w:tc>
              <w:tcPr>
                <w:tcW w:w="1559" w:type="dxa"/>
                <w:shd w:val="clear" w:color="auto" w:fill="E1AF3B"/>
                <w:tcMar>
                  <w:left w:w="70" w:type="dxa"/>
                  <w:right w:w="70" w:type="dxa"/>
                </w:tcMar>
                <w:vAlign w:val="center"/>
              </w:tcPr>
              <w:p w:rsidRPr="009E5D2E" w:rsidR="005E3BD6" w:rsidP="00B4771C" w:rsidRDefault="005E3BD6" w14:paraId="69E3D65F" w14:textId="77777777">
                <w:pPr>
                  <w:jc w:val="center"/>
                  <w:rPr>
                    <w:rFonts w:ascii="Nunito Sans" w:hAnsi="Nunito Sans" w:eastAsia="Arial" w:cs="Calibri"/>
                    <w:b/>
                    <w:bCs/>
                    <w:color w:val="FFFFFF" w:themeColor="background1"/>
                    <w:sz w:val="18"/>
                    <w:szCs w:val="18"/>
                  </w:rPr>
                </w:pPr>
                <w:r w:rsidRPr="009E5D2E">
                  <w:rPr>
                    <w:rFonts w:ascii="Nunito Sans" w:hAnsi="Nunito Sans" w:eastAsia="Arial" w:cs="Calibri"/>
                    <w:b/>
                    <w:bCs/>
                    <w:color w:val="FFFFFF" w:themeColor="background1"/>
                    <w:sz w:val="18"/>
                    <w:szCs w:val="18"/>
                  </w:rPr>
                  <w:t>ORIGEN</w:t>
                </w:r>
              </w:p>
            </w:tc>
            <w:tc>
              <w:tcPr>
                <w:tcW w:w="1629" w:type="dxa"/>
                <w:shd w:val="clear" w:color="auto" w:fill="E1AF3B"/>
                <w:tcMar>
                  <w:left w:w="70" w:type="dxa"/>
                  <w:right w:w="70" w:type="dxa"/>
                </w:tcMar>
                <w:vAlign w:val="center"/>
              </w:tcPr>
              <w:p w:rsidRPr="009E5D2E" w:rsidR="005E3BD6" w:rsidP="00B4771C" w:rsidRDefault="005E3BD6" w14:paraId="64A3F0D2" w14:textId="77777777">
                <w:pPr>
                  <w:jc w:val="center"/>
                  <w:rPr>
                    <w:rFonts w:ascii="Nunito Sans" w:hAnsi="Nunito Sans" w:eastAsia="Arial" w:cs="Calibri"/>
                    <w:b/>
                    <w:bCs/>
                    <w:color w:val="FFFFFF" w:themeColor="background1"/>
                    <w:sz w:val="18"/>
                    <w:szCs w:val="18"/>
                  </w:rPr>
                </w:pPr>
                <w:r w:rsidRPr="009E5D2E">
                  <w:rPr>
                    <w:rFonts w:ascii="Nunito Sans" w:hAnsi="Nunito Sans" w:eastAsia="Arial" w:cs="Calibri"/>
                    <w:b/>
                    <w:bCs/>
                    <w:color w:val="FFFFFF" w:themeColor="background1"/>
                    <w:sz w:val="18"/>
                    <w:szCs w:val="18"/>
                  </w:rPr>
                  <w:t>DESTINO</w:t>
                </w:r>
              </w:p>
            </w:tc>
            <w:tc>
              <w:tcPr>
                <w:tcW w:w="2823" w:type="dxa"/>
                <w:shd w:val="clear" w:color="auto" w:fill="E1AF3B"/>
                <w:tcMar>
                  <w:left w:w="70" w:type="dxa"/>
                  <w:right w:w="70" w:type="dxa"/>
                </w:tcMar>
                <w:vAlign w:val="center"/>
              </w:tcPr>
              <w:p w:rsidRPr="009E5D2E" w:rsidR="005E3BD6" w:rsidP="00B4771C" w:rsidRDefault="005E3BD6" w14:paraId="005AA13A" w14:textId="77777777">
                <w:pPr>
                  <w:jc w:val="center"/>
                  <w:rPr>
                    <w:rFonts w:ascii="Nunito Sans" w:hAnsi="Nunito Sans" w:eastAsia="Arial" w:cs="Calibri"/>
                    <w:b/>
                    <w:bCs/>
                    <w:color w:val="FFFFFF" w:themeColor="background1"/>
                    <w:sz w:val="18"/>
                    <w:szCs w:val="18"/>
                  </w:rPr>
                </w:pPr>
                <w:r w:rsidRPr="009E5D2E">
                  <w:rPr>
                    <w:rFonts w:ascii="Nunito Sans" w:hAnsi="Nunito Sans" w:eastAsia="Arial" w:cs="Calibri"/>
                    <w:b/>
                    <w:bCs/>
                    <w:color w:val="FFFFFF" w:themeColor="background1"/>
                    <w:sz w:val="18"/>
                    <w:szCs w:val="18"/>
                  </w:rPr>
                  <w:t>DATOS / OBJETO</w:t>
                </w:r>
              </w:p>
            </w:tc>
            <w:tc>
              <w:tcPr>
                <w:tcW w:w="2636" w:type="dxa"/>
                <w:shd w:val="clear" w:color="auto" w:fill="E1AF3B"/>
                <w:tcMar>
                  <w:left w:w="70" w:type="dxa"/>
                  <w:right w:w="70" w:type="dxa"/>
                </w:tcMar>
                <w:vAlign w:val="center"/>
              </w:tcPr>
              <w:p w:rsidRPr="009E5D2E" w:rsidR="005E3BD6" w:rsidP="00B4771C" w:rsidRDefault="005E3BD6" w14:paraId="2FE7E7FE" w14:textId="77777777">
                <w:pPr>
                  <w:jc w:val="center"/>
                  <w:rPr>
                    <w:rFonts w:ascii="Nunito Sans" w:hAnsi="Nunito Sans" w:eastAsia="Arial" w:cs="Calibri"/>
                    <w:b/>
                    <w:bCs/>
                    <w:color w:val="FFFFFF" w:themeColor="background1"/>
                    <w:sz w:val="18"/>
                    <w:szCs w:val="18"/>
                  </w:rPr>
                </w:pPr>
                <w:r w:rsidRPr="009E5D2E">
                  <w:rPr>
                    <w:rFonts w:ascii="Nunito Sans" w:hAnsi="Nunito Sans" w:eastAsia="Arial" w:cs="Calibri"/>
                    <w:b/>
                    <w:bCs/>
                    <w:color w:val="FFFFFF" w:themeColor="background1"/>
                    <w:sz w:val="18"/>
                    <w:szCs w:val="18"/>
                  </w:rPr>
                  <w:t>MECANISMO</w:t>
                </w:r>
              </w:p>
            </w:tc>
          </w:tr>
          <w:tr w:rsidRPr="009E5D2E" w:rsidR="005E3BD6" w:rsidTr="00B4771C" w14:paraId="535C4A41" w14:textId="77777777">
            <w:trPr>
              <w:trHeight w:val="510"/>
              <w:jc w:val="center"/>
            </w:trPr>
            <w:tc>
              <w:tcPr>
                <w:tcW w:w="1559" w:type="dxa"/>
                <w:tcMar>
                  <w:left w:w="70" w:type="dxa"/>
                  <w:right w:w="70" w:type="dxa"/>
                </w:tcMar>
                <w:vAlign w:val="center"/>
              </w:tcPr>
              <w:p w:rsidRPr="009E5D2E" w:rsidR="005E3BD6" w:rsidP="00B4771C" w:rsidRDefault="005E3BD6" w14:paraId="3384A0C8"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ANH (SOLAR)</w:t>
                </w:r>
              </w:p>
            </w:tc>
            <w:tc>
              <w:tcPr>
                <w:tcW w:w="1629" w:type="dxa"/>
                <w:tcMar>
                  <w:left w:w="70" w:type="dxa"/>
                  <w:right w:w="70" w:type="dxa"/>
                </w:tcMar>
                <w:vAlign w:val="center"/>
              </w:tcPr>
              <w:p w:rsidRPr="009E5D2E" w:rsidR="005E3BD6" w:rsidP="00B4771C" w:rsidRDefault="005E3BD6" w14:paraId="0218DC0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(AVANZAME)</w:t>
                </w:r>
              </w:p>
            </w:tc>
            <w:tc>
              <w:tcPr>
                <w:tcW w:w="2823" w:type="dxa"/>
                <w:tcMar>
                  <w:left w:w="70" w:type="dxa"/>
                  <w:right w:w="70" w:type="dxa"/>
                </w:tcMar>
                <w:vAlign w:val="center"/>
              </w:tcPr>
              <w:p w:rsidRPr="009E5D2E" w:rsidR="005E3BD6" w:rsidP="00B4771C" w:rsidRDefault="005E3BD6" w14:paraId="0EBD6A9C"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Contratos E&amp;P, Producción Detallada.</w:t>
                </w:r>
              </w:p>
            </w:tc>
            <w:tc>
              <w:tcPr>
                <w:tcW w:w="2636" w:type="dxa"/>
                <w:tcMar>
                  <w:left w:w="70" w:type="dxa"/>
                  <w:right w:w="70" w:type="dxa"/>
                </w:tcMar>
                <w:vAlign w:val="center"/>
              </w:tcPr>
              <w:p w:rsidRPr="009E5D2E" w:rsidR="005E3BD6" w:rsidP="00B4771C" w:rsidRDefault="005E3BD6" w14:paraId="13AF9E6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Web Service REST</w:t>
                </w:r>
              </w:p>
            </w:tc>
          </w:tr>
          <w:tr w:rsidRPr="009E5D2E" w:rsidR="005E3BD6" w:rsidTr="00B4771C" w14:paraId="41425F39" w14:textId="77777777">
            <w:trPr>
              <w:trHeight w:val="495"/>
              <w:jc w:val="center"/>
            </w:trPr>
            <w:tc>
              <w:tcPr>
                <w:tcW w:w="1559" w:type="dxa"/>
                <w:tcMar>
                  <w:left w:w="70" w:type="dxa"/>
                  <w:right w:w="70" w:type="dxa"/>
                </w:tcMar>
                <w:vAlign w:val="center"/>
              </w:tcPr>
              <w:p w:rsidRPr="009E5D2E" w:rsidR="005E3BD6" w:rsidP="00B4771C" w:rsidRDefault="005E3BD6" w14:paraId="169976FC"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ANM (AnnA)</w:t>
                </w:r>
              </w:p>
            </w:tc>
            <w:tc>
              <w:tcPr>
                <w:tcW w:w="1629" w:type="dxa"/>
                <w:tcMar>
                  <w:left w:w="70" w:type="dxa"/>
                  <w:right w:w="70" w:type="dxa"/>
                </w:tcMar>
                <w:vAlign w:val="center"/>
              </w:tcPr>
              <w:p w:rsidRPr="009E5D2E" w:rsidR="005E3BD6" w:rsidP="00B4771C" w:rsidRDefault="005E3BD6" w14:paraId="18764D1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(Intégrame)</w:t>
                </w:r>
              </w:p>
            </w:tc>
            <w:tc>
              <w:tcPr>
                <w:tcW w:w="2823" w:type="dxa"/>
                <w:tcMar>
                  <w:left w:w="70" w:type="dxa"/>
                  <w:right w:w="70" w:type="dxa"/>
                </w:tcMar>
                <w:vAlign w:val="center"/>
              </w:tcPr>
              <w:p w:rsidRPr="009E5D2E" w:rsidR="005E3BD6" w:rsidP="00B4771C" w:rsidRDefault="005E3BD6" w14:paraId="0D77E690"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Títulos Mineros, Producción, Regalías.</w:t>
                </w:r>
              </w:p>
            </w:tc>
            <w:tc>
              <w:tcPr>
                <w:tcW w:w="2636" w:type="dxa"/>
                <w:tcMar>
                  <w:left w:w="70" w:type="dxa"/>
                  <w:right w:w="70" w:type="dxa"/>
                </w:tcMar>
                <w:vAlign w:val="center"/>
              </w:tcPr>
              <w:p w:rsidRPr="009E5D2E" w:rsidR="005E3BD6" w:rsidP="00B4771C" w:rsidRDefault="005E3BD6" w14:paraId="4BD4E42D"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ETL / Archivos</w:t>
                </w:r>
              </w:p>
            </w:tc>
          </w:tr>
          <w:tr w:rsidRPr="009E5D2E" w:rsidR="005E3BD6" w:rsidTr="00B4771C" w14:paraId="5AD226A0" w14:textId="77777777">
            <w:trPr>
              <w:trHeight w:val="570"/>
              <w:jc w:val="center"/>
            </w:trPr>
            <w:tc>
              <w:tcPr>
                <w:tcW w:w="1559" w:type="dxa"/>
                <w:tcMar>
                  <w:left w:w="70" w:type="dxa"/>
                  <w:right w:w="70" w:type="dxa"/>
                </w:tcMar>
                <w:vAlign w:val="center"/>
              </w:tcPr>
              <w:p w:rsidRPr="009E5D2E" w:rsidR="005E3BD6" w:rsidP="00B4771C" w:rsidRDefault="005E3BD6" w14:paraId="2A4BF57C"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UPME (SIMEC)</w:t>
                </w:r>
              </w:p>
            </w:tc>
            <w:tc>
              <w:tcPr>
                <w:tcW w:w="1629" w:type="dxa"/>
                <w:tcMar>
                  <w:left w:w="70" w:type="dxa"/>
                  <w:right w:w="70" w:type="dxa"/>
                </w:tcMar>
                <w:vAlign w:val="center"/>
              </w:tcPr>
              <w:p w:rsidRPr="009E5D2E" w:rsidR="005E3BD6" w:rsidP="00B4771C" w:rsidRDefault="005E3BD6" w14:paraId="3F155F7A"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(Intégrame)</w:t>
                </w:r>
              </w:p>
            </w:tc>
            <w:tc>
              <w:tcPr>
                <w:tcW w:w="2823" w:type="dxa"/>
                <w:tcMar>
                  <w:left w:w="70" w:type="dxa"/>
                  <w:right w:w="70" w:type="dxa"/>
                </w:tcMar>
                <w:vAlign w:val="center"/>
              </w:tcPr>
              <w:p w:rsidRPr="009E5D2E" w:rsidR="005E3BD6" w:rsidP="00B4771C" w:rsidRDefault="005E3BD6" w14:paraId="31FCA576"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Proyecciones Demanda, Expansión.</w:t>
                </w:r>
              </w:p>
            </w:tc>
            <w:tc>
              <w:tcPr>
                <w:tcW w:w="2636" w:type="dxa"/>
                <w:tcMar>
                  <w:left w:w="70" w:type="dxa"/>
                  <w:right w:w="70" w:type="dxa"/>
                </w:tcMar>
                <w:vAlign w:val="center"/>
              </w:tcPr>
              <w:p w:rsidRPr="009E5D2E" w:rsidR="005E3BD6" w:rsidP="00B4771C" w:rsidRDefault="005E3BD6" w14:paraId="4464670D"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ETL / DB Connection</w:t>
                </w:r>
              </w:p>
            </w:tc>
          </w:tr>
          <w:tr w:rsidRPr="009E5D2E" w:rsidR="005E3BD6" w:rsidTr="00B4771C" w14:paraId="3C601489" w14:textId="77777777">
            <w:trPr>
              <w:trHeight w:val="675"/>
              <w:jc w:val="center"/>
            </w:trPr>
            <w:tc>
              <w:tcPr>
                <w:tcW w:w="1559" w:type="dxa"/>
                <w:tcMar>
                  <w:left w:w="70" w:type="dxa"/>
                  <w:right w:w="70" w:type="dxa"/>
                </w:tcMar>
                <w:vAlign w:val="center"/>
              </w:tcPr>
              <w:p w:rsidRPr="009E5D2E" w:rsidR="005E3BD6" w:rsidP="00B4771C" w:rsidRDefault="005E3BD6" w14:paraId="4B20BE36"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IPSE (SIGIPSE)</w:t>
                </w:r>
              </w:p>
            </w:tc>
            <w:tc>
              <w:tcPr>
                <w:tcW w:w="1629" w:type="dxa"/>
                <w:tcMar>
                  <w:left w:w="70" w:type="dxa"/>
                  <w:right w:w="70" w:type="dxa"/>
                </w:tcMar>
                <w:vAlign w:val="center"/>
              </w:tcPr>
              <w:p w:rsidRPr="009E5D2E" w:rsidR="005E3BD6" w:rsidP="00B4771C" w:rsidRDefault="005E3BD6" w14:paraId="422E01A6"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(Intégrame)</w:t>
                </w:r>
              </w:p>
            </w:tc>
            <w:tc>
              <w:tcPr>
                <w:tcW w:w="2823" w:type="dxa"/>
                <w:tcMar>
                  <w:left w:w="70" w:type="dxa"/>
                  <w:right w:w="70" w:type="dxa"/>
                </w:tcMar>
                <w:vAlign w:val="center"/>
              </w:tcPr>
              <w:p w:rsidRPr="009E5D2E" w:rsidR="005E3BD6" w:rsidP="00B4771C" w:rsidRDefault="005E3BD6" w14:paraId="7A020396"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Cobertura ZNI, Telemetría.</w:t>
                </w:r>
              </w:p>
            </w:tc>
            <w:tc>
              <w:tcPr>
                <w:tcW w:w="2636" w:type="dxa"/>
                <w:tcMar>
                  <w:left w:w="70" w:type="dxa"/>
                  <w:right w:w="70" w:type="dxa"/>
                </w:tcMar>
                <w:vAlign w:val="center"/>
              </w:tcPr>
              <w:p w:rsidRPr="009E5D2E" w:rsidR="005E3BD6" w:rsidP="00B4771C" w:rsidRDefault="005E3BD6" w14:paraId="3A5079DE"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Servicios WMS / Reportes</w:t>
                </w:r>
              </w:p>
            </w:tc>
          </w:tr>
          <w:tr w:rsidRPr="009E5D2E" w:rsidR="005E3BD6" w:rsidTr="00B4771C" w14:paraId="422B746B" w14:textId="77777777">
            <w:trPr>
              <w:trHeight w:val="405"/>
              <w:jc w:val="center"/>
            </w:trPr>
            <w:tc>
              <w:tcPr>
                <w:tcW w:w="1559" w:type="dxa"/>
                <w:tcMar>
                  <w:left w:w="70" w:type="dxa"/>
                  <w:right w:w="70" w:type="dxa"/>
                </w:tcMar>
                <w:vAlign w:val="center"/>
              </w:tcPr>
              <w:p w:rsidRPr="009E5D2E" w:rsidR="005E3BD6" w:rsidP="00B4771C" w:rsidRDefault="005E3BD6" w14:paraId="4D00B24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(NEÓN)</w:t>
                </w:r>
              </w:p>
            </w:tc>
            <w:tc>
              <w:tcPr>
                <w:tcW w:w="1629" w:type="dxa"/>
                <w:tcMar>
                  <w:left w:w="70" w:type="dxa"/>
                  <w:right w:w="70" w:type="dxa"/>
                </w:tcMar>
                <w:vAlign w:val="center"/>
              </w:tcPr>
              <w:p w:rsidRPr="009E5D2E" w:rsidR="005E3BD6" w:rsidP="00B4771C" w:rsidRDefault="005E3BD6" w14:paraId="2EC3ED7D"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(AVANZAME)</w:t>
                </w:r>
              </w:p>
            </w:tc>
            <w:tc>
              <w:tcPr>
                <w:tcW w:w="2823" w:type="dxa"/>
                <w:tcMar>
                  <w:left w:w="70" w:type="dxa"/>
                  <w:right w:w="70" w:type="dxa"/>
                </w:tcMar>
                <w:vAlign w:val="center"/>
              </w:tcPr>
              <w:p w:rsidRPr="009E5D2E" w:rsidR="005E3BD6" w:rsidP="00B4771C" w:rsidRDefault="005E3BD6" w14:paraId="2D7AA7E2"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Convenios, Presupuesto, Pagos.</w:t>
                </w:r>
              </w:p>
            </w:tc>
            <w:tc>
              <w:tcPr>
                <w:tcW w:w="2636" w:type="dxa"/>
                <w:tcMar>
                  <w:left w:w="70" w:type="dxa"/>
                  <w:right w:w="70" w:type="dxa"/>
                </w:tcMar>
                <w:vAlign w:val="center"/>
              </w:tcPr>
              <w:p w:rsidRPr="009E5D2E" w:rsidR="005E3BD6" w:rsidP="00B4771C" w:rsidRDefault="005E3BD6" w14:paraId="558749EA"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Web Service REST</w:t>
                </w:r>
              </w:p>
            </w:tc>
          </w:tr>
          <w:tr w:rsidRPr="009E5D2E" w:rsidR="005E3BD6" w:rsidTr="00B4771C" w14:paraId="6491CE31" w14:textId="77777777">
            <w:trPr>
              <w:trHeight w:val="660"/>
              <w:jc w:val="center"/>
            </w:trPr>
            <w:tc>
              <w:tcPr>
                <w:tcW w:w="1559" w:type="dxa"/>
                <w:tcMar>
                  <w:left w:w="70" w:type="dxa"/>
                  <w:right w:w="70" w:type="dxa"/>
                </w:tcMar>
                <w:vAlign w:val="center"/>
              </w:tcPr>
              <w:p w:rsidRPr="009E5D2E" w:rsidR="005E3BD6" w:rsidP="00B4771C" w:rsidRDefault="005E3BD6" w14:paraId="181E019E"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(AVANZAME)</w:t>
                </w:r>
              </w:p>
            </w:tc>
            <w:tc>
              <w:tcPr>
                <w:tcW w:w="1629" w:type="dxa"/>
                <w:tcMar>
                  <w:left w:w="70" w:type="dxa"/>
                  <w:right w:w="70" w:type="dxa"/>
                </w:tcMar>
                <w:vAlign w:val="center"/>
              </w:tcPr>
              <w:p w:rsidRPr="009E5D2E" w:rsidR="005E3BD6" w:rsidP="00B4771C" w:rsidRDefault="005E3BD6" w14:paraId="5230CE9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MME (ARGO)</w:t>
                </w:r>
              </w:p>
            </w:tc>
            <w:tc>
              <w:tcPr>
                <w:tcW w:w="2823" w:type="dxa"/>
                <w:tcMar>
                  <w:left w:w="70" w:type="dxa"/>
                  <w:right w:w="70" w:type="dxa"/>
                </w:tcMar>
                <w:vAlign w:val="center"/>
              </w:tcPr>
              <w:p w:rsidRPr="009E5D2E" w:rsidR="005E3BD6" w:rsidP="00B4771C" w:rsidRDefault="005E3BD6" w14:paraId="35720F3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Expedientes Contractuales, Radicación.</w:t>
                </w:r>
              </w:p>
            </w:tc>
            <w:tc>
              <w:tcPr>
                <w:tcW w:w="2636" w:type="dxa"/>
                <w:tcMar>
                  <w:left w:w="70" w:type="dxa"/>
                  <w:right w:w="70" w:type="dxa"/>
                </w:tcMar>
                <w:vAlign w:val="center"/>
              </w:tcPr>
              <w:p w:rsidRPr="009E5D2E" w:rsidR="005E3BD6" w:rsidP="00B4771C" w:rsidRDefault="005E3BD6" w14:paraId="73BE3F5D"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Web Service SOAP</w:t>
                </w:r>
              </w:p>
            </w:tc>
          </w:tr>
          <w:tr w:rsidRPr="009E5D2E" w:rsidR="005E3BD6" w:rsidTr="00B4771C" w14:paraId="21543296" w14:textId="77777777">
            <w:trPr>
              <w:trHeight w:val="690"/>
              <w:jc w:val="center"/>
            </w:trPr>
            <w:tc>
              <w:tcPr>
                <w:tcW w:w="1559" w:type="dxa"/>
                <w:tcMar>
                  <w:left w:w="70" w:type="dxa"/>
                  <w:right w:w="70" w:type="dxa"/>
                </w:tcMar>
                <w:vAlign w:val="center"/>
              </w:tcPr>
              <w:p w:rsidRPr="009E5D2E" w:rsidR="005E3BD6" w:rsidP="00B4771C" w:rsidRDefault="005E3BD6" w14:paraId="48A00DEF"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XM (Operador)</w:t>
                </w:r>
              </w:p>
            </w:tc>
            <w:tc>
              <w:tcPr>
                <w:tcW w:w="1629" w:type="dxa"/>
                <w:tcMar>
                  <w:left w:w="70" w:type="dxa"/>
                  <w:right w:w="70" w:type="dxa"/>
                </w:tcMar>
                <w:vAlign w:val="center"/>
              </w:tcPr>
              <w:p w:rsidRPr="009E5D2E" w:rsidR="005E3BD6" w:rsidP="00B4771C" w:rsidRDefault="005E3BD6" w14:paraId="3F436563"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UPME (SIEL)</w:t>
                </w:r>
              </w:p>
            </w:tc>
            <w:tc>
              <w:tcPr>
                <w:tcW w:w="2823" w:type="dxa"/>
                <w:tcMar>
                  <w:left w:w="70" w:type="dxa"/>
                  <w:right w:w="70" w:type="dxa"/>
                </w:tcMar>
                <w:vAlign w:val="center"/>
              </w:tcPr>
              <w:p w:rsidRPr="009E5D2E" w:rsidR="005E3BD6" w:rsidP="00B4771C" w:rsidRDefault="005E3BD6" w14:paraId="17955F75"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Hidrología, Despacho, Precios Bolsa.</w:t>
                </w:r>
              </w:p>
            </w:tc>
            <w:tc>
              <w:tcPr>
                <w:tcW w:w="2636" w:type="dxa"/>
                <w:tcMar>
                  <w:left w:w="70" w:type="dxa"/>
                  <w:right w:w="70" w:type="dxa"/>
                </w:tcMar>
                <w:vAlign w:val="center"/>
              </w:tcPr>
              <w:p w:rsidRPr="009E5D2E" w:rsidR="005E3BD6" w:rsidP="00B4771C" w:rsidRDefault="005E3BD6" w14:paraId="587BD2D6" w14:textId="77777777">
                <w:pPr>
                  <w:jc w:val="center"/>
                  <w:rPr>
                    <w:rFonts w:ascii="Nunito Sans" w:hAnsi="Nunito Sans" w:cs="Calibri"/>
                    <w:sz w:val="18"/>
                    <w:szCs w:val="18"/>
                  </w:rPr>
                </w:pPr>
                <w:r w:rsidRPr="009E5D2E">
                  <w:rPr>
                    <w:rFonts w:ascii="Nunito Sans" w:hAnsi="Nunito Sans" w:eastAsia="Arial" w:cs="Calibri"/>
                    <w:color w:val="000000" w:themeColor="text1"/>
                    <w:sz w:val="18"/>
                    <w:szCs w:val="18"/>
                  </w:rPr>
                  <w:t>Archivos Planos / ETL</w:t>
                </w:r>
              </w:p>
            </w:tc>
          </w:tr>
        </w:tbl>
        <w:p w:rsidR="005E3BD6" w:rsidP="005E3BD6" w:rsidRDefault="005E3BD6" w14:paraId="36256BFA" w14:textId="77777777">
          <w:pPr>
            <w:pStyle w:val="Default"/>
            <w:spacing w:line="360" w:lineRule="auto"/>
            <w:jc w:val="center"/>
            <w:rPr>
              <w:rFonts w:ascii="Nunito Sans" w:hAnsi="Nunito Sans" w:eastAsia="CIDFont+F9" w:cs="Calibri"/>
              <w:color w:val="000000" w:themeColor="text1"/>
              <w:sz w:val="18"/>
              <w:szCs w:val="18"/>
            </w:rPr>
          </w:pPr>
          <w:r w:rsidRPr="007E3FC8">
            <w:rPr>
              <w:rFonts w:ascii="Nunito Sans" w:hAnsi="Nunito Sans" w:eastAsia="CIDFont+F9" w:cs="Calibri"/>
              <w:color w:val="000000" w:themeColor="text1"/>
              <w:sz w:val="18"/>
              <w:szCs w:val="18"/>
            </w:rPr>
            <w:t>Fuente: Elaboración propia</w:t>
          </w:r>
        </w:p>
        <w:p w:rsidRPr="0038010D" w:rsidR="005E3BD6" w:rsidP="005E3BD6" w:rsidRDefault="005E3BD6" w14:paraId="54AC143C" w14:textId="77777777">
          <w:pPr>
            <w:pStyle w:val="Default"/>
            <w:spacing w:line="360" w:lineRule="auto"/>
            <w:jc w:val="center"/>
            <w:rPr>
              <w:rFonts w:ascii="Nunito Sans" w:hAnsi="Nunito Sans" w:cs="Calibri"/>
            </w:rPr>
          </w:pPr>
        </w:p>
        <w:p w:rsidR="005E3BD6" w:rsidRDefault="005E3BD6" w14:paraId="68912766" w14:textId="42E82E89">
          <w:pPr>
            <w:pStyle w:val="Ttulo3"/>
            <w:numPr>
              <w:ilvl w:val="2"/>
              <w:numId w:val="36"/>
            </w:numPr>
          </w:pPr>
          <w:bookmarkStart w:name="_Toc1617971894" w:id="152"/>
          <w:bookmarkStart w:name="_Toc1108956078" w:id="153"/>
          <w:bookmarkStart w:name="_Toc234234467" w:id="154"/>
          <w:r w:rsidRPr="0E79E4E6">
            <w:t>Debilidades y fortalezas</w:t>
          </w:r>
          <w:bookmarkEnd w:id="152"/>
          <w:bookmarkEnd w:id="153"/>
          <w:bookmarkEnd w:id="154"/>
          <w:r w:rsidRPr="0E79E4E6">
            <w:t xml:space="preserve"> </w:t>
          </w:r>
        </w:p>
        <w:p w:rsidRPr="00DF354F" w:rsidR="00DF354F" w:rsidP="00DF354F" w:rsidRDefault="00DF354F" w14:paraId="198213D8" w14:textId="77777777">
          <w:pPr>
            <w:rPr>
              <w:lang w:val="es-ES"/>
            </w:rPr>
          </w:pPr>
        </w:p>
        <w:p w:rsidRPr="00A91EE1" w:rsidR="005E3BD6" w:rsidP="005E3BD6" w:rsidRDefault="005E3BD6" w14:paraId="23A15996" w14:textId="77777777">
          <w:pPr>
            <w:ind w:left="360" w:hanging="360"/>
            <w:rPr>
              <w:rFonts w:ascii="Nunito Sans" w:hAnsi="Nunito Sans" w:eastAsiaTheme="minorEastAsia"/>
              <w:b/>
              <w:bCs/>
              <w:sz w:val="22"/>
              <w:szCs w:val="22"/>
            </w:rPr>
          </w:pPr>
          <w:r w:rsidRPr="0E79E4E6">
            <w:rPr>
              <w:rFonts w:ascii="Nunito Sans" w:hAnsi="Nunito Sans" w:eastAsiaTheme="minorEastAsia"/>
              <w:b/>
              <w:bCs/>
              <w:sz w:val="22"/>
              <w:szCs w:val="22"/>
            </w:rPr>
            <w:t>Debilidades</w:t>
          </w:r>
        </w:p>
        <w:p w:rsidRPr="00A91EE1" w:rsidR="005E3BD6" w:rsidRDefault="005E3BD6" w14:paraId="7FF687AF" w14:textId="77777777">
          <w:pPr>
            <w:numPr>
              <w:ilvl w:val="0"/>
              <w:numId w:val="11"/>
            </w:numPr>
            <w:rPr>
              <w:rFonts w:ascii="Nunito Sans" w:hAnsi="Nunito Sans" w:eastAsiaTheme="minorEastAsia"/>
              <w:sz w:val="22"/>
              <w:szCs w:val="22"/>
            </w:rPr>
          </w:pPr>
          <w:r w:rsidRPr="00A91EE1">
            <w:rPr>
              <w:rFonts w:ascii="Nunito Sans" w:hAnsi="Nunito Sans" w:eastAsiaTheme="minorEastAsia"/>
              <w:sz w:val="22"/>
              <w:szCs w:val="22"/>
            </w:rPr>
            <w:t>Insuficiente interoperabilidad interna en el Ministerio de Minas y Energía.</w:t>
          </w:r>
        </w:p>
        <w:p w:rsidRPr="00A91EE1" w:rsidR="005E3BD6" w:rsidRDefault="005E3BD6" w14:paraId="2FC04D9F" w14:textId="77777777">
          <w:pPr>
            <w:numPr>
              <w:ilvl w:val="0"/>
              <w:numId w:val="11"/>
            </w:numPr>
            <w:rPr>
              <w:rFonts w:ascii="Nunito Sans" w:hAnsi="Nunito Sans" w:eastAsiaTheme="minorEastAsia"/>
              <w:sz w:val="22"/>
              <w:szCs w:val="22"/>
            </w:rPr>
          </w:pPr>
          <w:r w:rsidRPr="00A91EE1">
            <w:rPr>
              <w:rFonts w:ascii="Nunito Sans" w:hAnsi="Nunito Sans" w:eastAsiaTheme="minorEastAsia"/>
              <w:sz w:val="22"/>
              <w:szCs w:val="22"/>
            </w:rPr>
            <w:lastRenderedPageBreak/>
            <w:t>Interoperabilidad externa limitada y dependiente de iniciativas puntuales.</w:t>
          </w:r>
        </w:p>
        <w:p w:rsidRPr="00A91EE1" w:rsidR="005E3BD6" w:rsidRDefault="005E3BD6" w14:paraId="7F6E88C7" w14:textId="77777777">
          <w:pPr>
            <w:numPr>
              <w:ilvl w:val="0"/>
              <w:numId w:val="11"/>
            </w:numPr>
            <w:rPr>
              <w:rFonts w:ascii="Nunito Sans" w:hAnsi="Nunito Sans" w:eastAsiaTheme="minorEastAsia"/>
              <w:sz w:val="22"/>
              <w:szCs w:val="22"/>
            </w:rPr>
          </w:pPr>
          <w:r w:rsidRPr="00A91EE1">
            <w:rPr>
              <w:rFonts w:ascii="Nunito Sans" w:hAnsi="Nunito Sans" w:eastAsiaTheme="minorEastAsia"/>
              <w:sz w:val="22"/>
              <w:szCs w:val="22"/>
            </w:rPr>
            <w:t>Gobierno de datos e información por fortalecer para soportar la interoperabilidad sectorial.</w:t>
          </w:r>
        </w:p>
        <w:p w:rsidRPr="00A91EE1" w:rsidR="005E3BD6" w:rsidRDefault="005E3BD6" w14:paraId="4E822717" w14:textId="77777777">
          <w:pPr>
            <w:numPr>
              <w:ilvl w:val="0"/>
              <w:numId w:val="11"/>
            </w:numPr>
            <w:rPr>
              <w:rFonts w:ascii="Nunito Sans" w:hAnsi="Nunito Sans" w:eastAsiaTheme="minorEastAsia"/>
              <w:sz w:val="22"/>
              <w:szCs w:val="22"/>
            </w:rPr>
          </w:pPr>
          <w:r w:rsidRPr="00A91EE1">
            <w:rPr>
              <w:rFonts w:ascii="Nunito Sans" w:hAnsi="Nunito Sans" w:eastAsiaTheme="minorEastAsia"/>
              <w:sz w:val="22"/>
              <w:szCs w:val="22"/>
            </w:rPr>
            <w:t>Gestión del ciclo de vida del dato y buenas prácticas de desarrollo por consolidar.</w:t>
          </w:r>
        </w:p>
        <w:p w:rsidRPr="00A91EE1" w:rsidR="005E3BD6" w:rsidRDefault="005E3BD6" w14:paraId="72226D4D" w14:textId="77777777">
          <w:pPr>
            <w:numPr>
              <w:ilvl w:val="0"/>
              <w:numId w:val="11"/>
            </w:numPr>
            <w:rPr>
              <w:rFonts w:ascii="Nunito Sans" w:hAnsi="Nunito Sans" w:eastAsiaTheme="minorEastAsia"/>
              <w:sz w:val="22"/>
              <w:szCs w:val="22"/>
            </w:rPr>
          </w:pPr>
          <w:r w:rsidRPr="00A91EE1">
            <w:rPr>
              <w:rFonts w:ascii="Nunito Sans" w:hAnsi="Nunito Sans" w:eastAsiaTheme="minorEastAsia"/>
              <w:sz w:val="22"/>
              <w:szCs w:val="22"/>
            </w:rPr>
            <w:t>Madurez heterogénea en arquitectura tecnológica y seguridad que impacta la capacidad de interoperar.</w:t>
          </w:r>
        </w:p>
        <w:p w:rsidRPr="00A91EE1" w:rsidR="005E3BD6" w:rsidRDefault="005E3BD6" w14:paraId="2DC81BE9" w14:textId="77777777">
          <w:pPr>
            <w:numPr>
              <w:ilvl w:val="0"/>
              <w:numId w:val="11"/>
            </w:numPr>
            <w:rPr>
              <w:rFonts w:ascii="Nunito Sans" w:hAnsi="Nunito Sans" w:eastAsiaTheme="minorEastAsia"/>
              <w:sz w:val="22"/>
              <w:szCs w:val="22"/>
            </w:rPr>
          </w:pPr>
          <w:r w:rsidRPr="00A91EE1">
            <w:rPr>
              <w:rFonts w:ascii="Nunito Sans" w:hAnsi="Nunito Sans" w:eastAsiaTheme="minorEastAsia"/>
              <w:sz w:val="22"/>
              <w:szCs w:val="22"/>
            </w:rPr>
            <w:t>Dificultades técnicas para integrarse con APIs modernas.</w:t>
          </w:r>
        </w:p>
        <w:p w:rsidRPr="00CA4194" w:rsidR="005E3BD6" w:rsidP="005E3BD6" w:rsidRDefault="005E3BD6" w14:paraId="70E373B6" w14:textId="77777777">
          <w:pPr>
            <w:ind w:left="360" w:hanging="360"/>
            <w:rPr>
              <w:rFonts w:ascii="Nunito Sans" w:hAnsi="Nunito Sans" w:eastAsiaTheme="minorEastAsia"/>
              <w:sz w:val="22"/>
              <w:szCs w:val="22"/>
            </w:rPr>
          </w:pPr>
        </w:p>
        <w:p w:rsidRPr="004D729C" w:rsidR="005E3BD6" w:rsidP="005E3BD6" w:rsidRDefault="005E3BD6" w14:paraId="60DB048D" w14:textId="77777777">
          <w:pPr>
            <w:ind w:left="360" w:hanging="360"/>
            <w:rPr>
              <w:rFonts w:ascii="Nunito Sans" w:hAnsi="Nunito Sans" w:eastAsiaTheme="minorEastAsia"/>
              <w:b/>
              <w:bCs/>
              <w:i/>
              <w:iCs/>
              <w:sz w:val="22"/>
              <w:szCs w:val="22"/>
            </w:rPr>
          </w:pPr>
          <w:r w:rsidRPr="0E79E4E6">
            <w:rPr>
              <w:rFonts w:ascii="Nunito Sans" w:hAnsi="Nunito Sans" w:eastAsiaTheme="minorEastAsia"/>
              <w:b/>
              <w:bCs/>
              <w:i/>
              <w:iCs/>
              <w:sz w:val="22"/>
              <w:szCs w:val="22"/>
            </w:rPr>
            <w:t>Fortalezas</w:t>
          </w:r>
        </w:p>
        <w:p w:rsidRPr="004D729C" w:rsidR="005E3BD6" w:rsidRDefault="005E3BD6" w14:paraId="4D4A83BE" w14:textId="77777777">
          <w:pPr>
            <w:numPr>
              <w:ilvl w:val="0"/>
              <w:numId w:val="10"/>
            </w:numPr>
            <w:rPr>
              <w:rFonts w:ascii="Nunito Sans" w:hAnsi="Nunito Sans" w:eastAsiaTheme="minorEastAsia"/>
              <w:sz w:val="22"/>
              <w:szCs w:val="22"/>
            </w:rPr>
          </w:pPr>
          <w:r w:rsidRPr="004D729C">
            <w:rPr>
              <w:rFonts w:ascii="Nunito Sans" w:hAnsi="Nunito Sans" w:eastAsiaTheme="minorEastAsia"/>
              <w:sz w:val="22"/>
              <w:szCs w:val="22"/>
            </w:rPr>
            <w:t>Se cuenta con direccionalidad sectorial y habilitadores definidos desde el Ministerio de Minas y Energía.</w:t>
          </w:r>
        </w:p>
        <w:p w:rsidRPr="004D729C" w:rsidR="005E3BD6" w:rsidRDefault="005E3BD6" w14:paraId="3EACE6CA" w14:textId="77777777">
          <w:pPr>
            <w:numPr>
              <w:ilvl w:val="0"/>
              <w:numId w:val="10"/>
            </w:numPr>
            <w:rPr>
              <w:rFonts w:ascii="Nunito Sans" w:hAnsi="Nunito Sans" w:eastAsiaTheme="minorEastAsia"/>
              <w:sz w:val="22"/>
              <w:szCs w:val="22"/>
            </w:rPr>
          </w:pPr>
          <w:r w:rsidRPr="004D729C">
            <w:rPr>
              <w:rFonts w:ascii="Nunito Sans" w:hAnsi="Nunito Sans" w:eastAsiaTheme="minorEastAsia"/>
              <w:sz w:val="22"/>
              <w:szCs w:val="22"/>
            </w:rPr>
            <w:t>Existen capacidades operativas de interoperabilidad implementadas en entidades con funciones específicas.</w:t>
          </w:r>
        </w:p>
        <w:p w:rsidRPr="004D729C" w:rsidR="005E3BD6" w:rsidRDefault="005E3BD6" w14:paraId="0A1EBA43" w14:textId="77777777">
          <w:pPr>
            <w:numPr>
              <w:ilvl w:val="0"/>
              <w:numId w:val="10"/>
            </w:numPr>
            <w:rPr>
              <w:rFonts w:ascii="Nunito Sans" w:hAnsi="Nunito Sans" w:eastAsiaTheme="minorEastAsia"/>
              <w:sz w:val="22"/>
              <w:szCs w:val="22"/>
            </w:rPr>
          </w:pPr>
          <w:r w:rsidRPr="004D729C">
            <w:rPr>
              <w:rFonts w:ascii="Nunito Sans" w:hAnsi="Nunito Sans" w:eastAsiaTheme="minorEastAsia"/>
              <w:sz w:val="22"/>
              <w:szCs w:val="22"/>
            </w:rPr>
            <w:t>Se dispone de rutas integrales de integración y datos en determinadas entidades del sector.</w:t>
          </w:r>
        </w:p>
        <w:p w:rsidRPr="00241335" w:rsidR="005E3BD6" w:rsidRDefault="005E3BD6" w14:paraId="3C309C9B" w14:textId="53F8B492">
          <w:pPr>
            <w:numPr>
              <w:ilvl w:val="0"/>
              <w:numId w:val="10"/>
            </w:numPr>
            <w:rPr>
              <w:rFonts w:ascii="Nunito Sans" w:hAnsi="Nunito Sans" w:eastAsiaTheme="minorEastAsia"/>
              <w:sz w:val="22"/>
              <w:szCs w:val="22"/>
            </w:rPr>
          </w:pPr>
          <w:r w:rsidRPr="004D729C">
            <w:rPr>
              <w:rFonts w:ascii="Nunito Sans" w:hAnsi="Nunito Sans" w:eastAsiaTheme="minorEastAsia"/>
              <w:sz w:val="22"/>
              <w:szCs w:val="22"/>
            </w:rPr>
            <w:t>Algunas entidades presentan un nivel avanzado de madurez en arquitectura y gobernanza que favorece la interoperabilidad.</w:t>
          </w:r>
        </w:p>
        <w:p w:rsidRPr="00CA4194" w:rsidR="005E3BD6" w:rsidP="005E3BD6" w:rsidRDefault="005E3BD6" w14:paraId="2E37A87F" w14:textId="77777777">
          <w:pPr>
            <w:ind w:left="360" w:hanging="360"/>
            <w:rPr>
              <w:rFonts w:eastAsiaTheme="minorEastAsia"/>
              <w:sz w:val="22"/>
              <w:szCs w:val="22"/>
            </w:rPr>
          </w:pPr>
        </w:p>
        <w:p w:rsidR="005E3BD6" w:rsidRDefault="005E3BD6" w14:paraId="2847DDB0" w14:textId="3FECC2E7">
          <w:pPr>
            <w:pStyle w:val="Ttulo3"/>
            <w:numPr>
              <w:ilvl w:val="2"/>
              <w:numId w:val="36"/>
            </w:numPr>
          </w:pPr>
          <w:bookmarkStart w:name="_Toc811265534" w:id="155"/>
          <w:bookmarkStart w:name="_Toc234234468" w:id="156"/>
          <w:r w:rsidRPr="0E79E4E6">
            <w:t>Rupturas Estratégicas</w:t>
          </w:r>
          <w:bookmarkEnd w:id="155"/>
          <w:bookmarkEnd w:id="156"/>
        </w:p>
        <w:p w:rsidRPr="00DF354F" w:rsidR="00DF354F" w:rsidP="00DF354F" w:rsidRDefault="00DF354F" w14:paraId="69B0D164" w14:textId="77777777">
          <w:pPr>
            <w:rPr>
              <w:lang w:val="es-ES"/>
            </w:rPr>
          </w:pPr>
        </w:p>
        <w:p w:rsidR="107CF54E" w:rsidP="4E60D266" w:rsidRDefault="107CF54E" w14:paraId="13666E86" w14:textId="6258EDAB">
          <w:pPr>
            <w:jc w:val="both"/>
            <w:rPr>
              <w:rFonts w:ascii="Nunito Sans" w:hAnsi="Nunito Sans" w:eastAsiaTheme="minorEastAsia"/>
              <w:sz w:val="22"/>
              <w:szCs w:val="22"/>
            </w:rPr>
          </w:pPr>
          <w:r w:rsidRPr="4E60D266">
            <w:rPr>
              <w:rFonts w:ascii="Nunito Sans" w:hAnsi="Nunito Sans" w:eastAsiaTheme="minorEastAsia"/>
              <w:sz w:val="22"/>
              <w:szCs w:val="22"/>
            </w:rPr>
            <w:t>Las rupturas estratégicas del PETI sectorial representan los cambios estructurales necesarios para cerrar las brechas identificadas entre la Situación Actual (AS-IS) y la Arquitectura Objetivo (TO-BE) del Sector Minero-Energético, derivadas del diagnóstico sectorial, del análisis DOFA, en coherencia con los objetivos del Plan Nacional de Desarrollo y el enfoque de Transición Energética Justa; a continuación se presentan las rupturas estratégicas definidas para este dominio, las cuales orientan la evolución de sus capacidades, la priorización de iniciativas y la formulación de la hoja de ruta sectorial:</w:t>
          </w:r>
        </w:p>
        <w:p w:rsidR="4E60D266" w:rsidP="4E60D266" w:rsidRDefault="4E60D266" w14:paraId="7A08A62E" w14:textId="1E595143">
          <w:pPr>
            <w:jc w:val="both"/>
            <w:rPr>
              <w:rFonts w:ascii="Nunito Sans" w:hAnsi="Nunito Sans" w:eastAsiaTheme="minorEastAsia"/>
              <w:sz w:val="22"/>
              <w:szCs w:val="22"/>
            </w:rPr>
          </w:pPr>
        </w:p>
        <w:p w:rsidR="005E3BD6" w:rsidP="005E3BD6" w:rsidRDefault="005E3BD6" w14:paraId="5C72FE18" w14:textId="77777777">
          <w:pPr>
            <w:jc w:val="both"/>
            <w:rPr>
              <w:rFonts w:ascii="Nunito Sans" w:hAnsi="Nunito Sans" w:eastAsiaTheme="minorEastAsia"/>
              <w:sz w:val="22"/>
              <w:szCs w:val="22"/>
            </w:rPr>
          </w:pPr>
        </w:p>
        <w:p w:rsidRPr="00241335" w:rsidR="00F2742B" w:rsidP="00241335" w:rsidRDefault="00F2742B" w14:paraId="3EAF0E7C" w14:textId="7DEB5E8A">
          <w:pPr>
            <w:ind w:left="360" w:hanging="360"/>
            <w:jc w:val="center"/>
            <w:rPr>
              <w:rFonts w:ascii="Nunito Sans" w:hAnsi="Nunito Sans" w:cs="Calibri"/>
              <w:b/>
              <w:bCs/>
              <w:sz w:val="18"/>
              <w:szCs w:val="18"/>
            </w:rPr>
          </w:pPr>
          <w:bookmarkStart w:name="_Toc220664189" w:id="157"/>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18</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45299D" w:rsidR="005E3BD6">
            <w:rPr>
              <w:rFonts w:ascii="Nunito Sans" w:hAnsi="Nunito Sans" w:cs="Calibri"/>
              <w:b/>
              <w:bCs/>
              <w:sz w:val="18"/>
              <w:szCs w:val="18"/>
            </w:rPr>
            <w:t>Paradigma de Interoperabilidad Sectorial</w:t>
          </w:r>
          <w:bookmarkEnd w:id="157"/>
        </w:p>
        <w:tbl>
          <w:tblPr>
            <w:tblStyle w:val="Tablaconcuadrcula"/>
            <w:tblpPr w:leftFromText="141" w:rightFromText="141" w:vertAnchor="text" w:tblpXSpec="center" w:tblpY="1"/>
            <w:tblOverlap w:val="never"/>
            <w:tblW w:w="0" w:type="auto"/>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shd w:val="clear" w:color="auto" w:fill="E1AF3B"/>
            <w:tblLook w:val="04A0" w:firstRow="1" w:lastRow="0" w:firstColumn="1" w:lastColumn="0" w:noHBand="0" w:noVBand="1"/>
          </w:tblPr>
          <w:tblGrid>
            <w:gridCol w:w="1851"/>
            <w:gridCol w:w="6512"/>
          </w:tblGrid>
          <w:tr w:rsidRPr="009E5D2E" w:rsidR="005E3BD6" w:rsidTr="007720B7" w14:paraId="768AE853"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7720B7" w:rsidRDefault="005E3BD6" w14:paraId="5F63F148" w14:textId="77777777">
                <w:pPr>
                  <w:jc w:val="center"/>
                  <w:rPr>
                    <w:rFonts w:ascii="Nunito Sans" w:hAnsi="Nunito Sans"/>
                    <w:b/>
                    <w:bCs/>
                    <w:color w:val="FFFFFF" w:themeColor="background1"/>
                    <w:sz w:val="18"/>
                    <w:szCs w:val="18"/>
                  </w:rPr>
                </w:pPr>
                <w:r w:rsidRPr="009E5D2E">
                  <w:rPr>
                    <w:rFonts w:ascii="Nunito Sans" w:hAnsi="Nunito Sans"/>
                    <w:b/>
                    <w:bCs/>
                    <w:color w:val="FFFFFF" w:themeColor="background1"/>
                    <w:sz w:val="18"/>
                    <w:szCs w:val="18"/>
                  </w:rPr>
                  <w:t>Atributo</w:t>
                </w:r>
              </w:p>
            </w:tc>
            <w:tc>
              <w:tcPr>
                <w:tcW w:w="651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7720B7" w:rsidRDefault="005E3BD6" w14:paraId="182C4CCC" w14:textId="77777777">
                <w:pPr>
                  <w:jc w:val="center"/>
                  <w:rPr>
                    <w:rFonts w:ascii="Nunito Sans" w:hAnsi="Nunito Sans"/>
                    <w:b/>
                    <w:bCs/>
                    <w:color w:val="FFFFFF" w:themeColor="background1"/>
                    <w:sz w:val="18"/>
                    <w:szCs w:val="18"/>
                  </w:rPr>
                </w:pPr>
                <w:r w:rsidRPr="009E5D2E">
                  <w:rPr>
                    <w:rFonts w:ascii="Nunito Sans" w:hAnsi="Nunito Sans"/>
                    <w:b/>
                    <w:bCs/>
                    <w:color w:val="FFFFFF" w:themeColor="background1"/>
                    <w:sz w:val="18"/>
                    <w:szCs w:val="18"/>
                  </w:rPr>
                  <w:t>Descripción</w:t>
                </w:r>
              </w:p>
            </w:tc>
          </w:tr>
          <w:tr w:rsidRPr="009E5D2E" w:rsidR="005E3BD6" w:rsidTr="007720B7" w14:paraId="469705C7"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49FFBD86"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Identificador</w:t>
                </w:r>
              </w:p>
            </w:tc>
            <w:tc>
              <w:tcPr>
                <w:tcW w:w="6512" w:type="dxa"/>
                <w:tcBorders>
                  <w:top w:val="single" w:color="FFFFFF" w:themeColor="background1" w:sz="4" w:space="0"/>
                  <w:left w:val="single" w:color="FFFFFF" w:themeColor="background1" w:sz="4" w:space="0"/>
                </w:tcBorders>
                <w:vAlign w:val="center"/>
                <w:hideMark/>
              </w:tcPr>
              <w:p w:rsidRPr="007720B7" w:rsidR="005E3BD6" w:rsidP="3D9E0835" w:rsidRDefault="005E3BD6" w14:paraId="7316A3CE" w14:textId="77777777">
                <w:pPr>
                  <w:rPr>
                    <w:rFonts w:ascii="Nunito Sans" w:hAnsi="Nunito Sans"/>
                    <w:color w:val="000000" w:themeColor="text1"/>
                    <w:sz w:val="18"/>
                    <w:szCs w:val="18"/>
                  </w:rPr>
                </w:pPr>
                <w:r w:rsidRPr="007720B7">
                  <w:rPr>
                    <w:rFonts w:ascii="Nunito Sans" w:hAnsi="Nunito Sans"/>
                    <w:color w:val="000000" w:themeColor="text1"/>
                    <w:sz w:val="18"/>
                    <w:szCs w:val="18"/>
                  </w:rPr>
                  <w:t>RE–06</w:t>
                </w:r>
              </w:p>
            </w:tc>
          </w:tr>
          <w:tr w:rsidRPr="009E5D2E" w:rsidR="005E3BD6" w:rsidTr="007720B7" w14:paraId="73735193"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2AC58B85"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Nombre Corto</w:t>
                </w:r>
              </w:p>
            </w:tc>
            <w:tc>
              <w:tcPr>
                <w:tcW w:w="6512" w:type="dxa"/>
                <w:tcBorders>
                  <w:left w:val="single" w:color="FFFFFF" w:themeColor="background1" w:sz="4" w:space="0"/>
                </w:tcBorders>
                <w:vAlign w:val="center"/>
                <w:hideMark/>
              </w:tcPr>
              <w:p w:rsidRPr="007720B7" w:rsidR="005E3BD6" w:rsidP="3D9E0835" w:rsidRDefault="005E3BD6" w14:paraId="77863A31" w14:textId="77777777">
                <w:pPr>
                  <w:rPr>
                    <w:rFonts w:ascii="Nunito Sans" w:hAnsi="Nunito Sans"/>
                    <w:color w:val="000000" w:themeColor="text1"/>
                    <w:sz w:val="18"/>
                    <w:szCs w:val="18"/>
                  </w:rPr>
                </w:pPr>
                <w:r w:rsidRPr="007720B7">
                  <w:rPr>
                    <w:rFonts w:ascii="Nunito Sans" w:hAnsi="Nunito Sans"/>
                    <w:color w:val="000000" w:themeColor="text1"/>
                    <w:sz w:val="18"/>
                    <w:szCs w:val="18"/>
                  </w:rPr>
                  <w:t>Interoperabilidad sectorial</w:t>
                </w:r>
              </w:p>
            </w:tc>
          </w:tr>
          <w:tr w:rsidRPr="009E5D2E" w:rsidR="005E3BD6" w:rsidTr="007720B7" w14:paraId="682D3D47"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2A0D6446"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Descripción del Paradigma</w:t>
                </w:r>
              </w:p>
            </w:tc>
            <w:tc>
              <w:tcPr>
                <w:tcW w:w="6512" w:type="dxa"/>
                <w:tcBorders>
                  <w:left w:val="single" w:color="FFFFFF" w:themeColor="background1" w:sz="4" w:space="0"/>
                </w:tcBorders>
                <w:vAlign w:val="center"/>
                <w:hideMark/>
              </w:tcPr>
              <w:p w:rsidRPr="007720B7" w:rsidR="005E3BD6" w:rsidP="003A33A3" w:rsidRDefault="005E3BD6" w14:paraId="5ECC8C3F" w14:textId="77777777">
                <w:pPr>
                  <w:jc w:val="both"/>
                  <w:rPr>
                    <w:rFonts w:ascii="Nunito Sans" w:hAnsi="Nunito Sans"/>
                    <w:color w:val="000000" w:themeColor="text1"/>
                    <w:sz w:val="18"/>
                    <w:szCs w:val="18"/>
                  </w:rPr>
                </w:pPr>
                <w:r w:rsidRPr="007720B7">
                  <w:rPr>
                    <w:rFonts w:ascii="Nunito Sans" w:hAnsi="Nunito Sans"/>
                    <w:color w:val="000000" w:themeColor="text1"/>
                    <w:sz w:val="18"/>
                    <w:szCs w:val="18"/>
                  </w:rPr>
                  <w:t>El intercambio de información entre entidades se realiza mediante mecanismos aislados, manuales o bilaterales, sin un marco común de integración técnica y semántica sectorial.</w:t>
                </w:r>
              </w:p>
            </w:tc>
          </w:tr>
          <w:tr w:rsidRPr="009E5D2E" w:rsidR="005E3BD6" w:rsidTr="007720B7" w14:paraId="29589A44"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2A94B851"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Efectos Directos</w:t>
                </w:r>
              </w:p>
            </w:tc>
            <w:tc>
              <w:tcPr>
                <w:tcW w:w="6512" w:type="dxa"/>
                <w:tcBorders>
                  <w:left w:val="single" w:color="FFFFFF" w:themeColor="background1" w:sz="4" w:space="0"/>
                </w:tcBorders>
                <w:vAlign w:val="center"/>
                <w:hideMark/>
              </w:tcPr>
              <w:p w:rsidRPr="007720B7" w:rsidR="005E3BD6" w:rsidP="003A33A3" w:rsidRDefault="005E3BD6" w14:paraId="266FC801" w14:textId="77777777">
                <w:pPr>
                  <w:jc w:val="both"/>
                  <w:rPr>
                    <w:rFonts w:ascii="Nunito Sans" w:hAnsi="Nunito Sans"/>
                    <w:color w:val="000000" w:themeColor="text1"/>
                    <w:sz w:val="18"/>
                    <w:szCs w:val="18"/>
                  </w:rPr>
                </w:pPr>
                <w:r w:rsidRPr="007720B7">
                  <w:rPr>
                    <w:rFonts w:ascii="Nunito Sans" w:hAnsi="Nunito Sans"/>
                    <w:color w:val="000000" w:themeColor="text1"/>
                    <w:sz w:val="18"/>
                    <w:szCs w:val="18"/>
                  </w:rPr>
                  <w:t>Dificultad para consolidar información sectorial, heterogeneidad de formatos, dependencia documental, baja automatización.</w:t>
                </w:r>
              </w:p>
            </w:tc>
          </w:tr>
          <w:tr w:rsidRPr="009E5D2E" w:rsidR="005E3BD6" w:rsidTr="007720B7" w14:paraId="15BADEE7"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4722FC9E"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Descripción de la Ruptura</w:t>
                </w:r>
              </w:p>
            </w:tc>
            <w:tc>
              <w:tcPr>
                <w:tcW w:w="6512" w:type="dxa"/>
                <w:tcBorders>
                  <w:left w:val="single" w:color="FFFFFF" w:themeColor="background1" w:sz="4" w:space="0"/>
                </w:tcBorders>
                <w:vAlign w:val="center"/>
                <w:hideMark/>
              </w:tcPr>
              <w:p w:rsidRPr="007720B7" w:rsidR="005E3BD6" w:rsidP="003A33A3" w:rsidRDefault="005E3BD6" w14:paraId="2442120A" w14:textId="77777777">
                <w:pPr>
                  <w:jc w:val="both"/>
                  <w:rPr>
                    <w:rFonts w:ascii="Nunito Sans" w:hAnsi="Nunito Sans"/>
                    <w:color w:val="000000" w:themeColor="text1"/>
                    <w:sz w:val="18"/>
                    <w:szCs w:val="18"/>
                  </w:rPr>
                </w:pPr>
                <w:r w:rsidRPr="007720B7">
                  <w:rPr>
                    <w:rFonts w:ascii="Nunito Sans" w:hAnsi="Nunito Sans"/>
                    <w:color w:val="000000" w:themeColor="text1"/>
                    <w:sz w:val="18"/>
                    <w:szCs w:val="18"/>
                  </w:rPr>
                  <w:t>Implementar un marco sectorial de interoperabilidad que estandarice el intercambio de información mediante APIs, taxonomías y definiciones compartidas del dato.</w:t>
                </w:r>
              </w:p>
            </w:tc>
          </w:tr>
          <w:tr w:rsidRPr="009E5D2E" w:rsidR="005E3BD6" w:rsidTr="007720B7" w14:paraId="24161899"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3D061285"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Cómo romper el Paradigma</w:t>
                </w:r>
              </w:p>
            </w:tc>
            <w:tc>
              <w:tcPr>
                <w:tcW w:w="6512" w:type="dxa"/>
                <w:tcBorders>
                  <w:left w:val="single" w:color="FFFFFF" w:themeColor="background1" w:sz="4" w:space="0"/>
                </w:tcBorders>
                <w:vAlign w:val="center"/>
                <w:hideMark/>
              </w:tcPr>
              <w:p w:rsidRPr="007720B7" w:rsidR="005E3BD6" w:rsidP="003A33A3" w:rsidRDefault="005E3BD6" w14:paraId="2D01408C" w14:textId="77777777">
                <w:pPr>
                  <w:jc w:val="both"/>
                  <w:rPr>
                    <w:rFonts w:ascii="Nunito Sans" w:hAnsi="Nunito Sans"/>
                    <w:color w:val="000000" w:themeColor="text1"/>
                    <w:sz w:val="18"/>
                    <w:szCs w:val="18"/>
                  </w:rPr>
                </w:pPr>
                <w:r w:rsidRPr="007720B7">
                  <w:rPr>
                    <w:rFonts w:ascii="Nunito Sans" w:hAnsi="Nunito Sans"/>
                    <w:color w:val="000000" w:themeColor="text1"/>
                    <w:sz w:val="18"/>
                    <w:szCs w:val="18"/>
                  </w:rPr>
                  <w:t>Modelo semántico sectorial, APIs estándar, catálogo de servicios, diccionarios comunes, adopción del marco nacional de interoperabilidad.</w:t>
                </w:r>
              </w:p>
            </w:tc>
          </w:tr>
          <w:tr w:rsidRPr="009E5D2E" w:rsidR="005E3BD6" w:rsidTr="007720B7" w14:paraId="69D0C5B6"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7EBA61F9"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Impacto Esperado</w:t>
                </w:r>
              </w:p>
            </w:tc>
            <w:tc>
              <w:tcPr>
                <w:tcW w:w="6512" w:type="dxa"/>
                <w:tcBorders>
                  <w:left w:val="single" w:color="FFFFFF" w:themeColor="background1" w:sz="4" w:space="0"/>
                </w:tcBorders>
                <w:vAlign w:val="center"/>
                <w:hideMark/>
              </w:tcPr>
              <w:p w:rsidRPr="007720B7" w:rsidR="005E3BD6" w:rsidP="003A33A3" w:rsidRDefault="005E3BD6" w14:paraId="4F4D76BB" w14:textId="77777777">
                <w:pPr>
                  <w:jc w:val="both"/>
                  <w:rPr>
                    <w:rFonts w:ascii="Nunito Sans" w:hAnsi="Nunito Sans"/>
                    <w:color w:val="000000" w:themeColor="text1"/>
                    <w:sz w:val="18"/>
                    <w:szCs w:val="18"/>
                  </w:rPr>
                </w:pPr>
                <w:r w:rsidRPr="007720B7">
                  <w:rPr>
                    <w:rFonts w:ascii="Nunito Sans" w:hAnsi="Nunito Sans"/>
                    <w:color w:val="000000" w:themeColor="text1"/>
                    <w:sz w:val="18"/>
                    <w:szCs w:val="18"/>
                  </w:rPr>
                  <w:t>Flujo uniforme, automático y trazable de información entre entidades.</w:t>
                </w:r>
              </w:p>
            </w:tc>
          </w:tr>
          <w:tr w:rsidRPr="009E5D2E" w:rsidR="005E3BD6" w:rsidTr="007720B7" w14:paraId="0B4ED5F7"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093DD8E6"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lastRenderedPageBreak/>
                  <w:t>Grupos de Interés</w:t>
                </w:r>
              </w:p>
            </w:tc>
            <w:tc>
              <w:tcPr>
                <w:tcW w:w="6512" w:type="dxa"/>
                <w:tcBorders>
                  <w:left w:val="single" w:color="FFFFFF" w:themeColor="background1" w:sz="4" w:space="0"/>
                </w:tcBorders>
                <w:vAlign w:val="center"/>
                <w:hideMark/>
              </w:tcPr>
              <w:p w:rsidRPr="007720B7" w:rsidR="005E3BD6" w:rsidP="003A33A3" w:rsidRDefault="005E3BD6" w14:paraId="24B693BF" w14:textId="77777777">
                <w:pPr>
                  <w:jc w:val="both"/>
                  <w:rPr>
                    <w:rFonts w:ascii="Nunito Sans" w:hAnsi="Nunito Sans"/>
                    <w:color w:val="000000" w:themeColor="text1"/>
                    <w:sz w:val="18"/>
                    <w:szCs w:val="18"/>
                  </w:rPr>
                </w:pPr>
                <w:r w:rsidRPr="007720B7">
                  <w:rPr>
                    <w:rFonts w:ascii="Nunito Sans" w:hAnsi="Nunito Sans"/>
                    <w:color w:val="000000" w:themeColor="text1"/>
                    <w:sz w:val="18"/>
                    <w:szCs w:val="18"/>
                  </w:rPr>
                  <w:t>Ciudadanos, empresas, academia, entidades sectoriales.</w:t>
                </w:r>
              </w:p>
            </w:tc>
          </w:tr>
          <w:tr w:rsidRPr="009E5D2E" w:rsidR="005E3BD6" w:rsidTr="007720B7" w14:paraId="71DC00F4" w14:textId="77777777">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6A731475"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Dominio MRAE</w:t>
                </w:r>
              </w:p>
            </w:tc>
            <w:tc>
              <w:tcPr>
                <w:tcW w:w="6512" w:type="dxa"/>
                <w:tcBorders>
                  <w:left w:val="single" w:color="FFFFFF" w:themeColor="background1" w:sz="4" w:space="0"/>
                </w:tcBorders>
                <w:vAlign w:val="center"/>
                <w:hideMark/>
              </w:tcPr>
              <w:p w:rsidRPr="007720B7" w:rsidR="005E3BD6" w:rsidP="3D9E0835" w:rsidRDefault="005E3BD6" w14:paraId="5BE4C164" w14:textId="77777777">
                <w:pPr>
                  <w:rPr>
                    <w:rFonts w:ascii="Nunito Sans" w:hAnsi="Nunito Sans"/>
                    <w:color w:val="000000" w:themeColor="text1"/>
                    <w:sz w:val="18"/>
                    <w:szCs w:val="18"/>
                  </w:rPr>
                </w:pPr>
                <w:r w:rsidRPr="007720B7">
                  <w:rPr>
                    <w:rFonts w:ascii="Nunito Sans" w:hAnsi="Nunito Sans"/>
                    <w:color w:val="000000" w:themeColor="text1"/>
                    <w:sz w:val="18"/>
                    <w:szCs w:val="18"/>
                  </w:rPr>
                  <w:t>Interoperabilidad</w:t>
                </w:r>
              </w:p>
            </w:tc>
          </w:tr>
          <w:tr w:rsidRPr="009E5D2E" w:rsidR="005E3BD6" w:rsidTr="007720B7" w14:paraId="34C2F87E" w14:textId="77777777">
            <w:trPr>
              <w:trHeight w:val="158"/>
            </w:trPr>
            <w:tc>
              <w:tcPr>
                <w:tcW w:w="18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E5D2E" w:rsidR="005E3BD6" w:rsidP="00B4771C" w:rsidRDefault="005E3BD6" w14:paraId="201D7280" w14:textId="77777777">
                <w:pPr>
                  <w:rPr>
                    <w:rFonts w:ascii="Nunito Sans" w:hAnsi="Nunito Sans"/>
                    <w:color w:val="FFFFFF" w:themeColor="background1"/>
                    <w:sz w:val="18"/>
                    <w:szCs w:val="18"/>
                  </w:rPr>
                </w:pPr>
                <w:r w:rsidRPr="009E5D2E">
                  <w:rPr>
                    <w:rFonts w:ascii="Nunito Sans" w:hAnsi="Nunito Sans"/>
                    <w:color w:val="FFFFFF" w:themeColor="background1"/>
                    <w:sz w:val="18"/>
                    <w:szCs w:val="18"/>
                  </w:rPr>
                  <w:t>Clasificación de Impacto</w:t>
                </w:r>
              </w:p>
            </w:tc>
            <w:tc>
              <w:tcPr>
                <w:tcW w:w="6512" w:type="dxa"/>
                <w:tcBorders>
                  <w:left w:val="single" w:color="FFFFFF" w:themeColor="background1" w:sz="4" w:space="0"/>
                </w:tcBorders>
                <w:vAlign w:val="center"/>
                <w:hideMark/>
              </w:tcPr>
              <w:p w:rsidRPr="007720B7" w:rsidR="005E3BD6" w:rsidP="3D9E0835" w:rsidRDefault="005E3BD6" w14:paraId="24BE54AB" w14:textId="77777777">
                <w:pPr>
                  <w:rPr>
                    <w:rFonts w:ascii="Nunito Sans" w:hAnsi="Nunito Sans"/>
                    <w:color w:val="000000" w:themeColor="text1"/>
                    <w:sz w:val="18"/>
                    <w:szCs w:val="18"/>
                  </w:rPr>
                </w:pPr>
                <w:r w:rsidRPr="007720B7">
                  <w:rPr>
                    <w:rFonts w:ascii="Nunito Sans" w:hAnsi="Nunito Sans"/>
                    <w:color w:val="000000" w:themeColor="text1"/>
                    <w:sz w:val="18"/>
                    <w:szCs w:val="18"/>
                  </w:rPr>
                  <w:t>Alto</w:t>
                </w:r>
              </w:p>
            </w:tc>
          </w:tr>
        </w:tbl>
        <w:p w:rsidRPr="0038010D" w:rsidR="005E3BD6" w:rsidP="005E3BD6" w:rsidRDefault="005E3BD6" w14:paraId="36C3C17B"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0EE25F02" w14:textId="13EA9382">
          <w:pPr>
            <w:rPr>
              <w:rFonts w:ascii="Nunito Sans" w:hAnsi="Nunito Sans" w:cs="Calibri" w:eastAsiaTheme="minorEastAsia"/>
              <w:sz w:val="22"/>
              <w:szCs w:val="22"/>
              <w:lang w:val="es-ES"/>
            </w:rPr>
          </w:pPr>
        </w:p>
        <w:p w:rsidR="005E3BD6" w:rsidRDefault="005E3BD6" w14:paraId="1D63829B" w14:textId="0719AFB9">
          <w:pPr>
            <w:pStyle w:val="Ttulo2"/>
            <w:numPr>
              <w:ilvl w:val="1"/>
              <w:numId w:val="36"/>
            </w:numPr>
          </w:pPr>
          <w:bookmarkStart w:name="_Toc107517494" w:id="158"/>
          <w:bookmarkStart w:name="_Toc234234469" w:id="159"/>
          <w:r w:rsidRPr="0E79E4E6">
            <w:t xml:space="preserve">Situación Actual (AS-IS) Arquitectura de Sistemas de </w:t>
          </w:r>
          <w:r w:rsidR="000F220A">
            <w:t>I</w:t>
          </w:r>
          <w:r w:rsidRPr="0E79E4E6">
            <w:t xml:space="preserve">nformación </w:t>
          </w:r>
          <w:r w:rsidR="000F220A">
            <w:t>S</w:t>
          </w:r>
          <w:r w:rsidRPr="0E79E4E6">
            <w:t>ectorial</w:t>
          </w:r>
          <w:bookmarkEnd w:id="158"/>
          <w:bookmarkEnd w:id="159"/>
          <w:r w:rsidRPr="0E79E4E6">
            <w:t xml:space="preserve"> </w:t>
          </w:r>
        </w:p>
        <w:p w:rsidRPr="00241335" w:rsidR="005E3BD6" w:rsidP="00241335" w:rsidRDefault="005E3BD6" w14:paraId="566CA593" w14:textId="01E4B8CC">
          <w:pPr>
            <w:jc w:val="both"/>
            <w:rPr>
              <w:rFonts w:ascii="Nunito Sans" w:hAnsi="Nunito Sans" w:eastAsia="Arial" w:cs="Calibri"/>
              <w:sz w:val="22"/>
              <w:szCs w:val="22"/>
              <w:lang w:val="es-ES"/>
            </w:rPr>
          </w:pPr>
          <w:r w:rsidRPr="0E79E4E6">
            <w:rPr>
              <w:rFonts w:ascii="Nunito Sans" w:hAnsi="Nunito Sans" w:eastAsia="Arial" w:cs="Calibri"/>
              <w:sz w:val="22"/>
              <w:szCs w:val="22"/>
              <w:lang w:val="es-ES"/>
            </w:rPr>
            <w:t>A continuación, se presentan los sistemas de información del sector:</w:t>
          </w:r>
        </w:p>
        <w:p w:rsidR="00B03CF5" w:rsidP="005E3BD6" w:rsidRDefault="00B03CF5" w14:paraId="3534910F" w14:textId="77777777">
          <w:pPr>
            <w:ind w:left="360" w:hanging="360"/>
            <w:jc w:val="center"/>
            <w:rPr>
              <w:rFonts w:ascii="Nunito Sans" w:hAnsi="Nunito Sans" w:cs="Calibri"/>
              <w:b/>
              <w:bCs/>
              <w:sz w:val="18"/>
              <w:szCs w:val="18"/>
            </w:rPr>
          </w:pPr>
        </w:p>
        <w:p w:rsidRPr="00EB43A6" w:rsidR="005E3BD6" w:rsidP="005E3BD6" w:rsidRDefault="00F2742B" w14:paraId="2118E9FF" w14:textId="1E447B36">
          <w:pPr>
            <w:ind w:left="360" w:hanging="360"/>
            <w:jc w:val="center"/>
            <w:rPr>
              <w:rFonts w:ascii="Nunito Sans" w:hAnsi="Nunito Sans" w:cs="Calibri"/>
              <w:b/>
              <w:bCs/>
              <w:sz w:val="18"/>
              <w:szCs w:val="18"/>
            </w:rPr>
          </w:pPr>
          <w:bookmarkStart w:name="_Toc220664190" w:id="160"/>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19</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Sistemas de Información del Sector</w:t>
          </w:r>
          <w:bookmarkEnd w:id="160"/>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410"/>
            <w:gridCol w:w="2268"/>
            <w:gridCol w:w="5337"/>
          </w:tblGrid>
          <w:tr w:rsidRPr="009E5D2E" w:rsidR="005E3BD6" w:rsidTr="00326B3F" w14:paraId="0E19954A" w14:textId="77777777">
            <w:trPr>
              <w:trHeight w:val="20"/>
              <w:jc w:val="center"/>
            </w:trPr>
            <w:tc>
              <w:tcPr>
                <w:tcW w:w="1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531EB2" w:rsidRDefault="005E3BD6" w14:paraId="53D59D33" w14:textId="77777777">
                <w:pPr>
                  <w:keepNext/>
                  <w:keepLines/>
                  <w:spacing w:line="276" w:lineRule="auto"/>
                  <w:jc w:val="center"/>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ENTIDAD</w:t>
                </w:r>
              </w:p>
            </w:tc>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531EB2" w:rsidRDefault="005E3BD6" w14:paraId="44FC84E5" w14:textId="77777777">
                <w:pPr>
                  <w:keepNext/>
                  <w:keepLines/>
                  <w:spacing w:line="276" w:lineRule="auto"/>
                  <w:jc w:val="center"/>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SISTEMA</w:t>
                </w:r>
              </w:p>
            </w:tc>
            <w:tc>
              <w:tcPr>
                <w:tcW w:w="533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531EB2" w:rsidRDefault="005E3BD6" w14:paraId="26831717" w14:textId="77777777">
                <w:pPr>
                  <w:keepNext/>
                  <w:keepLines/>
                  <w:spacing w:line="276" w:lineRule="auto"/>
                  <w:jc w:val="center"/>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DESCRIPCIÓN</w:t>
                </w:r>
              </w:p>
            </w:tc>
          </w:tr>
          <w:tr w:rsidRPr="009E5D2E" w:rsidR="005E3BD6" w:rsidTr="00326B3F" w14:paraId="74A1DB53"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0680F9C0"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MME</w:t>
                </w:r>
              </w:p>
            </w:tc>
            <w:tc>
              <w:tcPr>
                <w:tcW w:w="2268" w:type="dxa"/>
                <w:tcBorders>
                  <w:top w:val="single" w:color="FFFFFF" w:themeColor="background1" w:sz="4"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1CF9E14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SISEG </w:t>
                </w:r>
              </w:p>
            </w:tc>
            <w:tc>
              <w:tcPr>
                <w:tcW w:w="5337" w:type="dxa"/>
                <w:tcBorders>
                  <w:top w:val="single" w:color="FFFFFF" w:themeColor="background1" w:sz="4"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3943AF1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Administra subsidios de energía y gas. </w:t>
                </w:r>
              </w:p>
            </w:tc>
          </w:tr>
          <w:tr w:rsidRPr="009E5D2E" w:rsidR="005E3BD6" w:rsidTr="00531EB2" w14:paraId="4F2D0977"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067FFA9"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30C7974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AVANZAME </w:t>
                </w:r>
              </w:p>
            </w:tc>
            <w:tc>
              <w:tcPr>
                <w:tcW w:w="5337" w:type="dxa"/>
                <w:tcBorders>
                  <w:top w:val="single" w:color="D9D9D9" w:themeColor="background1" w:themeShade="D9" w:sz="12"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7403C1C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de inversión, proyectos, contratos y presupuesto. </w:t>
                </w:r>
              </w:p>
            </w:tc>
          </w:tr>
          <w:tr w:rsidRPr="009E5D2E" w:rsidR="005E3BD6" w:rsidTr="00531EB2" w14:paraId="5E067FC4"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DD0F9EB"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25105E2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SICOM </w:t>
                </w:r>
              </w:p>
            </w:tc>
            <w:tc>
              <w:tcPr>
                <w:tcW w:w="5337" w:type="dxa"/>
                <w:tcBorders>
                  <w:top w:val="single" w:color="D9D9D9" w:themeColor="background1" w:themeShade="D9" w:sz="12"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7FF7BC7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Control de distribución de combustibles líquidos. </w:t>
                </w:r>
              </w:p>
            </w:tc>
          </w:tr>
          <w:tr w:rsidRPr="009E5D2E" w:rsidR="005E3BD6" w:rsidTr="00531EB2" w14:paraId="47C5114A"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3A606E53"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2075441D"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SITH </w:t>
                </w:r>
              </w:p>
            </w:tc>
            <w:tc>
              <w:tcPr>
                <w:tcW w:w="5337" w:type="dxa"/>
                <w:tcBorders>
                  <w:top w:val="single" w:color="D9D9D9" w:themeColor="background1" w:themeShade="D9" w:sz="12"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4DC2DDD5"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Administración de tarifas de transporte de hidrocarburos. </w:t>
                </w:r>
              </w:p>
            </w:tc>
          </w:tr>
          <w:tr w:rsidRPr="009E5D2E" w:rsidR="005E3BD6" w:rsidTr="00531EB2" w14:paraId="33B5B04A"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6E3526B6"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081B045D"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VUT </w:t>
                </w:r>
              </w:p>
            </w:tc>
            <w:tc>
              <w:tcPr>
                <w:tcW w:w="5337" w:type="dxa"/>
                <w:tcBorders>
                  <w:top w:val="single" w:color="D9D9D9" w:themeColor="background1" w:themeShade="D9" w:sz="12"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0F831B2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Ventanilla de trámites para ciudadanos y operadores. </w:t>
                </w:r>
              </w:p>
            </w:tc>
          </w:tr>
          <w:tr w:rsidRPr="009E5D2E" w:rsidR="005E3BD6" w:rsidTr="00531EB2" w14:paraId="061D492C"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C38C9CB"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09A25275"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NEÓN </w:t>
                </w:r>
              </w:p>
            </w:tc>
            <w:tc>
              <w:tcPr>
                <w:tcW w:w="5337" w:type="dxa"/>
                <w:tcBorders>
                  <w:top w:val="single" w:color="D9D9D9" w:themeColor="background1" w:themeShade="D9" w:sz="12"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33420096"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ERP para finanzas y contratación. </w:t>
                </w:r>
              </w:p>
            </w:tc>
          </w:tr>
          <w:tr w:rsidRPr="009E5D2E" w:rsidR="005E3BD6" w:rsidTr="00531EB2" w14:paraId="3CB7011D"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2C8CC5D2"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D9D9D9" w:themeColor="background1" w:themeShade="D9" w:sz="12" w:space="0"/>
                  <w:right w:val="single" w:color="D9D9D9" w:themeColor="background1" w:themeShade="D9" w:sz="12" w:space="0"/>
                </w:tcBorders>
                <w:vAlign w:val="center"/>
              </w:tcPr>
              <w:p w:rsidRPr="00531EB2" w:rsidR="005E3BD6" w:rsidP="00B4771C" w:rsidRDefault="005E3BD6" w14:paraId="2F8DE2E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ARGO </w:t>
                </w:r>
              </w:p>
            </w:tc>
            <w:tc>
              <w:tcPr>
                <w:tcW w:w="5337" w:type="dxa"/>
                <w:tcBorders>
                  <w:top w:val="single" w:color="D9D9D9" w:themeColor="background1" w:themeShade="D9" w:sz="12" w:space="0"/>
                  <w:left w:val="single" w:color="D9D9D9" w:themeColor="background1" w:themeShade="D9" w:sz="12" w:space="0"/>
                  <w:bottom w:val="single" w:color="D9D9D9" w:themeColor="background1" w:themeShade="D9" w:sz="12" w:space="0"/>
                  <w:right w:val="single" w:color="E1AF3B" w:sz="12" w:space="0"/>
                </w:tcBorders>
                <w:vAlign w:val="center"/>
              </w:tcPr>
              <w:p w:rsidRPr="00531EB2" w:rsidR="005E3BD6" w:rsidP="00B4771C" w:rsidRDefault="005E3BD6" w14:paraId="71469B0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de radicación y gestión documental. </w:t>
                </w:r>
              </w:p>
            </w:tc>
          </w:tr>
          <w:tr w:rsidRPr="009E5D2E" w:rsidR="005E3BD6" w:rsidTr="00531EB2" w14:paraId="7AB86669"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3B282C9" w14:textId="77777777">
                <w:pPr>
                  <w:rPr>
                    <w:rFonts w:ascii="Nunito Sans" w:hAnsi="Nunito Sans"/>
                    <w:sz w:val="18"/>
                    <w:szCs w:val="18"/>
                  </w:rPr>
                </w:pPr>
              </w:p>
            </w:tc>
            <w:tc>
              <w:tcPr>
                <w:tcW w:w="2268" w:type="dxa"/>
                <w:tcBorders>
                  <w:top w:val="single" w:color="D9D9D9" w:themeColor="background1" w:themeShade="D9" w:sz="12" w:space="0"/>
                  <w:left w:val="single" w:color="FFFFFF" w:themeColor="background1" w:sz="4" w:space="0"/>
                  <w:bottom w:val="single" w:color="E1AF3B" w:sz="12" w:space="0"/>
                  <w:right w:val="single" w:color="D9D9D9" w:themeColor="background1" w:themeShade="D9" w:sz="12" w:space="0"/>
                </w:tcBorders>
                <w:vAlign w:val="center"/>
              </w:tcPr>
              <w:p w:rsidRPr="00531EB2" w:rsidR="005E3BD6" w:rsidP="00B4771C" w:rsidRDefault="005E3BD6" w14:paraId="02503D47"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INTÉGRAME </w:t>
                </w:r>
              </w:p>
            </w:tc>
            <w:tc>
              <w:tcPr>
                <w:tcW w:w="5337" w:type="dxa"/>
                <w:tcBorders>
                  <w:top w:val="single" w:color="D9D9D9" w:themeColor="background1" w:themeShade="D9" w:sz="12" w:space="0"/>
                  <w:left w:val="single" w:color="D9D9D9" w:themeColor="background1" w:themeShade="D9" w:sz="12" w:space="0"/>
                  <w:bottom w:val="single" w:color="E1AF3B" w:sz="12" w:space="0"/>
                  <w:right w:val="single" w:color="E1AF3B" w:sz="12" w:space="0"/>
                </w:tcBorders>
                <w:vAlign w:val="center"/>
              </w:tcPr>
              <w:p w:rsidRPr="00531EB2" w:rsidR="005E3BD6" w:rsidP="00B4771C" w:rsidRDefault="005E3BD6" w14:paraId="5B4B819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Plataforma de integración sectorial y consolidación de datos. </w:t>
                </w:r>
              </w:p>
            </w:tc>
          </w:tr>
          <w:tr w:rsidRPr="009E5D2E" w:rsidR="005E3BD6" w:rsidTr="00531EB2" w14:paraId="709C173A"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0F3DBD16"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ANM</w:t>
                </w:r>
              </w:p>
            </w:tc>
            <w:tc>
              <w:tcPr>
                <w:tcW w:w="2268" w:type="dxa"/>
                <w:tcBorders>
                  <w:top w:val="single" w:color="E1AF3B" w:sz="12"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E8BC10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MOREG </w:t>
                </w:r>
              </w:p>
            </w:tc>
            <w:tc>
              <w:tcPr>
                <w:tcW w:w="5337" w:type="dxa"/>
                <w:tcBorders>
                  <w:top w:val="single" w:color="E1AF3B" w:sz="12"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279AAD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de regalías mineras. </w:t>
                </w:r>
              </w:p>
            </w:tc>
          </w:tr>
          <w:tr w:rsidRPr="009E5D2E" w:rsidR="005E3BD6" w:rsidTr="00531EB2" w14:paraId="29462EC7"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2F340874"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7A3511B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AnnA Minería</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0F4C56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del Catastro Minero Nacional — títulos mineros. </w:t>
                </w:r>
              </w:p>
            </w:tc>
          </w:tr>
          <w:tr w:rsidRPr="009E5D2E" w:rsidR="005E3BD6" w:rsidTr="00531EB2" w14:paraId="3B2104CF"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47D55C6"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5750395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Catastro Minero – Web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BB5739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Consulta pública del catastro minero. </w:t>
                </w:r>
              </w:p>
            </w:tc>
          </w:tr>
          <w:tr w:rsidRPr="009E5D2E" w:rsidR="005E3BD6" w:rsidTr="00531EB2" w14:paraId="0B6A23C2"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CC24A91"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4B3A6E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Catastro Minero – RMN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B17642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Repositorio georreferenciado interno del catastro. </w:t>
                </w:r>
              </w:p>
            </w:tc>
          </w:tr>
          <w:tr w:rsidRPr="009E5D2E" w:rsidR="005E3BD6" w:rsidTr="00531EB2" w14:paraId="52FC18D3"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1EA790F"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1B32F50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Invesflow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0CEF4A25"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Radicación y flujo de proceso de trámites internos. </w:t>
                </w:r>
              </w:p>
            </w:tc>
          </w:tr>
          <w:tr w:rsidRPr="009E5D2E" w:rsidR="005E3BD6" w:rsidTr="00531EB2" w14:paraId="206EDFB4"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2C513703"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2B8383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Minex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050A24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Declaración y administración de explotaciones mineras. </w:t>
                </w:r>
              </w:p>
            </w:tc>
          </w:tr>
          <w:tr w:rsidRPr="009E5D2E" w:rsidR="005E3BD6" w:rsidTr="00531EB2" w14:paraId="79E3CE0C"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888C8AB"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12871E8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Trámites en Línea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4AA71F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Solicitudes y trámites en la ANM. </w:t>
                </w:r>
              </w:p>
            </w:tc>
          </w:tr>
          <w:tr w:rsidRPr="009E5D2E" w:rsidR="005E3BD6" w:rsidTr="00531EB2" w14:paraId="323D85F2"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3364AC14"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82A4FB6"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Traslado Expediente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4A40C7C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documental de expedientes mineros. </w:t>
                </w:r>
              </w:p>
            </w:tc>
          </w:tr>
          <w:tr w:rsidRPr="009E5D2E" w:rsidR="005E3BD6" w:rsidTr="00531EB2" w14:paraId="2BC60E74"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380A450C"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7D07C12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Fiscaminero Web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2D8A400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Fiscalización y control de operaciones mineras. </w:t>
                </w:r>
              </w:p>
            </w:tc>
          </w:tr>
          <w:tr w:rsidRPr="009E5D2E" w:rsidR="005E3BD6" w:rsidTr="00531EB2" w14:paraId="70550823"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6825326F"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760CB24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Fiscaminero Móvil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02115F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Control en campo desde dispositivos móviles. </w:t>
                </w:r>
              </w:p>
            </w:tc>
          </w:tr>
          <w:tr w:rsidRPr="009E5D2E" w:rsidR="005E3BD6" w:rsidTr="00531EB2" w14:paraId="0591CF28"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9260B46"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138B26E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Formato Liviano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5C60B87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de recaudo de regalías mineras. </w:t>
                </w:r>
              </w:p>
            </w:tc>
          </w:tr>
          <w:tr w:rsidRPr="009E5D2E" w:rsidR="005E3BD6" w:rsidTr="00531EB2" w14:paraId="3D25235E"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45C4D2CD"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2AD7CED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Control a la Producción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426520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Verificación de volúmenes de producción minera. </w:t>
                </w:r>
              </w:p>
            </w:tc>
          </w:tr>
          <w:tr w:rsidRPr="009E5D2E" w:rsidR="005E3BD6" w:rsidTr="00531EB2" w14:paraId="68E17067"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4CAA4AA"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7D1BED96"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Surpac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3769FE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Modelamiento geológico y de reservas. </w:t>
                </w:r>
              </w:p>
            </w:tc>
          </w:tr>
          <w:tr w:rsidRPr="009E5D2E" w:rsidR="005E3BD6" w:rsidTr="00531EB2" w14:paraId="7C891FAD"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CE4F39F"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005E3BD6" w14:paraId="4662D3C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Documental (Content) </w:t>
                </w:r>
              </w:p>
            </w:tc>
            <w:tc>
              <w:tcPr>
                <w:tcW w:w="5337" w:type="dxa"/>
                <w:tcBorders>
                  <w:top w:val="single" w:color="D9D9D9" w:themeColor="background1" w:themeShade="D9" w:sz="6"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58638243"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Repositorio documental institucional ANM. </w:t>
                </w:r>
              </w:p>
            </w:tc>
          </w:tr>
          <w:tr w:rsidRPr="009E5D2E" w:rsidR="005E3BD6" w:rsidTr="00531EB2" w14:paraId="05481B6B"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339119CC"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SGC</w:t>
                </w:r>
              </w:p>
            </w:tc>
            <w:tc>
              <w:tcPr>
                <w:tcW w:w="2268" w:type="dxa"/>
                <w:tcBorders>
                  <w:top w:val="single" w:color="E1AF3B" w:sz="12"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60977AF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FEIH </w:t>
                </w:r>
              </w:p>
            </w:tc>
            <w:tc>
              <w:tcPr>
                <w:tcW w:w="5337" w:type="dxa"/>
                <w:tcBorders>
                  <w:top w:val="single" w:color="E1AF3B" w:sz="12"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2E54C64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Información hidrocarburífera histórica. </w:t>
                </w:r>
              </w:p>
            </w:tc>
          </w:tr>
          <w:tr w:rsidRPr="009E5D2E" w:rsidR="005E3BD6" w:rsidTr="00531EB2" w14:paraId="5F27039E"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3A508820"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E830C9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FEIM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4485E17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Información minera especializada. </w:t>
                </w:r>
              </w:p>
            </w:tc>
          </w:tr>
          <w:tr w:rsidRPr="009E5D2E" w:rsidR="005E3BD6" w:rsidTr="00531EB2" w14:paraId="4F6CE6E2"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6C2B47D"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2693156D"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Explora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73A9AD5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Exploración y consulta geológica. </w:t>
                </w:r>
              </w:p>
            </w:tc>
          </w:tr>
          <w:tr w:rsidRPr="009E5D2E" w:rsidR="005E3BD6" w:rsidTr="00531EB2" w14:paraId="6E6A7CE2"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1FE25022"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828EEA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SIIG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557A53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Integración de información geocientífica. </w:t>
                </w:r>
              </w:p>
            </w:tc>
          </w:tr>
          <w:tr w:rsidRPr="009E5D2E" w:rsidR="005E3BD6" w:rsidTr="00531EB2" w14:paraId="2B2F909C"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645C9A4"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E553C7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SAE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6FDA1A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Plataforma escalable de almacenamiento masivo de datos geológicos. </w:t>
                </w:r>
              </w:p>
            </w:tc>
          </w:tr>
          <w:tr w:rsidRPr="009E5D2E" w:rsidR="005E3BD6" w:rsidTr="00531EB2" w14:paraId="3A5CB57D"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ACB7DB2"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BA20B6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MIIG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229B496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Motor integrado de datos geocientíficos. </w:t>
                </w:r>
              </w:p>
            </w:tc>
          </w:tr>
          <w:tr w:rsidRPr="009E5D2E" w:rsidR="005E3BD6" w:rsidTr="00531EB2" w14:paraId="35687574"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11AB3C8D"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005E3BD6" w14:paraId="713EB347"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SIMMA </w:t>
                </w:r>
              </w:p>
            </w:tc>
            <w:tc>
              <w:tcPr>
                <w:tcW w:w="5337" w:type="dxa"/>
                <w:tcBorders>
                  <w:top w:val="single" w:color="D9D9D9" w:themeColor="background1" w:themeShade="D9" w:sz="6"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0D70A4A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Monitoreo de riesgos geológicos y sismos. </w:t>
                </w:r>
              </w:p>
            </w:tc>
          </w:tr>
          <w:tr w:rsidRPr="009E5D2E" w:rsidR="005E3BD6" w:rsidTr="00531EB2" w14:paraId="07DCFEC6"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036EA921"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ANH</w:t>
                </w:r>
              </w:p>
            </w:tc>
            <w:tc>
              <w:tcPr>
                <w:tcW w:w="2268" w:type="dxa"/>
                <w:tcBorders>
                  <w:top w:val="single" w:color="E1AF3B" w:sz="12"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75AFD2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GEOVISOR </w:t>
                </w:r>
              </w:p>
            </w:tc>
            <w:tc>
              <w:tcPr>
                <w:tcW w:w="5337" w:type="dxa"/>
                <w:tcBorders>
                  <w:top w:val="single" w:color="E1AF3B" w:sz="12"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08AD9FED"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Mapa de tierras petroleras. </w:t>
                </w:r>
              </w:p>
            </w:tc>
          </w:tr>
          <w:tr w:rsidRPr="009E5D2E" w:rsidR="005E3BD6" w:rsidTr="00531EB2" w14:paraId="4B9D225F"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4426A3D5"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1967FB2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GeoGRAPHIX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451B83D3"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Procesamiento de información geofísica. </w:t>
                </w:r>
              </w:p>
            </w:tc>
          </w:tr>
          <w:tr w:rsidRPr="009E5D2E" w:rsidR="005E3BD6" w:rsidTr="00531EB2" w14:paraId="11DDA78E"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663C85DA"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AE7F94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KINGDOM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7051EC2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Interpretación sísmica para exploración. </w:t>
                </w:r>
              </w:p>
            </w:tc>
          </w:tr>
          <w:tr w:rsidRPr="009E5D2E" w:rsidR="005E3BD6" w:rsidTr="00531EB2" w14:paraId="247617AA"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F71B126"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7A5F25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PETREL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444EF76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Modelamiento geológico de reservorios. </w:t>
                </w:r>
              </w:p>
            </w:tc>
          </w:tr>
          <w:tr w:rsidRPr="009E5D2E" w:rsidR="005E3BD6" w:rsidTr="00531EB2" w14:paraId="6E5E3B26"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6176A827"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201DC06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SIPPAA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06A056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de asignación de áreas de exploración y producción. </w:t>
                </w:r>
              </w:p>
            </w:tc>
          </w:tr>
          <w:tr w:rsidRPr="009E5D2E" w:rsidR="005E3BD6" w:rsidTr="00531EB2" w14:paraId="7D100975"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30100EE0"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73177AC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GECOH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6CDB7C6"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de contratos de hidrocarburos. </w:t>
                </w:r>
              </w:p>
            </w:tc>
          </w:tr>
          <w:tr w:rsidRPr="009E5D2E" w:rsidR="005E3BD6" w:rsidTr="00531EB2" w14:paraId="7B457CFB"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6B47C83C"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BD9940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SSCH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25103EC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Seguimiento de compromisos contractuales. </w:t>
                </w:r>
              </w:p>
            </w:tc>
          </w:tr>
          <w:tr w:rsidRPr="009E5D2E" w:rsidR="005E3BD6" w:rsidTr="00531EB2" w14:paraId="6C2CC5F8"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33D8B2D4"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1B513C6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SIGETH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1687A0B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geográfico de hidrocarburos. </w:t>
                </w:r>
              </w:p>
            </w:tc>
          </w:tr>
          <w:tr w:rsidRPr="009E5D2E" w:rsidR="005E3BD6" w:rsidTr="00531EB2" w14:paraId="1307D6F4"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08053B8B"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BCA0A7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SLIDE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20FFDE8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Liquidador de derechos económicos. </w:t>
                </w:r>
              </w:p>
            </w:tc>
          </w:tr>
          <w:tr w:rsidRPr="009E5D2E" w:rsidR="005E3BD6" w:rsidTr="00531EB2" w14:paraId="67A69EB8"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2ECE0B2F"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1F325162" w14:paraId="318FDAEC" w14:textId="1A71A89E">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GO</w:t>
                </w:r>
                <w:r w:rsidRPr="00531EB2" w:rsidR="1A8224EA">
                  <w:rPr>
                    <w:rFonts w:ascii="Nunito Sans" w:hAnsi="Nunito Sans" w:cs="Calibri"/>
                    <w:color w:val="000000" w:themeColor="text1"/>
                    <w:sz w:val="18"/>
                    <w:szCs w:val="18"/>
                    <w:lang w:val="es-ES"/>
                  </w:rPr>
                  <w:t>P</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76CE693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administrativo interno. </w:t>
                </w:r>
              </w:p>
            </w:tc>
          </w:tr>
          <w:tr w:rsidRPr="009E5D2E" w:rsidR="005E3BD6" w:rsidTr="00531EB2" w14:paraId="1E32A7C4"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E23E6E9"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25E725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SOLAR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C54D9C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Liquidación y administración de regalías. </w:t>
                </w:r>
              </w:p>
            </w:tc>
          </w:tr>
          <w:tr w:rsidRPr="009E5D2E" w:rsidR="005E3BD6" w:rsidTr="00531EB2" w14:paraId="49ECD813"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185ADE33"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710B15C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DELOT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514E750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Trámite y cálculo de precios de crudo. </w:t>
                </w:r>
              </w:p>
            </w:tc>
          </w:tr>
          <w:tr w:rsidRPr="009E5D2E" w:rsidR="005E3BD6" w:rsidTr="00531EB2" w14:paraId="561E6EAD"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1E2A29C5"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005E3BD6" w14:paraId="52912E6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AVM / Avocet </w:t>
                </w:r>
              </w:p>
            </w:tc>
            <w:tc>
              <w:tcPr>
                <w:tcW w:w="5337" w:type="dxa"/>
                <w:tcBorders>
                  <w:top w:val="single" w:color="D9D9D9" w:themeColor="background1" w:themeShade="D9" w:sz="6"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26AD017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de volúmenes de producción (Petróleo/Gas). </w:t>
                </w:r>
              </w:p>
            </w:tc>
          </w:tr>
          <w:tr w:rsidRPr="009E5D2E" w:rsidR="005E3BD6" w:rsidTr="00531EB2" w14:paraId="53CA88FE"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3D9E0835" w:rsidRDefault="005E3BD6" w14:paraId="6888B604" w14:textId="77777777">
                <w:pPr>
                  <w:keepNext/>
                  <w:keepLines/>
                  <w:spacing w:line="276" w:lineRule="auto"/>
                  <w:rPr>
                    <w:rFonts w:ascii="Nunito Sans" w:hAnsi="Nunito Sans" w:eastAsia="Arial" w:cs="Calibri"/>
                    <w:color w:val="FFFFFF" w:themeColor="background1"/>
                    <w:sz w:val="18"/>
                    <w:szCs w:val="18"/>
                    <w:lang w:val="es-ES"/>
                  </w:rPr>
                </w:pPr>
                <w:r w:rsidRPr="3D9E0835">
                  <w:rPr>
                    <w:rFonts w:ascii="Nunito Sans" w:hAnsi="Nunito Sans" w:eastAsia="Arial" w:cs="Calibri"/>
                    <w:b/>
                    <w:bCs/>
                    <w:color w:val="FFFFFF" w:themeColor="background1"/>
                    <w:sz w:val="18"/>
                    <w:szCs w:val="18"/>
                    <w:lang w:val="es-ES"/>
                  </w:rPr>
                  <w:t>UPME</w:t>
                </w:r>
              </w:p>
            </w:tc>
            <w:tc>
              <w:tcPr>
                <w:tcW w:w="2268" w:type="dxa"/>
                <w:tcBorders>
                  <w:top w:val="single" w:color="E1AF3B" w:sz="12"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5FBBA91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SIMEC </w:t>
                </w:r>
              </w:p>
            </w:tc>
            <w:tc>
              <w:tcPr>
                <w:tcW w:w="5337" w:type="dxa"/>
                <w:tcBorders>
                  <w:top w:val="single" w:color="E1AF3B" w:sz="12"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D53D2C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dinámico de información minero-energética. </w:t>
                </w:r>
              </w:p>
            </w:tc>
          </w:tr>
          <w:tr w:rsidRPr="009E5D2E" w:rsidR="005E3BD6" w:rsidTr="00531EB2" w14:paraId="0EEED9B1"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1BF64A8C"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5296A145"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SIG Corporativo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77B5A7AF"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Infraestructura de mapas y cartografía del sector energético. </w:t>
                </w:r>
              </w:p>
            </w:tc>
          </w:tr>
          <w:tr w:rsidRPr="009E5D2E" w:rsidR="005E3BD6" w:rsidTr="00531EB2" w14:paraId="421EB37F"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C220B2D"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113C02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Repositorio de Transportadores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2DC03785"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Registro de transporte eléctrico. </w:t>
                </w:r>
              </w:p>
            </w:tc>
          </w:tr>
          <w:tr w:rsidRPr="009E5D2E" w:rsidR="005E3BD6" w:rsidTr="00531EB2" w14:paraId="4BA6E63C"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2ED8E23C"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516BDC2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Registro de Proyectos de Transmisión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1E8D10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Gestión de iniciativas de transmisión eléctrica. </w:t>
                </w:r>
              </w:p>
            </w:tc>
          </w:tr>
          <w:tr w:rsidRPr="009E5D2E" w:rsidR="005E3BD6" w:rsidTr="00531EB2" w14:paraId="451DA4D6"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CDB6197"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673BB6D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SIEL / SIMCO / SIPG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78E35AC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Subsistemas de información integrados a SIMEC. </w:t>
                </w:r>
              </w:p>
            </w:tc>
          </w:tr>
          <w:tr w:rsidRPr="009E5D2E" w:rsidR="005E3BD6" w:rsidTr="00531EB2" w14:paraId="4A16F756"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1D497000"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005E3BD6" w14:paraId="255A63B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LEAP / GAMS / DIGSILENT </w:t>
                </w:r>
              </w:p>
            </w:tc>
            <w:tc>
              <w:tcPr>
                <w:tcW w:w="5337" w:type="dxa"/>
                <w:tcBorders>
                  <w:top w:val="single" w:color="D9D9D9" w:themeColor="background1" w:themeShade="D9" w:sz="6"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17AFB09B"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Modelos matemáticos de proyección y planeación energética. </w:t>
                </w:r>
              </w:p>
            </w:tc>
          </w:tr>
          <w:tr w:rsidRPr="009E5D2E" w:rsidR="005E3BD6" w:rsidTr="00531EB2" w14:paraId="1A1FDF5E"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6E1B6D97"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CREG</w:t>
                </w:r>
              </w:p>
            </w:tc>
            <w:tc>
              <w:tcPr>
                <w:tcW w:w="2268" w:type="dxa"/>
                <w:tcBorders>
                  <w:top w:val="single" w:color="E1AF3B" w:sz="12"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2D482168"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Alejandría </w:t>
                </w:r>
              </w:p>
            </w:tc>
            <w:tc>
              <w:tcPr>
                <w:tcW w:w="5337" w:type="dxa"/>
                <w:tcBorders>
                  <w:top w:val="single" w:color="E1AF3B" w:sz="12"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43366DD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Repositorio normativo del sector. </w:t>
                </w:r>
              </w:p>
            </w:tc>
          </w:tr>
          <w:tr w:rsidRPr="009E5D2E" w:rsidR="005E3BD6" w:rsidTr="00531EB2" w14:paraId="47F976B5"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53C8D6F7"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5AEB95F3"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AWS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1AE46B6A"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Hosting y procesamiento de sistemas regulatorios. </w:t>
                </w:r>
              </w:p>
            </w:tc>
          </w:tr>
          <w:tr w:rsidRPr="009E5D2E" w:rsidR="005E3BD6" w:rsidTr="00531EB2" w14:paraId="17018DEC"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484BD63E"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005E3BD6" w14:paraId="2066F63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APLIGAS </w:t>
                </w:r>
              </w:p>
            </w:tc>
            <w:tc>
              <w:tcPr>
                <w:tcW w:w="5337" w:type="dxa"/>
                <w:tcBorders>
                  <w:top w:val="single" w:color="D9D9D9" w:themeColor="background1" w:themeShade="D9" w:sz="6"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2900993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Reporte y cálculo tarifario de gas. </w:t>
                </w:r>
              </w:p>
            </w:tc>
          </w:tr>
          <w:tr w:rsidRPr="009E5D2E" w:rsidR="005E3BD6" w:rsidTr="00531EB2" w14:paraId="46138C9C" w14:textId="77777777">
            <w:trPr>
              <w:trHeight w:val="20"/>
              <w:jc w:val="center"/>
            </w:trPr>
            <w:tc>
              <w:tcPr>
                <w:tcW w:w="1410"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08F572A9"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IPSE</w:t>
                </w:r>
              </w:p>
            </w:tc>
            <w:tc>
              <w:tcPr>
                <w:tcW w:w="2268" w:type="dxa"/>
                <w:tcBorders>
                  <w:top w:val="single" w:color="E1AF3B" w:sz="12"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4B3C7956"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IPSE-APP / WebAPP </w:t>
                </w:r>
              </w:p>
            </w:tc>
            <w:tc>
              <w:tcPr>
                <w:tcW w:w="5337" w:type="dxa"/>
                <w:tcBorders>
                  <w:top w:val="single" w:color="E1AF3B" w:sz="12"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6A07BE11"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Captura de datos operacionales en campo. </w:t>
                </w:r>
              </w:p>
            </w:tc>
          </w:tr>
          <w:tr w:rsidRPr="009E5D2E" w:rsidR="005E3BD6" w:rsidTr="00531EB2" w14:paraId="4C730F7A"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7060EDD"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E753E7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GESTEL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32E9BFE2"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Lectura, validación y consolidación de parámetros eléctricos (energía activa, voltaje). </w:t>
                </w:r>
              </w:p>
            </w:tc>
          </w:tr>
          <w:tr w:rsidRPr="009E5D2E" w:rsidR="005E3BD6" w:rsidTr="00531EB2" w14:paraId="52A38CFF"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5259502"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3DD257D3"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ION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49801B49"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Monitoreo eléctrico especializado. </w:t>
                </w:r>
              </w:p>
            </w:tc>
          </w:tr>
          <w:tr w:rsidRPr="009E5D2E" w:rsidR="005E3BD6" w:rsidTr="00531EB2" w14:paraId="1E6DB6ED"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6764E56E"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D9D9D9" w:themeColor="background1" w:themeShade="D9" w:sz="6" w:space="0"/>
                  <w:right w:val="single" w:color="D9D9D9" w:themeColor="background1" w:themeShade="D9" w:sz="6" w:space="0"/>
                </w:tcBorders>
                <w:vAlign w:val="center"/>
              </w:tcPr>
              <w:p w:rsidRPr="00531EB2" w:rsidR="005E3BD6" w:rsidP="00B4771C" w:rsidRDefault="005E3BD6" w14:paraId="24C2A227"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CNM </w:t>
                </w:r>
              </w:p>
            </w:tc>
            <w:tc>
              <w:tcPr>
                <w:tcW w:w="5337" w:type="dxa"/>
                <w:tcBorders>
                  <w:top w:val="single" w:color="D9D9D9" w:themeColor="background1" w:themeShade="D9" w:sz="6" w:space="0"/>
                  <w:left w:val="single" w:color="D9D9D9" w:themeColor="background1" w:themeShade="D9" w:sz="6" w:space="0"/>
                  <w:bottom w:val="single" w:color="D9D9D9" w:themeColor="background1" w:themeShade="D9" w:sz="6" w:space="0"/>
                  <w:right w:val="single" w:color="E1AF3B" w:sz="12" w:space="0"/>
                </w:tcBorders>
                <w:vAlign w:val="center"/>
              </w:tcPr>
              <w:p w:rsidRPr="00531EB2" w:rsidR="005E3BD6" w:rsidP="00B4771C" w:rsidRDefault="005E3BD6" w14:paraId="59D368F0"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Centro Nacional de Monitoreo de operación eléctrica. </w:t>
                </w:r>
              </w:p>
            </w:tc>
          </w:tr>
          <w:tr w:rsidRPr="009E5D2E" w:rsidR="005E3BD6" w:rsidTr="00531EB2" w14:paraId="316FBAA5" w14:textId="77777777">
            <w:trPr>
              <w:trHeight w:val="20"/>
              <w:jc w:val="center"/>
            </w:trPr>
            <w:tc>
              <w:tcPr>
                <w:tcW w:w="1410"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vAlign w:val="center"/>
              </w:tcPr>
              <w:p w:rsidRPr="009E5D2E" w:rsidR="005E3BD6" w:rsidP="00B4771C" w:rsidRDefault="005E3BD6" w14:paraId="720F5F9C" w14:textId="77777777">
                <w:pPr>
                  <w:rPr>
                    <w:rFonts w:ascii="Nunito Sans" w:hAnsi="Nunito Sans"/>
                    <w:sz w:val="18"/>
                    <w:szCs w:val="18"/>
                  </w:rPr>
                </w:pPr>
              </w:p>
            </w:tc>
            <w:tc>
              <w:tcPr>
                <w:tcW w:w="2268" w:type="dxa"/>
                <w:tcBorders>
                  <w:top w:val="single" w:color="D9D9D9" w:themeColor="background1" w:themeShade="D9" w:sz="6"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005E3BD6" w14:paraId="52D3E8BE"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SIGIPSE </w:t>
                </w:r>
              </w:p>
            </w:tc>
            <w:tc>
              <w:tcPr>
                <w:tcW w:w="5337" w:type="dxa"/>
                <w:tcBorders>
                  <w:top w:val="single" w:color="D9D9D9" w:themeColor="background1" w:themeShade="D9" w:sz="6"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2694B1A4"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Sistema de Información Geográfica que publica la cobertura y proyectos en ZNI </w:t>
                </w:r>
              </w:p>
            </w:tc>
          </w:tr>
          <w:tr w:rsidRPr="009E5D2E" w:rsidR="005E3BD6" w:rsidTr="00531EB2" w14:paraId="0F4F132A" w14:textId="77777777">
            <w:trPr>
              <w:trHeight w:val="20"/>
              <w:jc w:val="center"/>
            </w:trPr>
            <w:tc>
              <w:tcPr>
                <w:tcW w:w="1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E5D2E" w:rsidR="005E3BD6" w:rsidP="00B4771C" w:rsidRDefault="005E3BD6" w14:paraId="26580C28" w14:textId="77777777">
                <w:pPr>
                  <w:keepNext/>
                  <w:keepLines/>
                  <w:spacing w:line="276" w:lineRule="auto"/>
                  <w:rPr>
                    <w:rFonts w:ascii="Nunito Sans" w:hAnsi="Nunito Sans" w:eastAsia="Arial" w:cs="Calibri"/>
                    <w:color w:val="FFFFFF" w:themeColor="background1"/>
                    <w:sz w:val="18"/>
                    <w:szCs w:val="18"/>
                    <w:lang w:val="es-ES"/>
                  </w:rPr>
                </w:pPr>
                <w:r w:rsidRPr="009E5D2E">
                  <w:rPr>
                    <w:rFonts w:ascii="Nunito Sans" w:hAnsi="Nunito Sans" w:eastAsia="Arial" w:cs="Calibri"/>
                    <w:b/>
                    <w:bCs/>
                    <w:color w:val="FFFFFF" w:themeColor="background1"/>
                    <w:sz w:val="18"/>
                    <w:szCs w:val="18"/>
                    <w:lang w:val="es-ES"/>
                  </w:rPr>
                  <w:t>FE</w:t>
                </w:r>
                <w:r w:rsidRPr="009E5D2E">
                  <w:rPr>
                    <w:rFonts w:ascii="Nunito Sans" w:hAnsi="Nunito Sans" w:eastAsia="Arial" w:cs="Calibri"/>
                    <w:b/>
                    <w:bCs/>
                    <w:color w:val="FFFFFF" w:themeColor="background1"/>
                    <w:sz w:val="18"/>
                    <w:szCs w:val="18"/>
                    <w:shd w:val="clear" w:color="auto" w:fill="E1AF3B"/>
                    <w:lang w:val="es-ES"/>
                  </w:rPr>
                  <w:t>NO</w:t>
                </w:r>
                <w:r w:rsidRPr="009E5D2E">
                  <w:rPr>
                    <w:rFonts w:ascii="Nunito Sans" w:hAnsi="Nunito Sans" w:eastAsia="Arial" w:cs="Calibri"/>
                    <w:b/>
                    <w:bCs/>
                    <w:color w:val="FFFFFF" w:themeColor="background1"/>
                    <w:sz w:val="18"/>
                    <w:szCs w:val="18"/>
                    <w:lang w:val="es-ES"/>
                  </w:rPr>
                  <w:t>GE</w:t>
                </w:r>
              </w:p>
            </w:tc>
            <w:tc>
              <w:tcPr>
                <w:tcW w:w="2268" w:type="dxa"/>
                <w:tcBorders>
                  <w:top w:val="single" w:color="E1AF3B" w:sz="12" w:space="0"/>
                  <w:left w:val="single" w:color="FFFFFF" w:themeColor="background1" w:sz="4" w:space="0"/>
                  <w:bottom w:val="single" w:color="E1AF3B" w:sz="12" w:space="0"/>
                  <w:right w:val="single" w:color="D9D9D9" w:themeColor="background1" w:themeShade="D9" w:sz="6" w:space="0"/>
                </w:tcBorders>
                <w:vAlign w:val="center"/>
              </w:tcPr>
              <w:p w:rsidRPr="00531EB2" w:rsidR="005E3BD6" w:rsidP="00B4771C" w:rsidRDefault="5CD8ABEB" w14:paraId="1AD7278F" w14:textId="0CE4D163">
                <w:pPr>
                  <w:keepNext/>
                  <w:keepLines/>
                  <w:spacing w:line="276" w:lineRule="auto"/>
                  <w:rPr>
                    <w:rFonts w:ascii="Nunito Sans" w:hAnsi="Nunito Sans"/>
                    <w:color w:val="000000" w:themeColor="text1"/>
                    <w:sz w:val="18"/>
                    <w:szCs w:val="18"/>
                  </w:rPr>
                </w:pPr>
                <w:r w:rsidRPr="00531EB2">
                  <w:rPr>
                    <w:rFonts w:ascii="Nunito Sans" w:hAnsi="Nunito Sans" w:cs="Calibri"/>
                    <w:color w:val="000000" w:themeColor="text1"/>
                    <w:sz w:val="18"/>
                    <w:szCs w:val="18"/>
                    <w:lang w:val="es-ES"/>
                  </w:rPr>
                  <w:t>Microsoft PowerBI®</w:t>
                </w:r>
              </w:p>
            </w:tc>
            <w:tc>
              <w:tcPr>
                <w:tcW w:w="5337" w:type="dxa"/>
                <w:tcBorders>
                  <w:top w:val="single" w:color="E1AF3B" w:sz="12" w:space="0"/>
                  <w:left w:val="single" w:color="D9D9D9" w:themeColor="background1" w:themeShade="D9" w:sz="6" w:space="0"/>
                  <w:bottom w:val="single" w:color="E1AF3B" w:sz="12" w:space="0"/>
                  <w:right w:val="single" w:color="E1AF3B" w:sz="12" w:space="0"/>
                </w:tcBorders>
                <w:vAlign w:val="center"/>
              </w:tcPr>
              <w:p w:rsidRPr="00531EB2" w:rsidR="005E3BD6" w:rsidP="00B4771C" w:rsidRDefault="005E3BD6" w14:paraId="4B15684C" w14:textId="77777777">
                <w:pPr>
                  <w:keepNext/>
                  <w:keepLines/>
                  <w:spacing w:line="276" w:lineRule="auto"/>
                  <w:rPr>
                    <w:rFonts w:ascii="Nunito Sans" w:hAnsi="Nunito Sans" w:cs="Calibri"/>
                    <w:color w:val="000000" w:themeColor="text1"/>
                    <w:sz w:val="18"/>
                    <w:szCs w:val="18"/>
                    <w:lang w:val="es-ES"/>
                  </w:rPr>
                </w:pPr>
                <w:r w:rsidRPr="00531EB2">
                  <w:rPr>
                    <w:rFonts w:ascii="Nunito Sans" w:hAnsi="Nunito Sans" w:cs="Calibri"/>
                    <w:color w:val="000000" w:themeColor="text1"/>
                    <w:sz w:val="18"/>
                    <w:szCs w:val="18"/>
                    <w:lang w:val="es-ES"/>
                  </w:rPr>
                  <w:t>Visualización de indicadores y KPIs de proyectos de energías renovables. </w:t>
                </w:r>
              </w:p>
            </w:tc>
          </w:tr>
        </w:tbl>
        <w:p w:rsidRPr="0038010D" w:rsidR="005E3BD6" w:rsidP="005E3BD6" w:rsidRDefault="005E3BD6" w14:paraId="679EE6C8" w14:textId="77777777">
          <w:pPr>
            <w:pStyle w:val="Default"/>
            <w:spacing w:line="360" w:lineRule="auto"/>
            <w:jc w:val="center"/>
            <w:rPr>
              <w:rFonts w:ascii="Nunito Sans" w:hAnsi="Nunito Sans" w:cs="Calibri"/>
            </w:rPr>
          </w:pPr>
          <w:bookmarkStart w:name="_Toc2061269629" w:id="161"/>
          <w:r w:rsidRPr="007E3FC8">
            <w:rPr>
              <w:rFonts w:ascii="Nunito Sans" w:hAnsi="Nunito Sans" w:eastAsia="CIDFont+F9" w:cs="Calibri"/>
              <w:color w:val="000000" w:themeColor="text1"/>
              <w:sz w:val="18"/>
              <w:szCs w:val="18"/>
            </w:rPr>
            <w:t>Fuente: Elaboración propia</w:t>
          </w:r>
        </w:p>
        <w:p w:rsidRPr="004661A2" w:rsidR="004661A2" w:rsidRDefault="004661A2" w14:paraId="5C548202" w14:textId="77777777">
          <w:pPr>
            <w:pStyle w:val="Prrafodelista"/>
            <w:numPr>
              <w:ilvl w:val="1"/>
              <w:numId w:val="36"/>
            </w:numPr>
            <w:spacing w:before="240"/>
            <w:contextualSpacing w:val="0"/>
            <w:jc w:val="both"/>
            <w:outlineLvl w:val="2"/>
            <w:rPr>
              <w:rFonts w:ascii="Nunito Sans" w:hAnsi="Nunito Sans" w:eastAsia="Nunito Sans" w:cs="Nunito Sans"/>
              <w:b/>
              <w:bCs/>
              <w:iCs/>
              <w:vanish/>
              <w:color w:val="EDB600"/>
              <w:sz w:val="26"/>
              <w:lang w:val="es-ES"/>
            </w:rPr>
          </w:pPr>
          <w:bookmarkStart w:name="_Toc220407708" w:id="162"/>
          <w:bookmarkStart w:name="_Toc220407977" w:id="163"/>
          <w:bookmarkStart w:name="_Toc220614462" w:id="164"/>
          <w:bookmarkStart w:name="_Toc220664288" w:id="165"/>
          <w:bookmarkStart w:name="_Toc234231840" w:id="166"/>
          <w:bookmarkStart w:name="_Toc234232082" w:id="167"/>
          <w:bookmarkStart w:name="_Toc234232203" w:id="168"/>
          <w:bookmarkStart w:name="_Toc234232324" w:id="169"/>
          <w:bookmarkStart w:name="_Toc234233375" w:id="170"/>
          <w:bookmarkStart w:name="_Toc234233496" w:id="171"/>
          <w:bookmarkStart w:name="_Toc234233618" w:id="172"/>
          <w:bookmarkStart w:name="_Toc234233740" w:id="173"/>
          <w:bookmarkStart w:name="_Toc234233862" w:id="174"/>
          <w:bookmarkStart w:name="_Toc234233983" w:id="175"/>
          <w:bookmarkStart w:name="_Toc234234106" w:id="176"/>
          <w:bookmarkStart w:name="_Toc234234228" w:id="177"/>
          <w:bookmarkStart w:name="_Toc234234349" w:id="178"/>
          <w:bookmarkStart w:name="_Toc234234470" w:id="179"/>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rsidR="005E3BD6" w:rsidRDefault="005E3BD6" w14:paraId="56086D28" w14:textId="4B781C86">
          <w:pPr>
            <w:pStyle w:val="Ttulo3"/>
            <w:numPr>
              <w:ilvl w:val="2"/>
              <w:numId w:val="35"/>
            </w:numPr>
            <w:spacing w:before="240"/>
          </w:pPr>
          <w:bookmarkStart w:name="_Toc234234471" w:id="180"/>
          <w:r w:rsidRPr="008D6A79">
            <w:t>Análisis Sistemas de información por entidad adscrita</w:t>
          </w:r>
          <w:bookmarkEnd w:id="161"/>
          <w:bookmarkEnd w:id="180"/>
        </w:p>
        <w:p w:rsidRPr="00DF354F" w:rsidR="00DF354F" w:rsidP="00DF354F" w:rsidRDefault="00DF354F" w14:paraId="0E5C7488" w14:textId="77777777">
          <w:pPr>
            <w:rPr>
              <w:lang w:val="es-ES"/>
            </w:rPr>
          </w:pPr>
        </w:p>
        <w:p w:rsidRPr="00CA4194" w:rsidR="005E3BD6" w:rsidP="005E3BD6" w:rsidRDefault="005E3BD6" w14:paraId="1C5083F4" w14:textId="77777777">
          <w:pPr>
            <w:spacing w:after="160" w:line="257" w:lineRule="auto"/>
            <w:jc w:val="both"/>
            <w:rPr>
              <w:rFonts w:ascii="Nunito Sans" w:hAnsi="Nunito Sans" w:cs="Calibri"/>
              <w:sz w:val="22"/>
              <w:szCs w:val="22"/>
            </w:rPr>
          </w:pPr>
          <w:r w:rsidRPr="00CA4194">
            <w:rPr>
              <w:rFonts w:ascii="Nunito Sans" w:hAnsi="Nunito Sans" w:eastAsia="Arial" w:cs="Calibri"/>
              <w:sz w:val="22"/>
              <w:szCs w:val="22"/>
              <w:lang w:val="es-ES"/>
            </w:rPr>
            <w:t>El presente análisis constituye el diagnóstico técnico detallado que fundamenta el PETI Sectorial. Se ha realizado un levantamiento exhaustivo y un análisis de la arquitectura de sistemas: el Ministerio de Minas y Energía (MME) como ente rector, la Agencia Nacional de Minería (ANM), la Agencia Nacional de Hidrocarburos (ANH), la Unidad de Planeación Minero-Energética (UPME), el Instituto de Planificación y Promoción de Soluciones Energéticas para las Zonas No Interconectadas (IPSE), el Servicio Geológico Colombiano (SGC) y la Comisión de Regulación de Energía y Gas (CREG).</w:t>
          </w:r>
        </w:p>
        <w:p w:rsidR="005E3BD6" w:rsidP="00B46F3F" w:rsidRDefault="005E3BD6" w14:paraId="39C84859" w14:textId="27BC998D">
          <w:pPr>
            <w:spacing w:line="257" w:lineRule="auto"/>
            <w:jc w:val="both"/>
            <w:rPr>
              <w:rFonts w:ascii="Nunito Sans" w:hAnsi="Nunito Sans" w:eastAsia="Arial" w:cs="Calibri"/>
              <w:sz w:val="22"/>
              <w:szCs w:val="22"/>
              <w:lang w:val="es-ES"/>
            </w:rPr>
          </w:pPr>
          <w:r w:rsidRPr="0E79E4E6">
            <w:rPr>
              <w:rFonts w:ascii="Nunito Sans" w:hAnsi="Nunito Sans" w:eastAsia="Arial" w:cs="Calibri"/>
              <w:sz w:val="22"/>
              <w:szCs w:val="22"/>
              <w:lang w:val="es-ES"/>
            </w:rPr>
            <w:t>El análisis revela un ecosistema tecnológico de profundos contrastes. Persiste una deuda técnica significativa materializada en sistemas de misión crítica que operan sobre plataformas obsoletas, algunas de las cuales perdieron soporte oficial hace más de un lustro. Esta dualidad presenta riesgos operativos latentes, vulnerabilidades de ciberseguridad y barreras para la implementación de políticas de datos abiertos y gobierno digital.</w:t>
          </w:r>
        </w:p>
        <w:p w:rsidRPr="00DF354F" w:rsidR="00DF354F" w:rsidP="005E3BD6" w:rsidRDefault="00DF354F" w14:paraId="0E0B5655" w14:textId="77777777">
          <w:pPr>
            <w:spacing w:after="160" w:line="257" w:lineRule="auto"/>
            <w:jc w:val="both"/>
            <w:rPr>
              <w:rFonts w:ascii="Nunito Sans" w:hAnsi="Nunito Sans" w:eastAsia="Arial" w:cs="Calibri"/>
              <w:sz w:val="22"/>
              <w:szCs w:val="22"/>
              <w:lang w:val="es-ES"/>
            </w:rPr>
          </w:pPr>
        </w:p>
        <w:p w:rsidR="00DF354F" w:rsidRDefault="005E3BD6" w14:paraId="1FD4E041" w14:textId="4D261025">
          <w:pPr>
            <w:pStyle w:val="Ttulo4"/>
            <w:numPr>
              <w:ilvl w:val="3"/>
              <w:numId w:val="35"/>
            </w:numPr>
          </w:pPr>
          <w:r w:rsidRPr="008D6A79">
            <w:t>Ministerio de Minas y Energía (MME) - Cabeza de Sector</w:t>
          </w:r>
        </w:p>
        <w:p w:rsidRPr="00326B3F" w:rsidR="00326B3F" w:rsidP="00326B3F" w:rsidRDefault="00326B3F" w14:paraId="16B7E197" w14:textId="77777777">
          <w:pPr>
            <w:rPr>
              <w:lang w:val="es-ES"/>
            </w:rPr>
          </w:pPr>
        </w:p>
        <w:p w:rsidRPr="00CA4194" w:rsidR="005E3BD6" w:rsidP="005E3BD6" w:rsidRDefault="005E3BD6" w14:paraId="4ACEB9C4" w14:textId="77777777">
          <w:pPr>
            <w:spacing w:after="160" w:line="257" w:lineRule="auto"/>
            <w:jc w:val="both"/>
            <w:rPr>
              <w:rFonts w:ascii="Nunito Sans" w:hAnsi="Nunito Sans" w:cs="Calibri"/>
              <w:sz w:val="22"/>
              <w:szCs w:val="22"/>
            </w:rPr>
          </w:pPr>
          <w:r w:rsidRPr="0E79E4E6">
            <w:rPr>
              <w:rFonts w:ascii="Nunito Sans" w:hAnsi="Nunito Sans" w:eastAsia="Arial" w:cs="Calibri"/>
              <w:sz w:val="22"/>
              <w:szCs w:val="22"/>
              <w:lang w:val="es-ES"/>
            </w:rPr>
            <w:t>El MME actúa como el orquestador de la política digital. Su arquitectura actual refleja un esfuerzo de transición desde aplicaciones legadas hacia una arquitectura orientada a servicios y datos en la nube.</w:t>
          </w:r>
        </w:p>
        <w:p w:rsidRPr="00CA4194" w:rsidR="005E3BD6" w:rsidP="005E3BD6" w:rsidRDefault="005E3BD6" w14:paraId="77B97EC0" w14:textId="77777777">
          <w:pPr>
            <w:spacing w:after="160" w:line="257"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ES"/>
            </w:rPr>
            <w:t>Como cabeza del sector, el Ministerio de Minas y Energía (MME) tiene la doble responsabilidad de gestionar sus propios procesos misionales y de articular la información proveniente de las entidades adscritas y vinculadas. La arquitectura de sistemas del MME refleja esta dualidad, combinando herramientas de gestión administrativa interna con plataformas transversales de integración de datos.</w:t>
          </w:r>
        </w:p>
        <w:p w:rsidRPr="006D1918" w:rsidR="006D1918" w:rsidP="006D1918" w:rsidRDefault="005E3BD6" w14:paraId="3132551A" w14:textId="5BBD5B3F">
          <w:pPr>
            <w:spacing w:after="160" w:line="257"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ES"/>
            </w:rPr>
            <w:t xml:space="preserve">El análisis del entorno tecnológico del MME muestra un ecosistema de sistemas con distintos niveles de evolución y madurez, donde conviven plataformas consolidadas que soportan funciones misionales clave con componentes que reflejan arquitecturas tradicionales y modelos operacionales heredados, así como soluciones emergentes con orientación a servicios, modularidad y mayor capacidad de integración. Esta diversidad introduce desafíos para la gestión unificada de información, la interoperabilidad interna, la eficiencia operativa y la sostenibilidad a largo plazo de los servicios digitales institucionales. Bajo este contexto, se hace necesario adoptar una estrategia estructurada de evolución tecnológica que permita armonizar los diferentes componentes, fortalecer la gobernanza del dato, garantizar continuidad operativa y favorecer una arquitectura alineada con los lineamientos del MRAE, el marco de Gobierno Digital y los principios de arquitectura empresarial aplicables en el Estado colombiano. Dicho enfoque permitirá que las capacidades digitales del MME se consoliden como habilitadores misionales efectivos y </w:t>
          </w:r>
          <w:r w:rsidRPr="00CA4194">
            <w:rPr>
              <w:rFonts w:ascii="Nunito Sans" w:hAnsi="Nunito Sans" w:eastAsia="Arial" w:cs="Calibri"/>
              <w:sz w:val="22"/>
              <w:szCs w:val="22"/>
              <w:lang w:val="es-ES"/>
            </w:rPr>
            <w:lastRenderedPageBreak/>
            <w:t>contribuyan de manera coherente y sostenible al cumplimiento de los objetivos estratégicos institucionales.</w:t>
          </w:r>
        </w:p>
        <w:p w:rsidR="005E3BD6" w:rsidRDefault="005E3BD6" w14:paraId="2152B6E8" w14:textId="1087EEC7">
          <w:pPr>
            <w:pStyle w:val="Ttulo4"/>
            <w:numPr>
              <w:ilvl w:val="3"/>
              <w:numId w:val="35"/>
            </w:numPr>
          </w:pPr>
          <w:r w:rsidRPr="008D6A79">
            <w:t>Agencia Nacional de Minería (ANM)</w:t>
          </w:r>
        </w:p>
        <w:p w:rsidRPr="00DF354F" w:rsidR="00DF354F" w:rsidP="00DF354F" w:rsidRDefault="00DF354F" w14:paraId="489F1B04" w14:textId="77777777">
          <w:pPr>
            <w:rPr>
              <w:rFonts w:eastAsiaTheme="minorEastAsia"/>
              <w:lang w:val="es-ES"/>
            </w:rPr>
          </w:pPr>
        </w:p>
        <w:p w:rsidR="00326B3F" w:rsidP="005E3BD6" w:rsidRDefault="005E3BD6" w14:paraId="2B260416" w14:textId="77777777">
          <w:pPr>
            <w:spacing w:after="160" w:line="257"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ES"/>
            </w:rPr>
            <w:t xml:space="preserve">El entorno tecnológico de la ANM refleja un avance significativo en la modernización de sus plataformas, particularmente en lo relacionado con la gestión del catastro minero y los procesos de fiscalización y control asociados al ciclo de vida de los títulos mineros. Si bien se evidencia la consolidación de sistemas robustos para la administración de las actividades misionales con una fuerte integración entre los módulos que soportan el catastro, la fiscalización y la trazabilidad comercial persisten elementos heredados que presentan limitaciones de flexibilidad, escalabilidad y capacidad de interoperación avanzada, especialmente en la gestión documental y los mecanismos de recaudo. </w:t>
          </w:r>
        </w:p>
        <w:p w:rsidRPr="00CA4194" w:rsidR="005E3BD6" w:rsidP="005E3BD6" w:rsidRDefault="005E3BD6" w14:paraId="7D3F97DA" w14:textId="27560C63">
          <w:pPr>
            <w:spacing w:after="160" w:line="257" w:lineRule="auto"/>
            <w:jc w:val="both"/>
            <w:rPr>
              <w:rFonts w:ascii="Nunito Sans" w:hAnsi="Nunito Sans" w:cs="Calibri"/>
              <w:sz w:val="22"/>
              <w:szCs w:val="22"/>
            </w:rPr>
          </w:pPr>
          <w:r w:rsidRPr="00CA4194">
            <w:rPr>
              <w:rFonts w:ascii="Nunito Sans" w:hAnsi="Nunito Sans" w:eastAsia="Arial" w:cs="Calibri"/>
              <w:sz w:val="22"/>
              <w:szCs w:val="22"/>
              <w:lang w:val="es-ES"/>
            </w:rPr>
            <w:t xml:space="preserve">Este panorama plantea la necesidad de un plan de modernización y optimización que permita reducir dependencias técnicas, incrementar la eficiencia en la consulta y explotación de datos, fortalecer la interoperabilidad dentro del ecosistema institucional y garantizar que la arquitectura de información y servicios de la ANM se continúe alineando con los modelos de referencia nacionales, incluyendo el MRAE y el marco de Gobierno Digital. La consolidación de esta evolución permitirá que los sistemas de la entidad sigan funcionando como habilitadores de transparencia, trazabilidad y legalidad en la actividad minera del país, contribuyendo de forma directa a la eficiencia institucional y al fortalecimiento de la gobernanza del recurso minero. </w:t>
          </w:r>
        </w:p>
        <w:p w:rsidRPr="00CA4194" w:rsidR="005E3BD6" w:rsidP="005E3BD6" w:rsidRDefault="005E3BD6" w14:paraId="0BB18188" w14:textId="77777777">
          <w:pPr>
            <w:spacing w:line="257" w:lineRule="auto"/>
            <w:jc w:val="both"/>
            <w:rPr>
              <w:rFonts w:ascii="Nunito Sans" w:hAnsi="Nunito Sans" w:eastAsia="Arial" w:cs="Calibri"/>
              <w:b/>
              <w:bCs/>
              <w:sz w:val="22"/>
              <w:szCs w:val="22"/>
              <w:lang w:val="es-ES"/>
            </w:rPr>
          </w:pPr>
        </w:p>
        <w:p w:rsidR="005E3BD6" w:rsidRDefault="005E3BD6" w14:paraId="33C2F149" w14:textId="51A4EB42">
          <w:pPr>
            <w:pStyle w:val="Ttulo4"/>
            <w:numPr>
              <w:ilvl w:val="3"/>
              <w:numId w:val="35"/>
            </w:numPr>
          </w:pPr>
          <w:r w:rsidRPr="008D6A79">
            <w:t>Agencia Nacional de Hidrocarburos (ANH)</w:t>
          </w:r>
        </w:p>
        <w:p w:rsidRPr="00DF354F" w:rsidR="00DF354F" w:rsidP="00DF354F" w:rsidRDefault="00DF354F" w14:paraId="11B0E8D9" w14:textId="77777777">
          <w:pPr>
            <w:rPr>
              <w:rFonts w:eastAsiaTheme="minorEastAsia"/>
              <w:lang w:val="es-ES"/>
            </w:rPr>
          </w:pPr>
        </w:p>
        <w:p w:rsidRPr="00CA4194" w:rsidR="005E3BD6" w:rsidP="005E3BD6" w:rsidRDefault="005E3BD6" w14:paraId="58AF3DCF" w14:textId="77777777">
          <w:pPr>
            <w:spacing w:line="257"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la ANH se evidencia una diferencia significativa entre aquellos sistemas desarrollados con autonomía funcional interna y los que operan bajo el modelo de “caja negra”, es decir, plataformas construidas y controladas por terceros, respecto de las cuales la entidad no posee visibilidad plena ni capacidad directa de modificación o evolución. Esto genera una dependencia operativa que restringe la trazabilidad técnica, dificulta la integración con otros componentes y obliga a recurrir a mecanismos manuales o complementarios para la conciliación de datos y el intercambio de información. En este escenario, se vuelve estratégico avanzar hacia un modelo de gestión tecnológica que reduzca la dependencia de proveedores externos, permita recuperar soberanía sobre la lógica institucional de procesos y favorezca la integración transparente dentro del ecosistema informacional interno. Este cambio incrementará la eficiencia operativa, permitirá mayor control institucional sobre su infraestructura digital y garantizará que la gestión de la información relacionada con producción, contratos y regalías se realice con mayor transparencia, seguridad y capacidad de evolución futura.</w:t>
          </w:r>
        </w:p>
        <w:p w:rsidRPr="00CA4194" w:rsidR="005E3BD6" w:rsidP="005E3BD6" w:rsidRDefault="005E3BD6" w14:paraId="55E30231" w14:textId="77777777">
          <w:pPr>
            <w:spacing w:line="257" w:lineRule="auto"/>
            <w:jc w:val="both"/>
            <w:rPr>
              <w:rFonts w:ascii="Nunito Sans" w:hAnsi="Nunito Sans" w:eastAsia="Arial" w:cs="Calibri"/>
              <w:b/>
              <w:bCs/>
              <w:sz w:val="22"/>
              <w:szCs w:val="22"/>
              <w:lang w:val="es-ES"/>
            </w:rPr>
          </w:pPr>
        </w:p>
        <w:p w:rsidR="005E3BD6" w:rsidRDefault="005E3BD6" w14:paraId="00D80365" w14:textId="6D94BBB2">
          <w:pPr>
            <w:pStyle w:val="Ttulo4"/>
            <w:numPr>
              <w:ilvl w:val="3"/>
              <w:numId w:val="35"/>
            </w:numPr>
          </w:pPr>
          <w:r w:rsidRPr="008D6A79">
            <w:lastRenderedPageBreak/>
            <w:t>Comisión de Regulación de Energía y Gas (CREG).</w:t>
          </w:r>
        </w:p>
        <w:p w:rsidRPr="00DF354F" w:rsidR="00DF354F" w:rsidP="00DF354F" w:rsidRDefault="00DF354F" w14:paraId="4A03D15A" w14:textId="77777777">
          <w:pPr>
            <w:rPr>
              <w:lang w:val="es-ES"/>
            </w:rPr>
          </w:pPr>
        </w:p>
        <w:p w:rsidR="24BA1399" w:rsidP="3D9E0835" w:rsidRDefault="24BA1399" w14:paraId="540EF8B7" w14:textId="5017BBEB">
          <w:pPr>
            <w:spacing w:line="257" w:lineRule="auto"/>
            <w:jc w:val="both"/>
          </w:pPr>
          <w:r w:rsidRPr="3D9E0835">
            <w:rPr>
              <w:rFonts w:ascii="Nunito Sans" w:hAnsi="Nunito Sans" w:eastAsia="Nunito Sans" w:cs="Nunito Sans"/>
              <w:sz w:val="22"/>
              <w:szCs w:val="22"/>
              <w:lang w:val="es-ES"/>
            </w:rPr>
            <w:t>La CREG cuenta con un modelo interno de desarrollo que ha permitido generar soluciones ajustadas a las necesidades regulatorias del sector. Como resultado de las iniciativas definidas en ejercicios previos de planeación estratégica de tecnologías de la información, la entidad ha avanzado en la modernización de su plataforma tecnológica, consolidando un esquema de infraestructura híbrida que combina capacidades on-premise actualizadas con servicios y sistemas de información en la nube. Esta evolución ha fortalecido la continuidad operativa, la seguridad y la capacidad de integración entre plataformas institucionales. De manera complementaria, el PETI vigente contempla iniciativas orientadas al fortalecimiento y renovación de los sistemas de información, con el propósito de disponer de soluciones más robustas, escalables e interoperables, que soporten de manera eficiente los procesos regulatorios y contribuyan a la sostenibilidad tecnológica y al crecimiento futuro de la entidad.</w:t>
          </w:r>
        </w:p>
        <w:p w:rsidRPr="00CA4194" w:rsidR="005E3BD6" w:rsidP="005E3BD6" w:rsidRDefault="005E3BD6" w14:paraId="78E1C3FA" w14:textId="77777777">
          <w:pPr>
            <w:spacing w:line="257" w:lineRule="auto"/>
            <w:jc w:val="both"/>
            <w:rPr>
              <w:rFonts w:ascii="Nunito Sans" w:hAnsi="Nunito Sans" w:eastAsia="Arial" w:cs="Calibri"/>
              <w:b/>
              <w:bCs/>
              <w:sz w:val="22"/>
              <w:szCs w:val="22"/>
              <w:lang w:val="es-ES"/>
            </w:rPr>
          </w:pPr>
        </w:p>
        <w:p w:rsidR="005E3BD6" w:rsidRDefault="005E3BD6" w14:paraId="0828519F" w14:textId="6F60E9EC">
          <w:pPr>
            <w:pStyle w:val="Ttulo4"/>
            <w:numPr>
              <w:ilvl w:val="3"/>
              <w:numId w:val="35"/>
            </w:numPr>
          </w:pPr>
          <w:r w:rsidRPr="008D6A79">
            <w:t xml:space="preserve">Unidad de Planeación </w:t>
          </w:r>
          <w:bookmarkStart w:name="_Int_aTc7YBS4" w:id="181"/>
          <w:r w:rsidRPr="008D6A79">
            <w:t>Minero-Energética</w:t>
          </w:r>
          <w:bookmarkEnd w:id="181"/>
          <w:r w:rsidRPr="008D6A79">
            <w:t xml:space="preserve"> (UPME)</w:t>
          </w:r>
        </w:p>
        <w:p w:rsidRPr="00DF354F" w:rsidR="00DF354F" w:rsidP="00DF354F" w:rsidRDefault="00DF354F" w14:paraId="38FF393C" w14:textId="77777777">
          <w:pPr>
            <w:rPr>
              <w:lang w:val="es-ES"/>
            </w:rPr>
          </w:pPr>
        </w:p>
        <w:p w:rsidR="00BB6C2F" w:rsidP="00DF354F" w:rsidRDefault="005E3BD6" w14:paraId="6AD12105" w14:textId="672DE61F">
          <w:pPr>
            <w:spacing w:line="257" w:lineRule="auto"/>
            <w:jc w:val="both"/>
            <w:rPr>
              <w:rFonts w:ascii="Nunito Sans" w:hAnsi="Nunito Sans" w:eastAsia="Arial" w:cs="Calibri"/>
              <w:sz w:val="22"/>
              <w:szCs w:val="22"/>
            </w:rPr>
          </w:pPr>
          <w:r w:rsidRPr="0E79E4E6">
            <w:rPr>
              <w:rFonts w:ascii="Nunito Sans" w:hAnsi="Nunito Sans" w:eastAsia="Arial" w:cs="Calibri"/>
              <w:sz w:val="22"/>
              <w:szCs w:val="22"/>
            </w:rPr>
            <w:t>En la UPME se evidencia un esquema operativo que combina un repositorio centralizado de información sectorial con herramientas avanzadas de modelación científica utilizadas para proyección y análisis energético. Si bien este enfoque ha permitido a la entidad consolidarse como el “tanque de pensamiento” del sector, la coexistencia de un sistema central de consulta estadística con componentes propietarios tipo “caja negra”, cuya lógica interna no es accesible ni integrable, genera una discontinuidad funcional que dificulta la circulación natural de la información técnica hacia la plataforma central. Esta desconexión, basada en transferencias manuales y dependencias de archivos para incorporar resultados modelados, limita la fluidez del dato, reduce la eficiencia operacional y restringe la capacidad de reutilizar conocimiento analítico de forma estructurada. Bajo este panorama, se hace necesario adoptar un nuevo enfoque que favorezca la integración nativa entre simulación y consolidación, que permita reconectar la cadena de valor informacional y que habilite un flujo continuo y transparente de resultados hacia plataformas de consulta y entendimiento sectorial, fortaleciendo así la capacidad institucional para soportar decisiones estratégicas basadas en información coherente, trazable y operacionalmente accesible.</w:t>
          </w:r>
        </w:p>
        <w:p w:rsidRPr="00DF354F" w:rsidR="00DF354F" w:rsidP="00DF354F" w:rsidRDefault="00DF354F" w14:paraId="0987CB56" w14:textId="77777777">
          <w:pPr>
            <w:spacing w:line="257" w:lineRule="auto"/>
            <w:jc w:val="both"/>
            <w:rPr>
              <w:rFonts w:ascii="Nunito Sans" w:hAnsi="Nunito Sans" w:eastAsia="Arial" w:cs="Calibri"/>
              <w:sz w:val="22"/>
              <w:szCs w:val="22"/>
            </w:rPr>
          </w:pPr>
        </w:p>
        <w:p w:rsidR="005E3BD6" w:rsidRDefault="005E3BD6" w14:paraId="1F72E558" w14:textId="44A4726E">
          <w:pPr>
            <w:pStyle w:val="Ttulo4"/>
            <w:numPr>
              <w:ilvl w:val="3"/>
              <w:numId w:val="35"/>
            </w:numPr>
          </w:pPr>
          <w:r w:rsidRPr="008D6A79">
            <w:t>Instituto de Planificación y Promoción de Soluciones Energéticas (IPSE)</w:t>
          </w:r>
        </w:p>
        <w:p w:rsidRPr="00DF354F" w:rsidR="00DF354F" w:rsidP="00DF354F" w:rsidRDefault="00DF354F" w14:paraId="7149649C" w14:textId="77777777">
          <w:pPr>
            <w:rPr>
              <w:lang w:val="es-ES"/>
            </w:rPr>
          </w:pPr>
        </w:p>
        <w:p w:rsidR="00326B3F" w:rsidP="005E3BD6" w:rsidRDefault="005E3BD6" w14:paraId="43C84CE1" w14:textId="77777777">
          <w:pPr>
            <w:spacing w:line="257" w:lineRule="auto"/>
            <w:jc w:val="both"/>
            <w:rPr>
              <w:rFonts w:ascii="Nunito Sans" w:hAnsi="Nunito Sans" w:eastAsia="Arial" w:cs="Calibri"/>
              <w:sz w:val="22"/>
              <w:szCs w:val="22"/>
            </w:rPr>
          </w:pPr>
          <w:r w:rsidRPr="0E79E4E6">
            <w:rPr>
              <w:rFonts w:ascii="Nunito Sans" w:hAnsi="Nunito Sans" w:eastAsia="Arial" w:cs="Calibri"/>
              <w:sz w:val="22"/>
              <w:szCs w:val="22"/>
            </w:rPr>
            <w:t xml:space="preserve">En el IPSE se observa un ecosistema operativo orientado a la captura y monitoreo de información eléctrica en Zonas No Interconectadas, en un contexto de desafíos propios de la baja conectividad y complejidad territorial. Por una parte, existen sistemas de adquisición y consolidación de datos eléctricos cuyo funcionamiento ha sido afectado por vencimientos de soporte en sus componentes base, lo que reduce la capacidad de actualización y seguimiento técnico. </w:t>
          </w:r>
        </w:p>
        <w:p w:rsidR="00326B3F" w:rsidP="005E3BD6" w:rsidRDefault="00326B3F" w14:paraId="2F2D2CDF" w14:textId="77777777">
          <w:pPr>
            <w:spacing w:line="257" w:lineRule="auto"/>
            <w:jc w:val="both"/>
            <w:rPr>
              <w:rFonts w:ascii="Nunito Sans" w:hAnsi="Nunito Sans" w:eastAsia="Arial" w:cs="Calibri"/>
              <w:sz w:val="22"/>
              <w:szCs w:val="22"/>
            </w:rPr>
          </w:pPr>
        </w:p>
        <w:p w:rsidR="005E3BD6" w:rsidP="005E3BD6" w:rsidRDefault="005E3BD6" w14:paraId="15D51D84" w14:textId="763A21BC">
          <w:pPr>
            <w:spacing w:line="257" w:lineRule="auto"/>
            <w:jc w:val="both"/>
            <w:rPr>
              <w:rFonts w:ascii="Nunito Sans" w:hAnsi="Nunito Sans" w:eastAsia="Arial" w:cs="Calibri"/>
              <w:sz w:val="22"/>
              <w:szCs w:val="22"/>
            </w:rPr>
          </w:pPr>
          <w:r w:rsidRPr="0E79E4E6">
            <w:rPr>
              <w:rFonts w:ascii="Nunito Sans" w:hAnsi="Nunito Sans" w:eastAsia="Arial" w:cs="Calibri"/>
              <w:sz w:val="22"/>
              <w:szCs w:val="22"/>
            </w:rPr>
            <w:t>Por otra parte, el sistema geográfico de cobertura de proyectos en ZNI presenta una apertura adecuada hacia terceros mediante estándares interoperables, permitiendo que diferentes actores institucionales consuman visualizaciones de datos en tiempo real. Sin embargo, la coexistencia de un módulo abierto y visible con otros componentes sin identificación clara de estado e integración operativa genera un desbalance en el nivel de transparencia y capacidad de interacción sistémica entre las distintas partes del entorno informacional. Este contexto plantea la necesidad de avanzar hacia un modelo que reduzca incertidumbres operativas, incremente la visibilidad y soporte institucional sobre sus componentes y favorezca la integración efectiva entre captura de medición eléctrica y visibilidad geoespacial, permitiendo al IPSE fortalecer su capacidad de medición, validación y publicación de datos en territorios de difícil acceso y baja conectividad.</w:t>
          </w:r>
        </w:p>
        <w:p w:rsidRPr="00F2742B" w:rsidR="005E3BD6" w:rsidP="005E3BD6" w:rsidRDefault="005E3BD6" w14:paraId="2BDA06F1" w14:textId="77777777">
          <w:pPr>
            <w:spacing w:line="257" w:lineRule="auto"/>
            <w:jc w:val="both"/>
            <w:rPr>
              <w:rFonts w:ascii="Nunito Sans" w:hAnsi="Nunito Sans" w:eastAsia="Nunito Sans" w:cs="Nunito Sans"/>
              <w:color w:val="E8A043"/>
              <w:sz w:val="20"/>
              <w:szCs w:val="20"/>
            </w:rPr>
          </w:pPr>
        </w:p>
        <w:p w:rsidR="005E3BD6" w:rsidRDefault="005E3BD6" w14:paraId="66490D4C" w14:textId="76727FD2">
          <w:pPr>
            <w:pStyle w:val="Ttulo4"/>
            <w:numPr>
              <w:ilvl w:val="3"/>
              <w:numId w:val="35"/>
            </w:numPr>
          </w:pPr>
          <w:r w:rsidRPr="008D6A79">
            <w:t xml:space="preserve">Servicio Geológico Colombiano (SGC) </w:t>
          </w:r>
        </w:p>
        <w:p w:rsidRPr="00DF354F" w:rsidR="00DF354F" w:rsidP="00DF354F" w:rsidRDefault="00DF354F" w14:paraId="16B4D99E" w14:textId="77777777">
          <w:pPr>
            <w:rPr>
              <w:lang w:val="es-ES"/>
            </w:rPr>
          </w:pPr>
        </w:p>
        <w:p w:rsidRPr="00CA4194" w:rsidR="005E3BD6" w:rsidP="005E3BD6" w:rsidRDefault="005E3BD6" w14:paraId="1B901895" w14:textId="77777777">
          <w:pPr>
            <w:spacing w:after="160" w:line="257" w:lineRule="auto"/>
            <w:jc w:val="both"/>
            <w:rPr>
              <w:rFonts w:ascii="Nunito Sans" w:hAnsi="Nunito Sans" w:eastAsia="Arial" w:cs="Calibri"/>
              <w:sz w:val="22"/>
              <w:szCs w:val="22"/>
              <w:lang w:val="es-ES"/>
            </w:rPr>
          </w:pPr>
          <w:r w:rsidRPr="0E79E4E6">
            <w:rPr>
              <w:rFonts w:ascii="Nunito Sans" w:hAnsi="Nunito Sans" w:eastAsia="Arial" w:cs="Calibri"/>
              <w:sz w:val="22"/>
              <w:szCs w:val="22"/>
            </w:rPr>
            <w:t>En el SGC existe un sistema integrador que centraliza la información geocientífica del subsuelo, junto con sistemas complementarios orientados al monitoreo de amenazas geológicas. En este escenario, resulta clave definir y evolucionar las arquitecturas de referencia de los sistemas de información, con el propósito de orientar el diseño de cualquier solución bajo parámetros, patrones y atributos de calidad definidos que permitan una gestión efectiva en su desarrollo, evolución o adquisición. Asimismo, se debe apropiar la documentación y los procedimientos de operación asociados al dominio de información, fortaleciendo el conocimiento institucional sobre sus capacidades, y definir los beneficios y responsabilidades de las partes interesadas, favoreciendo la oportunidad de implementar dichos sistemas con tecnologías disruptivas que permitan maximizar su potencial analítico y operacional.</w:t>
          </w:r>
        </w:p>
        <w:p w:rsidR="00B03CF5" w:rsidRDefault="005E3BD6" w14:paraId="6D4D0837" w14:textId="5F9967D2">
          <w:pPr>
            <w:pStyle w:val="Ttulo3"/>
            <w:numPr>
              <w:ilvl w:val="2"/>
              <w:numId w:val="35"/>
            </w:numPr>
          </w:pPr>
          <w:bookmarkStart w:name="_Toc234234472" w:id="182"/>
          <w:r w:rsidRPr="0E79E4E6">
            <w:t>Debilidades y fortalezas</w:t>
          </w:r>
          <w:bookmarkEnd w:id="182"/>
        </w:p>
        <w:p w:rsidRPr="00DF354F" w:rsidR="00DF354F" w:rsidP="00DF354F" w:rsidRDefault="00DF354F" w14:paraId="1CCA44B2" w14:textId="77777777">
          <w:pPr>
            <w:rPr>
              <w:rFonts w:eastAsiaTheme="minorEastAsia"/>
              <w:lang w:val="es-ES"/>
            </w:rPr>
          </w:pPr>
        </w:p>
        <w:p w:rsidRPr="00CA4194" w:rsidR="005E3BD6" w:rsidP="005E3BD6" w:rsidRDefault="005E3BD6" w14:paraId="17E7CD4D" w14:textId="3CADA984">
          <w:pPr>
            <w:spacing w:line="257" w:lineRule="auto"/>
            <w:rPr>
              <w:rFonts w:ascii="Nunito Sans" w:hAnsi="Nunito Sans" w:eastAsiaTheme="minorEastAsia"/>
              <w:b/>
              <w:bCs/>
              <w:sz w:val="22"/>
              <w:szCs w:val="22"/>
            </w:rPr>
          </w:pPr>
          <w:r w:rsidRPr="0E79E4E6">
            <w:rPr>
              <w:rFonts w:ascii="Nunito Sans" w:hAnsi="Nunito Sans" w:eastAsiaTheme="minorEastAsia"/>
              <w:b/>
              <w:bCs/>
              <w:sz w:val="22"/>
              <w:szCs w:val="22"/>
            </w:rPr>
            <w:t>Debilidades</w:t>
          </w:r>
        </w:p>
        <w:p w:rsidRPr="00CA4194" w:rsidR="005E3BD6" w:rsidRDefault="005E3BD6" w14:paraId="32BBCD28"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t>Presencia de obsolescencia tecnológica en los sistemas de información, especialmente en aplicaciones misionales y de soporte crítico.</w:t>
          </w:r>
        </w:p>
        <w:p w:rsidRPr="00CA4194" w:rsidR="005E3BD6" w:rsidRDefault="005E3BD6" w14:paraId="69BA3B44"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t>Ausencia de una arquitectura de integración sectorial que permita la articulación efectiva entre los sistemas de información.</w:t>
          </w:r>
        </w:p>
        <w:p w:rsidRPr="00CA4194" w:rsidR="005E3BD6" w:rsidRDefault="005E3BD6" w14:paraId="28808156"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t>Fragmentación en el licenciamiento de software y dependencia de múltiples proveedores sin gestión sectorial unificada.</w:t>
          </w:r>
        </w:p>
        <w:p w:rsidRPr="00CA4194" w:rsidR="005E3BD6" w:rsidRDefault="005E3BD6" w14:paraId="64EE8DB7"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t>Bajo nivel de madurez de los Sistemas de Información Geográfica (SIG) salvo algunas excepciones.</w:t>
          </w:r>
        </w:p>
        <w:p w:rsidRPr="00CA4194" w:rsidR="005E3BD6" w:rsidRDefault="005E3BD6" w14:paraId="2EBF9EA4"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t>Lentitud en los flujos de datos entre sistemas de información.</w:t>
          </w:r>
        </w:p>
        <w:p w:rsidRPr="00CA4194" w:rsidR="005E3BD6" w:rsidRDefault="005E3BD6" w14:paraId="0835C868"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t>Extensión excesiva de la vida útil de plataformas base en sistemas de misión crítica.</w:t>
          </w:r>
        </w:p>
        <w:p w:rsidRPr="00CA4194" w:rsidR="005E3BD6" w:rsidRDefault="005E3BD6" w14:paraId="1255F48F"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Theme="minorEastAsia"/>
              <w:sz w:val="22"/>
              <w:szCs w:val="22"/>
            </w:rPr>
            <w:lastRenderedPageBreak/>
            <w:t>Inconsistencias en las cifras entre entidades derivadas de sistemas y fuentes no alineadas.</w:t>
          </w:r>
        </w:p>
        <w:p w:rsidRPr="00CA4194" w:rsidR="005E3BD6" w:rsidRDefault="005E3BD6" w14:paraId="0693BCF6" w14:textId="77777777">
          <w:pPr>
            <w:numPr>
              <w:ilvl w:val="0"/>
              <w:numId w:val="13"/>
            </w:numPr>
            <w:spacing w:line="257" w:lineRule="auto"/>
            <w:rPr>
              <w:rFonts w:ascii="Nunito Sans" w:hAnsi="Nunito Sans" w:eastAsiaTheme="minorEastAsia"/>
              <w:sz w:val="22"/>
              <w:szCs w:val="22"/>
            </w:rPr>
          </w:pPr>
          <w:r w:rsidRPr="0E79E4E6">
            <w:rPr>
              <w:rFonts w:ascii="Nunito Sans" w:hAnsi="Nunito Sans" w:eastAsia="Nunito Sans" w:cs="Nunito Sans"/>
              <w:sz w:val="22"/>
              <w:szCs w:val="22"/>
            </w:rPr>
            <w:t>La adopción de servicios de nube pública en el sector presenta alta heterogeneidad tecnológica, con distintos proveedores y enfoques de implementación, lo que dificulta la estandarización y la gestión integrada de la infraestructura a nivel sectorial.</w:t>
          </w:r>
        </w:p>
        <w:p w:rsidR="005E3BD6" w:rsidP="005E3BD6" w:rsidRDefault="005E3BD6" w14:paraId="6CC4E6E2" w14:textId="77777777">
          <w:pPr>
            <w:spacing w:line="257" w:lineRule="auto"/>
            <w:rPr>
              <w:rFonts w:ascii="Nunito Sans" w:hAnsi="Nunito Sans" w:eastAsiaTheme="minorEastAsia"/>
              <w:sz w:val="22"/>
              <w:szCs w:val="22"/>
            </w:rPr>
          </w:pPr>
        </w:p>
        <w:p w:rsidRPr="00CA4194" w:rsidR="005E3BD6" w:rsidP="005E3BD6" w:rsidRDefault="005E3BD6" w14:paraId="58DA4ACF" w14:textId="77777777">
          <w:pPr>
            <w:spacing w:line="257" w:lineRule="auto"/>
            <w:rPr>
              <w:rFonts w:ascii="Nunito Sans" w:hAnsi="Nunito Sans" w:eastAsiaTheme="minorEastAsia"/>
              <w:b/>
              <w:bCs/>
              <w:sz w:val="22"/>
              <w:szCs w:val="22"/>
            </w:rPr>
          </w:pPr>
          <w:r w:rsidRPr="0E79E4E6">
            <w:rPr>
              <w:rFonts w:ascii="Nunito Sans" w:hAnsi="Nunito Sans" w:eastAsiaTheme="minorEastAsia"/>
              <w:b/>
              <w:bCs/>
              <w:sz w:val="22"/>
              <w:szCs w:val="22"/>
            </w:rPr>
            <w:t>Fortalezas</w:t>
          </w:r>
        </w:p>
        <w:p w:rsidRPr="00CA4194" w:rsidR="005E3BD6" w:rsidRDefault="005E3BD6" w14:paraId="4974D7D1" w14:textId="77777777">
          <w:pPr>
            <w:numPr>
              <w:ilvl w:val="0"/>
              <w:numId w:val="12"/>
            </w:numPr>
            <w:spacing w:line="257" w:lineRule="auto"/>
            <w:rPr>
              <w:rFonts w:ascii="Nunito Sans" w:hAnsi="Nunito Sans" w:eastAsiaTheme="minorEastAsia"/>
              <w:sz w:val="22"/>
              <w:szCs w:val="22"/>
            </w:rPr>
          </w:pPr>
          <w:r w:rsidRPr="0E79E4E6">
            <w:rPr>
              <w:rFonts w:ascii="Nunito Sans" w:hAnsi="Nunito Sans" w:eastAsiaTheme="minorEastAsia"/>
              <w:sz w:val="22"/>
              <w:szCs w:val="22"/>
            </w:rPr>
            <w:t>Algunas entidades cuentan con sistemas de telemetría que capturan datos directamente desde la fuente, incluso en zonas remotas, fortaleciendo la confiabilidad de la información.</w:t>
          </w:r>
        </w:p>
        <w:p w:rsidRPr="00CA4194" w:rsidR="005E3BD6" w:rsidRDefault="005E3BD6" w14:paraId="228846FE" w14:textId="77777777">
          <w:pPr>
            <w:numPr>
              <w:ilvl w:val="0"/>
              <w:numId w:val="12"/>
            </w:numPr>
            <w:spacing w:line="257" w:lineRule="auto"/>
            <w:rPr>
              <w:rFonts w:ascii="Nunito Sans" w:hAnsi="Nunito Sans" w:eastAsiaTheme="minorEastAsia"/>
              <w:sz w:val="22"/>
              <w:szCs w:val="22"/>
            </w:rPr>
          </w:pPr>
          <w:r w:rsidRPr="0E79E4E6">
            <w:rPr>
              <w:rFonts w:ascii="Nunito Sans" w:hAnsi="Nunito Sans" w:eastAsiaTheme="minorEastAsia"/>
              <w:sz w:val="22"/>
              <w:szCs w:val="22"/>
            </w:rPr>
            <w:t>En ciertas entidades se dispone de información de muy alta calidad asociada a la prestación real del servicio, soportada en sistemas misionales maduros.</w:t>
          </w:r>
        </w:p>
        <w:p w:rsidRPr="00CA4194" w:rsidR="005E3BD6" w:rsidRDefault="005E3BD6" w14:paraId="61183E7C" w14:textId="77777777">
          <w:pPr>
            <w:numPr>
              <w:ilvl w:val="0"/>
              <w:numId w:val="12"/>
            </w:numPr>
            <w:spacing w:line="257" w:lineRule="auto"/>
            <w:rPr>
              <w:rFonts w:ascii="Nunito Sans" w:hAnsi="Nunito Sans" w:eastAsiaTheme="minorEastAsia"/>
              <w:sz w:val="22"/>
              <w:szCs w:val="22"/>
            </w:rPr>
          </w:pPr>
          <w:r w:rsidRPr="0E79E4E6">
            <w:rPr>
              <w:rFonts w:ascii="Nunito Sans" w:hAnsi="Nunito Sans" w:eastAsiaTheme="minorEastAsia"/>
              <w:sz w:val="22"/>
              <w:szCs w:val="22"/>
            </w:rPr>
            <w:t>Algunas entidades cuentan con capacidades residuales grandes que pueden ser aprovechadas en un esquema de operación distribuido.</w:t>
          </w:r>
        </w:p>
        <w:p w:rsidRPr="00CA4194" w:rsidR="005E3BD6" w:rsidP="005E3BD6" w:rsidRDefault="005E3BD6" w14:paraId="7A220E6F" w14:textId="77777777">
          <w:pPr>
            <w:spacing w:line="257" w:lineRule="auto"/>
            <w:rPr>
              <w:rFonts w:ascii="Nunito Sans" w:hAnsi="Nunito Sans" w:eastAsiaTheme="minorEastAsia"/>
              <w:sz w:val="22"/>
              <w:szCs w:val="22"/>
            </w:rPr>
          </w:pPr>
        </w:p>
        <w:p w:rsidR="005E3BD6" w:rsidRDefault="005E3BD6" w14:paraId="1FEB110D" w14:textId="52E11259">
          <w:pPr>
            <w:pStyle w:val="Ttulo3"/>
            <w:numPr>
              <w:ilvl w:val="2"/>
              <w:numId w:val="35"/>
            </w:numPr>
          </w:pPr>
          <w:bookmarkStart w:name="_Toc1652072625" w:id="183"/>
          <w:bookmarkStart w:name="_Toc234234473" w:id="184"/>
          <w:r w:rsidRPr="0E79E4E6">
            <w:t>Rupturas Estratégicas</w:t>
          </w:r>
          <w:bookmarkEnd w:id="183"/>
          <w:bookmarkEnd w:id="184"/>
        </w:p>
        <w:p w:rsidRPr="00DF354F" w:rsidR="00DF354F" w:rsidP="00DF354F" w:rsidRDefault="00DF354F" w14:paraId="3B18E707" w14:textId="77777777">
          <w:pPr>
            <w:rPr>
              <w:lang w:val="es-ES"/>
            </w:rPr>
          </w:pPr>
        </w:p>
        <w:p w:rsidR="4B9BFBA3" w:rsidP="4E60D266" w:rsidRDefault="4B9BFBA3" w14:paraId="19880C71" w14:textId="6258EDAB">
          <w:pPr>
            <w:jc w:val="both"/>
            <w:rPr>
              <w:rFonts w:ascii="Nunito Sans" w:hAnsi="Nunito Sans" w:eastAsiaTheme="minorEastAsia"/>
              <w:sz w:val="22"/>
              <w:szCs w:val="22"/>
            </w:rPr>
          </w:pPr>
          <w:r w:rsidRPr="4E60D266">
            <w:rPr>
              <w:rFonts w:ascii="Nunito Sans" w:hAnsi="Nunito Sans" w:eastAsiaTheme="minorEastAsia"/>
              <w:sz w:val="22"/>
              <w:szCs w:val="22"/>
            </w:rPr>
            <w:t>Las rupturas estratégicas del PETI sectorial representan los cambios estructurales necesarios para cerrar las brechas identificadas entre la Situación Actual (AS-IS) y la Arquitectura Objetivo (TO-BE) del Sector Minero-Energético, derivadas del diagnóstico sectorial, del análisis DOFA, en coherencia con los objetivos del Plan Nacional de Desarrollo y el enfoque de Transición Energética Justa; a continuación se presentan las rupturas estratégicas definidas para este dominio, las cuales orientan la evolución de sus capacidades, la priorización de iniciativas y la formulación de la hoja de ruta sectorial:</w:t>
          </w:r>
        </w:p>
        <w:p w:rsidR="4E60D266" w:rsidP="4E60D266" w:rsidRDefault="4E60D266" w14:paraId="47DCB715" w14:textId="16FD051E">
          <w:pPr>
            <w:jc w:val="both"/>
            <w:rPr>
              <w:rFonts w:ascii="Nunito Sans" w:hAnsi="Nunito Sans" w:eastAsiaTheme="minorEastAsia"/>
              <w:sz w:val="22"/>
              <w:szCs w:val="22"/>
            </w:rPr>
          </w:pPr>
        </w:p>
        <w:p w:rsidR="005E3BD6" w:rsidP="005E3BD6" w:rsidRDefault="005E3BD6" w14:paraId="676FCE74" w14:textId="77777777">
          <w:pPr>
            <w:rPr>
              <w:rFonts w:eastAsiaTheme="minorEastAsia"/>
              <w:sz w:val="22"/>
              <w:szCs w:val="22"/>
              <w:lang w:val="es-ES"/>
            </w:rPr>
          </w:pPr>
        </w:p>
        <w:p w:rsidRPr="00EB43A6" w:rsidR="005E3BD6" w:rsidP="005E3BD6" w:rsidRDefault="00F2742B" w14:paraId="47502E74" w14:textId="2E979C77">
          <w:pPr>
            <w:ind w:left="360" w:hanging="360"/>
            <w:jc w:val="center"/>
            <w:rPr>
              <w:rFonts w:ascii="Nunito Sans" w:hAnsi="Nunito Sans" w:cs="Calibri"/>
              <w:b/>
              <w:bCs/>
              <w:sz w:val="18"/>
              <w:szCs w:val="18"/>
            </w:rPr>
          </w:pPr>
          <w:bookmarkStart w:name="_Toc220664191" w:id="185"/>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20</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45299D" w:rsidR="005E3BD6">
            <w:rPr>
              <w:rFonts w:ascii="Nunito Sans" w:hAnsi="Nunito Sans" w:cs="Calibri"/>
              <w:b/>
              <w:bCs/>
              <w:sz w:val="18"/>
              <w:szCs w:val="18"/>
            </w:rPr>
            <w:t xml:space="preserve">Paradigma de </w:t>
          </w:r>
          <w:r w:rsidR="005E3BD6">
            <w:rPr>
              <w:rFonts w:ascii="Nunito Sans" w:hAnsi="Nunito Sans" w:cs="Calibri"/>
              <w:b/>
              <w:bCs/>
              <w:sz w:val="18"/>
              <w:szCs w:val="18"/>
            </w:rPr>
            <w:t>Sistemas de Información Sectorial</w:t>
          </w:r>
          <w:bookmarkEnd w:id="185"/>
        </w:p>
        <w:tbl>
          <w:tblPr>
            <w:tblStyle w:val="Tablanormal11"/>
            <w:tblW w:w="0" w:type="auto"/>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31"/>
            <w:gridCol w:w="5991"/>
          </w:tblGrid>
          <w:tr w:rsidRPr="009E5D2E" w:rsidR="005E3BD6" w:rsidTr="00326B3F" w14:paraId="43F1BA8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326B3F" w:rsidRDefault="005E3BD6" w14:paraId="6A12EAB6" w14:textId="77777777">
                <w:pPr>
                  <w:jc w:val="center"/>
                  <w:rPr>
                    <w:rFonts w:ascii="Nunito Sans" w:hAnsi="Nunito Sans" w:cs="Calibri" w:eastAsiaTheme="minorEastAsia"/>
                    <w:color w:val="FFFFFF" w:themeColor="background1"/>
                    <w:sz w:val="18"/>
                    <w:szCs w:val="18"/>
                  </w:rPr>
                </w:pPr>
                <w:r w:rsidRPr="009E5D2E">
                  <w:rPr>
                    <w:rFonts w:ascii="Nunito Sans" w:hAnsi="Nunito Sans" w:cs="Calibri" w:eastAsiaTheme="minorEastAsia"/>
                    <w:color w:val="FFFFFF" w:themeColor="background1"/>
                    <w:sz w:val="18"/>
                    <w:szCs w:val="18"/>
                  </w:rPr>
                  <w:t>Atributo</w:t>
                </w:r>
              </w:p>
            </w:tc>
            <w:tc>
              <w:tcPr>
                <w:tcW w:w="599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326B3F" w:rsidRDefault="005E3BD6" w14:paraId="72C32866" w14:textId="77777777">
                <w:pPr>
                  <w:jc w:val="center"/>
                  <w:cnfStyle w:val="100000000000" w:firstRow="1" w:lastRow="0" w:firstColumn="0" w:lastColumn="0" w:oddVBand="0" w:evenVBand="0" w:oddHBand="0" w:evenHBand="0" w:firstRowFirstColumn="0" w:firstRowLastColumn="0" w:lastRowFirstColumn="0" w:lastRowLastColumn="0"/>
                  <w:rPr>
                    <w:rFonts w:ascii="Nunito Sans" w:hAnsi="Nunito Sans" w:cs="Calibri" w:eastAsiaTheme="minorEastAsia"/>
                    <w:color w:val="FFFFFF" w:themeColor="background1"/>
                    <w:sz w:val="18"/>
                    <w:szCs w:val="18"/>
                  </w:rPr>
                </w:pPr>
                <w:r w:rsidRPr="009E5D2E">
                  <w:rPr>
                    <w:rFonts w:ascii="Nunito Sans" w:hAnsi="Nunito Sans" w:cs="Calibri" w:eastAsiaTheme="minorEastAsia"/>
                    <w:color w:val="FFFFFF" w:themeColor="background1"/>
                    <w:sz w:val="18"/>
                    <w:szCs w:val="18"/>
                  </w:rPr>
                  <w:t>Descripción</w:t>
                </w:r>
              </w:p>
            </w:tc>
          </w:tr>
          <w:tr w:rsidRPr="009E5D2E" w:rsidR="005E3BD6" w:rsidTr="00326B3F" w14:paraId="3F74F474" w14:textId="77777777">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2B8EA9D6"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Identificador</w:t>
                </w:r>
              </w:p>
            </w:tc>
            <w:tc>
              <w:tcPr>
                <w:tcW w:w="5991" w:type="dxa"/>
                <w:tcBorders>
                  <w:top w:val="single" w:color="FFFFFF" w:themeColor="background1" w:sz="4" w:space="0"/>
                  <w:left w:val="single" w:color="FFFFFF" w:themeColor="background1" w:sz="4" w:space="0"/>
                </w:tcBorders>
                <w:shd w:val="clear" w:color="auto" w:fill="auto"/>
                <w:vAlign w:val="center"/>
                <w:hideMark/>
              </w:tcPr>
              <w:p w:rsidRPr="009E5D2E" w:rsidR="005E3BD6" w:rsidP="00B4771C" w:rsidRDefault="005E3BD6" w14:paraId="1B163ED3" w14:textId="77777777">
                <w:pPr>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RE–07</w:t>
                </w:r>
              </w:p>
            </w:tc>
          </w:tr>
          <w:tr w:rsidRPr="009E5D2E" w:rsidR="005E3BD6" w:rsidTr="00326B3F" w14:paraId="6A30A8E3" w14:textId="77777777">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04D2CAC7"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Nombre Corto</w:t>
                </w:r>
              </w:p>
            </w:tc>
            <w:tc>
              <w:tcPr>
                <w:tcW w:w="5991" w:type="dxa"/>
                <w:tcBorders>
                  <w:left w:val="single" w:color="FFFFFF" w:themeColor="background1" w:sz="4" w:space="0"/>
                </w:tcBorders>
                <w:vAlign w:val="center"/>
                <w:hideMark/>
              </w:tcPr>
              <w:p w:rsidRPr="009E5D2E" w:rsidR="005E3BD6" w:rsidP="00B4771C" w:rsidRDefault="005E3BD6" w14:paraId="25B9F675" w14:textId="77777777">
                <w:pPr>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Ventanilla Única</w:t>
                </w:r>
              </w:p>
            </w:tc>
          </w:tr>
          <w:tr w:rsidRPr="009E5D2E" w:rsidR="005E3BD6" w:rsidTr="00326B3F" w14:paraId="1F9FADDB"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7CC0A1E"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Descripción del Paradigma</w:t>
                </w:r>
              </w:p>
            </w:tc>
            <w:tc>
              <w:tcPr>
                <w:tcW w:w="5991" w:type="dxa"/>
                <w:tcBorders>
                  <w:left w:val="single" w:color="FFFFFF" w:themeColor="background1" w:sz="4" w:space="0"/>
                </w:tcBorders>
                <w:shd w:val="clear" w:color="auto" w:fill="auto"/>
                <w:vAlign w:val="center"/>
                <w:hideMark/>
              </w:tcPr>
              <w:p w:rsidRPr="009E5D2E" w:rsidR="005E3BD6" w:rsidP="00E15D20" w:rsidRDefault="7E04ACA6" w14:paraId="19AD1231" w14:textId="679C3633">
                <w:pPr>
                  <w:jc w:val="both"/>
                  <w:cnfStyle w:val="000000100000" w:firstRow="0" w:lastRow="0" w:firstColumn="0" w:lastColumn="0" w:oddVBand="0" w:evenVBand="0" w:oddHBand="1" w:evenHBand="0" w:firstRowFirstColumn="0" w:firstRowLastColumn="0" w:lastRowFirstColumn="0" w:lastRowLastColumn="0"/>
                </w:pPr>
                <w:r w:rsidRPr="4E60D266">
                  <w:rPr>
                    <w:rFonts w:ascii="Nunito Sans" w:hAnsi="Nunito Sans" w:eastAsia="Nunito Sans" w:cs="Nunito Sans"/>
                    <w:sz w:val="18"/>
                    <w:szCs w:val="18"/>
                  </w:rPr>
                  <w:t>Trámites y servicios dispersos en múltiples plataformas, con puntos de acceso heterogéneos que dificultan una experiencia integrada para el usuario.</w:t>
                </w:r>
              </w:p>
            </w:tc>
          </w:tr>
          <w:tr w:rsidRPr="009E5D2E" w:rsidR="005E3BD6" w:rsidTr="00326B3F" w14:paraId="3836607F" w14:textId="77777777">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4BDD6C0C"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Efectos Directos</w:t>
                </w:r>
              </w:p>
            </w:tc>
            <w:tc>
              <w:tcPr>
                <w:tcW w:w="5991" w:type="dxa"/>
                <w:tcBorders>
                  <w:left w:val="single" w:color="FFFFFF" w:themeColor="background1" w:sz="4" w:space="0"/>
                </w:tcBorders>
                <w:vAlign w:val="center"/>
                <w:hideMark/>
              </w:tcPr>
              <w:p w:rsidRPr="009E5D2E" w:rsidR="005E3BD6" w:rsidP="00E15D20" w:rsidRDefault="5C53A7E3" w14:paraId="0886D8C3" w14:textId="09AFFD66">
                <w:pPr>
                  <w:jc w:val="both"/>
                  <w:cnfStyle w:val="000000000000" w:firstRow="0" w:lastRow="0" w:firstColumn="0" w:lastColumn="0" w:oddVBand="0" w:evenVBand="0" w:oddHBand="0" w:evenHBand="0" w:firstRowFirstColumn="0" w:firstRowLastColumn="0" w:lastRowFirstColumn="0" w:lastRowLastColumn="0"/>
                </w:pPr>
                <w:r w:rsidRPr="4E60D266">
                  <w:rPr>
                    <w:rFonts w:ascii="Nunito Sans" w:hAnsi="Nunito Sans" w:eastAsia="Nunito Sans" w:cs="Nunito Sans"/>
                    <w:sz w:val="18"/>
                    <w:szCs w:val="18"/>
                  </w:rPr>
                  <w:t>Mala experiencia del usuario, poca trazabilidad, fricción institucional y dificultades para acceder oportunamente a los trámites y servicios debido a la dispersión de plataformas, así como a la existencia de enlaces desactualizados en portales como en GOV.CO.</w:t>
                </w:r>
              </w:p>
            </w:tc>
          </w:tr>
          <w:tr w:rsidRPr="009E5D2E" w:rsidR="005E3BD6" w:rsidTr="00326B3F" w14:paraId="402B7ED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1920AFB2"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Descripción de la Ruptura</w:t>
                </w:r>
              </w:p>
            </w:tc>
            <w:tc>
              <w:tcPr>
                <w:tcW w:w="5991" w:type="dxa"/>
                <w:tcBorders>
                  <w:left w:val="single" w:color="FFFFFF" w:themeColor="background1" w:sz="4" w:space="0"/>
                </w:tcBorders>
                <w:shd w:val="clear" w:color="auto" w:fill="auto"/>
                <w:vAlign w:val="center"/>
                <w:hideMark/>
              </w:tcPr>
              <w:p w:rsidRPr="009E5D2E" w:rsidR="005E3BD6" w:rsidP="00B4771C" w:rsidRDefault="005E3BD6" w14:paraId="1601050D" w14:textId="77777777">
                <w:pPr>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Integrar trámites y servicios en una ventanilla unificada sectorial.</w:t>
                </w:r>
              </w:p>
            </w:tc>
          </w:tr>
          <w:tr w:rsidRPr="009E5D2E" w:rsidR="005E3BD6" w:rsidTr="00326B3F" w14:paraId="7F975C46" w14:textId="77777777">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5FADE402"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Cómo romper el Paradigma</w:t>
                </w:r>
              </w:p>
            </w:tc>
            <w:tc>
              <w:tcPr>
                <w:tcW w:w="5991" w:type="dxa"/>
                <w:tcBorders>
                  <w:left w:val="single" w:color="FFFFFF" w:themeColor="background1" w:sz="4" w:space="0"/>
                </w:tcBorders>
                <w:vAlign w:val="center"/>
                <w:hideMark/>
              </w:tcPr>
              <w:p w:rsidRPr="009E5D2E" w:rsidR="005E3BD6" w:rsidP="00B4771C" w:rsidRDefault="005E3BD6" w14:paraId="2D10FBC4" w14:textId="77777777">
                <w:pPr>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Orquestación de servicios, autenticación federada, simplificación de flujos.</w:t>
                </w:r>
              </w:p>
            </w:tc>
          </w:tr>
          <w:tr w:rsidRPr="009E5D2E" w:rsidR="005E3BD6" w:rsidTr="00326B3F" w14:paraId="5CB18BE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CBBF3F8"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Impacto Esperado</w:t>
                </w:r>
              </w:p>
            </w:tc>
            <w:tc>
              <w:tcPr>
                <w:tcW w:w="5991" w:type="dxa"/>
                <w:tcBorders>
                  <w:left w:val="single" w:color="FFFFFF" w:themeColor="background1" w:sz="4" w:space="0"/>
                </w:tcBorders>
                <w:shd w:val="clear" w:color="auto" w:fill="auto"/>
                <w:vAlign w:val="center"/>
                <w:hideMark/>
              </w:tcPr>
              <w:p w:rsidRPr="009E5D2E" w:rsidR="005E3BD6" w:rsidP="00B4771C" w:rsidRDefault="005E3BD6" w14:paraId="018B6BC1" w14:textId="77777777">
                <w:pPr>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Mejor experiencia para el ciudadano y mayor eficiencia en procesos.</w:t>
                </w:r>
              </w:p>
            </w:tc>
          </w:tr>
          <w:tr w:rsidRPr="009E5D2E" w:rsidR="005E3BD6" w:rsidTr="00326B3F" w14:paraId="07C73CDC" w14:textId="77777777">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2251E183"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Grupos de Interés</w:t>
                </w:r>
              </w:p>
            </w:tc>
            <w:tc>
              <w:tcPr>
                <w:tcW w:w="5991" w:type="dxa"/>
                <w:tcBorders>
                  <w:left w:val="single" w:color="FFFFFF" w:themeColor="background1" w:sz="4" w:space="0"/>
                </w:tcBorders>
                <w:vAlign w:val="center"/>
                <w:hideMark/>
              </w:tcPr>
              <w:p w:rsidRPr="009E5D2E" w:rsidR="005E3BD6" w:rsidP="00B4771C" w:rsidRDefault="005E3BD6" w14:paraId="3A45186F" w14:textId="77777777">
                <w:pPr>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Ciudadanos, empresas, academia, entidades sectoriales.</w:t>
                </w:r>
              </w:p>
            </w:tc>
          </w:tr>
          <w:tr w:rsidRPr="009E5D2E" w:rsidR="005E3BD6" w:rsidTr="00326B3F" w14:paraId="130467F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017671EF"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lastRenderedPageBreak/>
                  <w:t>Dominio MRAE</w:t>
                </w:r>
              </w:p>
            </w:tc>
            <w:tc>
              <w:tcPr>
                <w:tcW w:w="5991" w:type="dxa"/>
                <w:tcBorders>
                  <w:left w:val="single" w:color="FFFFFF" w:themeColor="background1" w:sz="4" w:space="0"/>
                </w:tcBorders>
                <w:shd w:val="clear" w:color="auto" w:fill="auto"/>
                <w:vAlign w:val="center"/>
                <w:hideMark/>
              </w:tcPr>
              <w:p w:rsidRPr="009E5D2E" w:rsidR="005E3BD6" w:rsidP="00B4771C" w:rsidRDefault="005E3BD6" w14:paraId="37FD7F2B" w14:textId="77777777">
                <w:pPr>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Arquitectura de Sistemas de Información</w:t>
                </w:r>
              </w:p>
            </w:tc>
          </w:tr>
          <w:tr w:rsidRPr="009E5D2E" w:rsidR="005E3BD6" w:rsidTr="00535E7E" w14:paraId="07F79B8A" w14:textId="77777777">
            <w:trPr>
              <w:trHeight w:val="330"/>
            </w:trPr>
            <w:tc>
              <w:tcPr>
                <w:cnfStyle w:val="001000000000" w:firstRow="0" w:lastRow="0" w:firstColumn="1" w:lastColumn="0" w:oddVBand="0" w:evenVBand="0" w:oddHBand="0" w:evenHBand="0" w:firstRowFirstColumn="0" w:firstRowLastColumn="0" w:lastRowFirstColumn="0" w:lastRowLastColumn="0"/>
                <w:tcW w:w="223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2B146D42"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Clasificación de Impacto</w:t>
                </w:r>
              </w:p>
            </w:tc>
            <w:tc>
              <w:tcPr>
                <w:tcW w:w="5991" w:type="dxa"/>
                <w:tcBorders>
                  <w:left w:val="single" w:color="FFFFFF" w:themeColor="background1" w:sz="4" w:space="0"/>
                </w:tcBorders>
                <w:vAlign w:val="center"/>
                <w:hideMark/>
              </w:tcPr>
              <w:p w:rsidRPr="009E5D2E" w:rsidR="005E3BD6" w:rsidP="00B4771C" w:rsidRDefault="005E3BD6" w14:paraId="49B0353F" w14:textId="77777777">
                <w:pPr>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Alto</w:t>
                </w:r>
              </w:p>
            </w:tc>
          </w:tr>
        </w:tbl>
        <w:p w:rsidRPr="00CA4194" w:rsidR="005E3BD6" w:rsidP="005E3BD6" w:rsidRDefault="005E3BD6" w14:paraId="4116B4F4" w14:textId="77777777">
          <w:pPr>
            <w:rPr>
              <w:rFonts w:ascii="Nunito Sans" w:hAnsi="Nunito Sans" w:cs="Calibri" w:eastAsiaTheme="minorEastAsia"/>
              <w:sz w:val="22"/>
              <w:szCs w:val="22"/>
              <w:lang w:val="es-ES"/>
            </w:rPr>
          </w:pPr>
        </w:p>
        <w:tbl>
          <w:tblPr>
            <w:tblStyle w:val="Tablanormal11"/>
            <w:tblW w:w="0" w:type="auto"/>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68"/>
            <w:gridCol w:w="5954"/>
          </w:tblGrid>
          <w:tr w:rsidRPr="009E5D2E" w:rsidR="005E3BD6" w:rsidTr="00535E7E" w14:paraId="7576BA6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535E7E" w:rsidRDefault="005E3BD6" w14:paraId="1F28DAD8" w14:textId="77777777">
                <w:pPr>
                  <w:jc w:val="center"/>
                  <w:rPr>
                    <w:rFonts w:ascii="Nunito Sans" w:hAnsi="Nunito Sans" w:cs="Calibri" w:eastAsiaTheme="minorEastAsia"/>
                    <w:color w:val="FFFFFF" w:themeColor="background1"/>
                    <w:sz w:val="18"/>
                    <w:szCs w:val="18"/>
                  </w:rPr>
                </w:pPr>
                <w:r w:rsidRPr="009E5D2E">
                  <w:rPr>
                    <w:rFonts w:ascii="Nunito Sans" w:hAnsi="Nunito Sans" w:cs="Calibri" w:eastAsiaTheme="minorEastAsia"/>
                    <w:color w:val="FFFFFF" w:themeColor="background1"/>
                    <w:sz w:val="18"/>
                    <w:szCs w:val="18"/>
                  </w:rPr>
                  <w:t>Atributo</w:t>
                </w:r>
              </w:p>
            </w:tc>
            <w:tc>
              <w:tcPr>
                <w:tcW w:w="5954" w:type="dxa"/>
                <w:tcBorders>
                  <w:left w:val="single" w:color="FFFFFF" w:themeColor="background1" w:sz="4" w:space="0"/>
                </w:tcBorders>
                <w:shd w:val="clear" w:color="auto" w:fill="E5B33C"/>
                <w:vAlign w:val="center"/>
                <w:hideMark/>
              </w:tcPr>
              <w:p w:rsidRPr="009E5D2E" w:rsidR="005E3BD6" w:rsidP="00535E7E" w:rsidRDefault="005E3BD6" w14:paraId="7D606103" w14:textId="77777777">
                <w:pPr>
                  <w:jc w:val="center"/>
                  <w:cnfStyle w:val="100000000000" w:firstRow="1" w:lastRow="0" w:firstColumn="0" w:lastColumn="0" w:oddVBand="0" w:evenVBand="0" w:oddHBand="0" w:evenHBand="0" w:firstRowFirstColumn="0" w:firstRowLastColumn="0" w:lastRowFirstColumn="0" w:lastRowLastColumn="0"/>
                  <w:rPr>
                    <w:rFonts w:ascii="Nunito Sans" w:hAnsi="Nunito Sans" w:cs="Calibri" w:eastAsiaTheme="minorEastAsia"/>
                    <w:color w:val="FFFFFF" w:themeColor="background1"/>
                    <w:sz w:val="18"/>
                    <w:szCs w:val="18"/>
                  </w:rPr>
                </w:pPr>
                <w:r w:rsidRPr="009E5D2E">
                  <w:rPr>
                    <w:rFonts w:ascii="Nunito Sans" w:hAnsi="Nunito Sans" w:cs="Calibri" w:eastAsiaTheme="minorEastAsia"/>
                    <w:color w:val="FFFFFF" w:themeColor="background1"/>
                    <w:sz w:val="18"/>
                    <w:szCs w:val="18"/>
                  </w:rPr>
                  <w:t>Descripción</w:t>
                </w:r>
              </w:p>
            </w:tc>
          </w:tr>
          <w:tr w:rsidRPr="009E5D2E" w:rsidR="005E3BD6" w:rsidTr="00535E7E" w14:paraId="46D8441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6DA0D9B"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Identificador</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5648EDD1"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RE–08</w:t>
                </w:r>
              </w:p>
            </w:tc>
          </w:tr>
          <w:tr w:rsidRPr="009E5D2E" w:rsidR="005E3BD6" w:rsidTr="00535E7E" w14:paraId="6DFCE19A"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71B90609"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Nombre Corto</w:t>
                </w:r>
              </w:p>
            </w:tc>
            <w:tc>
              <w:tcPr>
                <w:tcW w:w="5954" w:type="dxa"/>
                <w:tcBorders>
                  <w:left w:val="single" w:color="FFFFFF" w:themeColor="background1" w:sz="4" w:space="0"/>
                </w:tcBorders>
                <w:vAlign w:val="center"/>
                <w:hideMark/>
              </w:tcPr>
              <w:p w:rsidRPr="009E5D2E" w:rsidR="005E3BD6" w:rsidP="003A33A3" w:rsidRDefault="005E3BD6" w14:paraId="622985BF"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Valor de software</w:t>
                </w:r>
              </w:p>
            </w:tc>
          </w:tr>
          <w:tr w:rsidRPr="009E5D2E" w:rsidR="005E3BD6" w:rsidTr="00535E7E" w14:paraId="64EFFDB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1967BC65"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Descripción del Paradigma</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3BB33473"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Licenciamiento y desarrollo de software de manera descoordinada.</w:t>
                </w:r>
              </w:p>
            </w:tc>
          </w:tr>
          <w:tr w:rsidRPr="009E5D2E" w:rsidR="005E3BD6" w:rsidTr="00535E7E" w14:paraId="247FC6D7"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5E60CF5"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Efectos Directos</w:t>
                </w:r>
              </w:p>
            </w:tc>
            <w:tc>
              <w:tcPr>
                <w:tcW w:w="5954" w:type="dxa"/>
                <w:tcBorders>
                  <w:left w:val="single" w:color="FFFFFF" w:themeColor="background1" w:sz="4" w:space="0"/>
                </w:tcBorders>
                <w:vAlign w:val="center"/>
                <w:hideMark/>
              </w:tcPr>
              <w:p w:rsidRPr="009E5D2E" w:rsidR="005E3BD6" w:rsidP="003A33A3" w:rsidRDefault="005E3BD6" w14:paraId="458BEFEA"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Costos innecesarios y baja estandarización tecnológica.</w:t>
                </w:r>
              </w:p>
            </w:tc>
          </w:tr>
          <w:tr w:rsidRPr="009E5D2E" w:rsidR="005E3BD6" w:rsidTr="00535E7E" w14:paraId="0A9E112D"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54FBEFFC"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Descripción de la Ruptura</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60327421"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Centralizar compras y reutilización de componentes y servicios de software.</w:t>
                </w:r>
              </w:p>
            </w:tc>
          </w:tr>
          <w:tr w:rsidRPr="009E5D2E" w:rsidR="005E3BD6" w:rsidTr="00535E7E" w14:paraId="4603F51F"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D059023"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Cómo romper el Paradigma</w:t>
                </w:r>
              </w:p>
            </w:tc>
            <w:tc>
              <w:tcPr>
                <w:tcW w:w="5954" w:type="dxa"/>
                <w:tcBorders>
                  <w:left w:val="single" w:color="FFFFFF" w:themeColor="background1" w:sz="4" w:space="0"/>
                </w:tcBorders>
                <w:vAlign w:val="center"/>
                <w:hideMark/>
              </w:tcPr>
              <w:p w:rsidRPr="009E5D2E" w:rsidR="005E3BD6" w:rsidP="003A33A3" w:rsidRDefault="005E3BD6" w14:paraId="09776FAD"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Acuerdos marco de precios, catálogos de software sectoriales, reutilización de módulos.</w:t>
                </w:r>
              </w:p>
            </w:tc>
          </w:tr>
          <w:tr w:rsidRPr="009E5D2E" w:rsidR="005E3BD6" w:rsidTr="00535E7E" w14:paraId="0AEA591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20DF85B9"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Impacto Esperado</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3A19CD6B"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Reducción del TCO y aumento de sostenibilidad en software.</w:t>
                </w:r>
              </w:p>
            </w:tc>
          </w:tr>
          <w:tr w:rsidRPr="009E5D2E" w:rsidR="005E3BD6" w:rsidTr="00535E7E" w14:paraId="4FFA3F0F"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5B688B50"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Grupos de Interés</w:t>
                </w:r>
              </w:p>
            </w:tc>
            <w:tc>
              <w:tcPr>
                <w:tcW w:w="5954" w:type="dxa"/>
                <w:tcBorders>
                  <w:left w:val="single" w:color="FFFFFF" w:themeColor="background1" w:sz="4" w:space="0"/>
                </w:tcBorders>
                <w:vAlign w:val="center"/>
                <w:hideMark/>
              </w:tcPr>
              <w:p w:rsidRPr="009E5D2E" w:rsidR="005E3BD6" w:rsidP="003A33A3" w:rsidRDefault="005E3BD6" w14:paraId="54B57299"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Ciudadanos, empresas, academia, entidades sectoriales.</w:t>
                </w:r>
              </w:p>
            </w:tc>
          </w:tr>
          <w:tr w:rsidRPr="009E5D2E" w:rsidR="005E3BD6" w:rsidTr="00535E7E" w14:paraId="00F1979E"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4E51F65E"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Dominio MRAE</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39655EC6"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Arquitectura de Sistemas de Información / Infraestructura y Servicios TI</w:t>
                </w:r>
              </w:p>
            </w:tc>
          </w:tr>
          <w:tr w:rsidRPr="009E5D2E" w:rsidR="005E3BD6" w:rsidTr="00535E7E" w14:paraId="0146435F"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4F523907"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Clasificación de Impacto</w:t>
                </w:r>
              </w:p>
            </w:tc>
            <w:tc>
              <w:tcPr>
                <w:tcW w:w="5954" w:type="dxa"/>
                <w:tcBorders>
                  <w:left w:val="single" w:color="FFFFFF" w:themeColor="background1" w:sz="4" w:space="0"/>
                </w:tcBorders>
                <w:vAlign w:val="center"/>
                <w:hideMark/>
              </w:tcPr>
              <w:p w:rsidRPr="009E5D2E" w:rsidR="005E3BD6" w:rsidP="003A33A3" w:rsidRDefault="005E3BD6" w14:paraId="206296F7"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Alto</w:t>
                </w:r>
              </w:p>
            </w:tc>
          </w:tr>
        </w:tbl>
        <w:p w:rsidRPr="00CA4194" w:rsidR="005E3BD6" w:rsidP="005E3BD6" w:rsidRDefault="005E3BD6" w14:paraId="7F934B7B" w14:textId="77777777">
          <w:pPr>
            <w:rPr>
              <w:rFonts w:ascii="Nunito Sans" w:hAnsi="Nunito Sans" w:cs="Calibri" w:eastAsiaTheme="minorEastAsia"/>
              <w:sz w:val="22"/>
              <w:szCs w:val="22"/>
              <w:lang w:val="es-ES"/>
            </w:rPr>
          </w:pPr>
        </w:p>
        <w:tbl>
          <w:tblPr>
            <w:tblStyle w:val="Tablanormal11"/>
            <w:tblW w:w="0" w:type="auto"/>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68"/>
            <w:gridCol w:w="5954"/>
          </w:tblGrid>
          <w:tr w:rsidRPr="009E5D2E" w:rsidR="005E3BD6" w:rsidTr="00535E7E" w14:paraId="09A7BECC"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535E7E" w:rsidRDefault="005E3BD6" w14:paraId="50C3A1D3" w14:textId="77777777">
                <w:pPr>
                  <w:jc w:val="center"/>
                  <w:rPr>
                    <w:rFonts w:ascii="Nunito Sans" w:hAnsi="Nunito Sans" w:cs="Calibri" w:eastAsiaTheme="minorEastAsia"/>
                    <w:color w:val="FFFFFF" w:themeColor="background1"/>
                    <w:sz w:val="18"/>
                    <w:szCs w:val="18"/>
                  </w:rPr>
                </w:pPr>
                <w:r w:rsidRPr="009E5D2E">
                  <w:rPr>
                    <w:rFonts w:ascii="Nunito Sans" w:hAnsi="Nunito Sans" w:cs="Calibri" w:eastAsiaTheme="minorEastAsia"/>
                    <w:color w:val="FFFFFF" w:themeColor="background1"/>
                    <w:sz w:val="18"/>
                    <w:szCs w:val="18"/>
                  </w:rPr>
                  <w:t>Atributo</w:t>
                </w:r>
              </w:p>
            </w:tc>
            <w:tc>
              <w:tcPr>
                <w:tcW w:w="595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535E7E" w:rsidRDefault="005E3BD6" w14:paraId="7C23EF7E" w14:textId="77777777">
                <w:pPr>
                  <w:jc w:val="center"/>
                  <w:cnfStyle w:val="100000000000" w:firstRow="1" w:lastRow="0" w:firstColumn="0" w:lastColumn="0" w:oddVBand="0" w:evenVBand="0" w:oddHBand="0" w:evenHBand="0" w:firstRowFirstColumn="0" w:firstRowLastColumn="0" w:lastRowFirstColumn="0" w:lastRowLastColumn="0"/>
                  <w:rPr>
                    <w:rFonts w:ascii="Nunito Sans" w:hAnsi="Nunito Sans" w:cs="Calibri" w:eastAsiaTheme="minorEastAsia"/>
                    <w:color w:val="FFFFFF" w:themeColor="background1"/>
                    <w:sz w:val="18"/>
                    <w:szCs w:val="18"/>
                  </w:rPr>
                </w:pPr>
                <w:r w:rsidRPr="009E5D2E">
                  <w:rPr>
                    <w:rFonts w:ascii="Nunito Sans" w:hAnsi="Nunito Sans" w:cs="Calibri" w:eastAsiaTheme="minorEastAsia"/>
                    <w:color w:val="FFFFFF" w:themeColor="background1"/>
                    <w:sz w:val="18"/>
                    <w:szCs w:val="18"/>
                  </w:rPr>
                  <w:t>Descripción</w:t>
                </w:r>
              </w:p>
            </w:tc>
          </w:tr>
          <w:tr w:rsidRPr="009E5D2E" w:rsidR="005E3BD6" w:rsidTr="00535E7E" w14:paraId="7A7EF2D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034F3BB4"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Identificador</w:t>
                </w:r>
              </w:p>
            </w:tc>
            <w:tc>
              <w:tcPr>
                <w:tcW w:w="5954" w:type="dxa"/>
                <w:tcBorders>
                  <w:top w:val="single" w:color="FFFFFF" w:themeColor="background1" w:sz="4" w:space="0"/>
                  <w:left w:val="single" w:color="FFFFFF" w:themeColor="background1" w:sz="4" w:space="0"/>
                </w:tcBorders>
                <w:shd w:val="clear" w:color="auto" w:fill="auto"/>
                <w:vAlign w:val="center"/>
                <w:hideMark/>
              </w:tcPr>
              <w:p w:rsidRPr="009E5D2E" w:rsidR="005E3BD6" w:rsidP="003A33A3" w:rsidRDefault="005E3BD6" w14:paraId="11B22696"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RE–09</w:t>
                </w:r>
              </w:p>
            </w:tc>
          </w:tr>
          <w:tr w:rsidRPr="009E5D2E" w:rsidR="005E3BD6" w:rsidTr="00535E7E" w14:paraId="68FF8B15"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7336918B"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Nombre Corto</w:t>
                </w:r>
              </w:p>
            </w:tc>
            <w:tc>
              <w:tcPr>
                <w:tcW w:w="5954" w:type="dxa"/>
                <w:tcBorders>
                  <w:left w:val="single" w:color="FFFFFF" w:themeColor="background1" w:sz="4" w:space="0"/>
                </w:tcBorders>
                <w:vAlign w:val="center"/>
                <w:hideMark/>
              </w:tcPr>
              <w:p w:rsidRPr="009E5D2E" w:rsidR="005E3BD6" w:rsidP="003A33A3" w:rsidRDefault="005E3BD6" w14:paraId="0F7A7C4F"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Repositorio Sectorial de Componentes Reutilizables</w:t>
                </w:r>
              </w:p>
            </w:tc>
          </w:tr>
          <w:tr w:rsidRPr="009E5D2E" w:rsidR="005E3BD6" w:rsidTr="00535E7E" w14:paraId="0B76F47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2E87A129"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Descripción del Paradigma</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243E7764" w14:textId="77777777">
                <w:pPr>
                  <w:jc w:val="both"/>
                  <w:cnfStyle w:val="000000100000" w:firstRow="0" w:lastRow="0" w:firstColumn="0" w:lastColumn="0" w:oddVBand="0" w:evenVBand="0" w:oddHBand="1" w:evenHBand="0" w:firstRowFirstColumn="0" w:firstRowLastColumn="0" w:lastRowFirstColumn="0" w:lastRowLastColumn="0"/>
                  <w:rPr>
                    <w:sz w:val="18"/>
                    <w:szCs w:val="18"/>
                  </w:rPr>
                </w:pPr>
                <w:r w:rsidRPr="009E5D2E">
                  <w:rPr>
                    <w:rFonts w:ascii="Nunito Sans" w:hAnsi="Nunito Sans" w:eastAsia="Nunito Sans" w:cs="Nunito Sans"/>
                    <w:sz w:val="18"/>
                    <w:szCs w:val="18"/>
                  </w:rPr>
                  <w:t>Las entidades del sector desarrollan sus aplicaciones, servicios y módulos de manera aislada, sin un repositorio técnico unificado que permita reutilizar componentes previamente construidos. Esto genera duplicidad de desarrollos, altos costos, divergencia técnica y baja estandarización sectorial.</w:t>
                </w:r>
              </w:p>
            </w:tc>
          </w:tr>
          <w:tr w:rsidRPr="009E5D2E" w:rsidR="005E3BD6" w:rsidTr="00535E7E" w14:paraId="424ED41F"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D8D81D3"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Efectos Directos</w:t>
                </w:r>
              </w:p>
            </w:tc>
            <w:tc>
              <w:tcPr>
                <w:tcW w:w="5954" w:type="dxa"/>
                <w:tcBorders>
                  <w:left w:val="single" w:color="FFFFFF" w:themeColor="background1" w:sz="4" w:space="0"/>
                </w:tcBorders>
                <w:vAlign w:val="center"/>
                <w:hideMark/>
              </w:tcPr>
              <w:p w:rsidRPr="009E5D2E" w:rsidR="005E3BD6" w:rsidP="003A33A3" w:rsidRDefault="005E3BD6" w14:paraId="68BA5A82"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Duplicación de esfuerzos en construcción de software.</w:t>
                </w:r>
              </w:p>
              <w:p w:rsidRPr="009E5D2E" w:rsidR="005E3BD6" w:rsidP="003A33A3" w:rsidRDefault="005E3BD6" w14:paraId="502F2BEE"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Aumento de costos y tiempos de desarrollo.</w:t>
                </w:r>
              </w:p>
              <w:p w:rsidRPr="009E5D2E" w:rsidR="005E3BD6" w:rsidP="003A33A3" w:rsidRDefault="005E3BD6" w14:paraId="3CB52938"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Baja estandarización de código, APIs y modelos de datos.</w:t>
                </w:r>
              </w:p>
              <w:p w:rsidRPr="009E5D2E" w:rsidR="005E3BD6" w:rsidP="003A33A3" w:rsidRDefault="005E3BD6" w14:paraId="0CFB286E"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Mayor riesgo de brechas de seguridad por heterogeneidad de implementaciones.</w:t>
                </w:r>
              </w:p>
              <w:p w:rsidRPr="009E5D2E" w:rsidR="005E3BD6" w:rsidP="003A33A3" w:rsidRDefault="005E3BD6" w14:paraId="1A4ACAB2"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Dependencia elevada de proveedores y de desarrollos a la medida.</w:t>
                </w:r>
              </w:p>
            </w:tc>
          </w:tr>
          <w:tr w:rsidRPr="009E5D2E" w:rsidR="005E3BD6" w:rsidTr="00535E7E" w14:paraId="749A56F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52C91B6"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Descripción de la Ruptura</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79DED4E5" w14:textId="77777777">
                <w:pPr>
                  <w:jc w:val="both"/>
                  <w:cnfStyle w:val="000000100000" w:firstRow="0" w:lastRow="0" w:firstColumn="0" w:lastColumn="0" w:oddVBand="0" w:evenVBand="0" w:oddHBand="1" w:evenHBand="0" w:firstRowFirstColumn="0" w:firstRowLastColumn="0" w:lastRowFirstColumn="0" w:lastRowLastColumn="0"/>
                  <w:rPr>
                    <w:sz w:val="18"/>
                    <w:szCs w:val="18"/>
                  </w:rPr>
                </w:pPr>
                <w:r w:rsidRPr="009E5D2E">
                  <w:rPr>
                    <w:rFonts w:ascii="Nunito Sans" w:hAnsi="Nunito Sans" w:eastAsia="Nunito Sans" w:cs="Nunito Sans"/>
                    <w:sz w:val="18"/>
                    <w:szCs w:val="18"/>
                  </w:rPr>
                  <w:t>Crear un repositorio sectorial que consolide componentes reutilizables (módulos de software, librerías, plantillas, contratos API, esquemas de datos ). Este repositorio opera como un mecanismo colaborativo de referencia técnica que fortalece la estandarización, la interoperabilidad y la eficiencia en el desarrollo de sistemas sectoriales.</w:t>
                </w:r>
              </w:p>
            </w:tc>
          </w:tr>
          <w:tr w:rsidRPr="009E5D2E" w:rsidR="005E3BD6" w:rsidTr="00535E7E" w14:paraId="306231A4"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600732A5"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Cómo romper el Paradigma</w:t>
                </w:r>
              </w:p>
            </w:tc>
            <w:tc>
              <w:tcPr>
                <w:tcW w:w="5954" w:type="dxa"/>
                <w:tcBorders>
                  <w:left w:val="single" w:color="FFFFFF" w:themeColor="background1" w:sz="4" w:space="0"/>
                </w:tcBorders>
                <w:vAlign w:val="center"/>
                <w:hideMark/>
              </w:tcPr>
              <w:p w:rsidRPr="009E5D2E" w:rsidR="005E3BD6" w:rsidP="003A33A3" w:rsidRDefault="005E3BD6" w14:paraId="0F2ED9F5"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Definir lineamientos sectoriales para creación, diseño, documentación y versionamiento de componentes reutilizables.</w:t>
                </w:r>
              </w:p>
              <w:p w:rsidRPr="009E5D2E" w:rsidR="005E3BD6" w:rsidP="003A33A3" w:rsidRDefault="005E3BD6" w14:paraId="136C42B4"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Implementar una plataforma sectorial de repositorios con control de versiones, trazabilidad y gestión de artefactos.</w:t>
                </w:r>
              </w:p>
              <w:p w:rsidRPr="009E5D2E" w:rsidR="005E3BD6" w:rsidP="003A33A3" w:rsidRDefault="005E3BD6" w14:paraId="3B47BDCC"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Crear un Comité Técnico Sectorial encargado de validar, publicar y mantener los componentes oficiales.</w:t>
                </w:r>
              </w:p>
              <w:p w:rsidRPr="009E5D2E" w:rsidR="005E3BD6" w:rsidP="003A33A3" w:rsidRDefault="005E3BD6" w14:paraId="4A48FCBF"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Integrar el repositorio con los lineamientos del MRAE y el Marco de Interoperabilidad de MinTIC.</w:t>
                </w:r>
              </w:p>
              <w:p w:rsidRPr="009E5D2E" w:rsidR="005E3BD6" w:rsidP="003A33A3" w:rsidRDefault="005E3BD6" w14:paraId="6D1509B8"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Establecer que nuevos desarrollos sectoriales incluyan artefactos liberables al repositorio.</w:t>
                </w:r>
              </w:p>
              <w:p w:rsidRPr="009E5D2E" w:rsidR="005E3BD6" w:rsidP="003A33A3" w:rsidRDefault="005E3BD6" w14:paraId="5B22CBFB"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Capacitar a los equipos en arquitectura modular y reutilización de componentes.</w:t>
                </w:r>
              </w:p>
              <w:p w:rsidRPr="009E5D2E" w:rsidR="005E3BD6" w:rsidP="003A33A3" w:rsidRDefault="005E3BD6" w14:paraId="60F84B00"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p>
            </w:tc>
          </w:tr>
          <w:tr w:rsidRPr="009E5D2E" w:rsidR="005E3BD6" w:rsidTr="00535E7E" w14:paraId="7F6B25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421736F8"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lastRenderedPageBreak/>
                  <w:t>Impacto Esperado</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0FA4B27F"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Reducción de costos y tiempos de desarrollo sectorial.</w:t>
                </w:r>
              </w:p>
              <w:p w:rsidRPr="009E5D2E" w:rsidR="005E3BD6" w:rsidP="003A33A3" w:rsidRDefault="005E3BD6" w14:paraId="3C6062EA"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Incremento de la calidad técnica y de seguridad del software.</w:t>
                </w:r>
              </w:p>
              <w:p w:rsidRPr="009E5D2E" w:rsidR="005E3BD6" w:rsidP="003A33A3" w:rsidRDefault="005E3BD6" w14:paraId="58BF8E5D"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Cohesión y estandarización arquitectónica entre entidades.</w:t>
                </w:r>
              </w:p>
              <w:p w:rsidRPr="009E5D2E" w:rsidR="005E3BD6" w:rsidP="003A33A3" w:rsidRDefault="005E3BD6" w14:paraId="47C55A14"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Fortalecimiento del ecosistema digital sectorial bajo principios de modularidad y colaboración.</w:t>
                </w:r>
              </w:p>
              <w:p w:rsidRPr="009E5D2E" w:rsidR="005E3BD6" w:rsidP="003A33A3" w:rsidRDefault="005E3BD6" w14:paraId="791D985D"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eastAsia="Nunito Sans" w:cs="Nunito Sans"/>
                    <w:sz w:val="18"/>
                    <w:szCs w:val="18"/>
                  </w:rPr>
                </w:pPr>
                <w:r w:rsidRPr="009E5D2E">
                  <w:rPr>
                    <w:rFonts w:ascii="Nunito Sans" w:hAnsi="Nunito Sans" w:eastAsia="Nunito Sans" w:cs="Nunito Sans"/>
                    <w:sz w:val="18"/>
                    <w:szCs w:val="18"/>
                  </w:rPr>
                  <w:t>Menor dependencia de proveedores y mayor sostenibilidad tecnológica.</w:t>
                </w:r>
              </w:p>
            </w:tc>
          </w:tr>
          <w:tr w:rsidRPr="009E5D2E" w:rsidR="005E3BD6" w:rsidTr="00535E7E" w14:paraId="60C8EED0"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4C8DEACB"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Grupos de Interés</w:t>
                </w:r>
              </w:p>
            </w:tc>
            <w:tc>
              <w:tcPr>
                <w:tcW w:w="5954" w:type="dxa"/>
                <w:tcBorders>
                  <w:left w:val="single" w:color="FFFFFF" w:themeColor="background1" w:sz="4" w:space="0"/>
                </w:tcBorders>
                <w:vAlign w:val="center"/>
                <w:hideMark/>
              </w:tcPr>
              <w:p w:rsidRPr="009E5D2E" w:rsidR="005E3BD6" w:rsidP="003A33A3" w:rsidRDefault="005E3BD6" w14:paraId="7B755EF6"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Ciudadanos, empresas, academia, entidades sectoriales.</w:t>
                </w:r>
              </w:p>
            </w:tc>
          </w:tr>
          <w:tr w:rsidRPr="009E5D2E" w:rsidR="005E3BD6" w:rsidTr="00535E7E" w14:paraId="5934691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177E8DB0"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Dominio MRAE</w:t>
                </w:r>
              </w:p>
            </w:tc>
            <w:tc>
              <w:tcPr>
                <w:tcW w:w="5954" w:type="dxa"/>
                <w:tcBorders>
                  <w:left w:val="single" w:color="FFFFFF" w:themeColor="background1" w:sz="4" w:space="0"/>
                </w:tcBorders>
                <w:shd w:val="clear" w:color="auto" w:fill="auto"/>
                <w:vAlign w:val="center"/>
                <w:hideMark/>
              </w:tcPr>
              <w:p w:rsidRPr="009E5D2E" w:rsidR="005E3BD6" w:rsidP="003A33A3" w:rsidRDefault="005E3BD6" w14:paraId="6D0E5088" w14:textId="77777777">
                <w:pPr>
                  <w:jc w:val="both"/>
                  <w:cnfStyle w:val="000000100000" w:firstRow="0" w:lastRow="0" w:firstColumn="0" w:lastColumn="0" w:oddVBand="0" w:evenVBand="0" w:oddHBand="1"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Arquitectura de Sistemas de Información</w:t>
                </w:r>
              </w:p>
            </w:tc>
          </w:tr>
          <w:tr w:rsidRPr="009E5D2E" w:rsidR="005E3BD6" w:rsidTr="00535E7E" w14:paraId="76D4066B" w14:textId="77777777">
            <w:tc>
              <w:tcPr>
                <w:cnfStyle w:val="001000000000" w:firstRow="0" w:lastRow="0" w:firstColumn="1" w:lastColumn="0" w:oddVBand="0" w:evenVBand="0" w:oddHBand="0" w:evenHBand="0" w:firstRowFirstColumn="0" w:firstRowLastColumn="0" w:lastRowFirstColumn="0" w:lastRowLastColumn="0"/>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E5D2E" w:rsidR="005E3BD6" w:rsidP="00B4771C" w:rsidRDefault="005E3BD6" w14:paraId="4AAF8E29" w14:textId="77777777">
                <w:pPr>
                  <w:rPr>
                    <w:rFonts w:ascii="Nunito Sans" w:hAnsi="Nunito Sans" w:cs="Calibri" w:eastAsiaTheme="minorEastAsia"/>
                    <w:b w:val="0"/>
                    <w:bCs w:val="0"/>
                    <w:color w:val="FFFFFF" w:themeColor="background1"/>
                    <w:sz w:val="18"/>
                    <w:szCs w:val="18"/>
                  </w:rPr>
                </w:pPr>
                <w:r w:rsidRPr="009E5D2E">
                  <w:rPr>
                    <w:rFonts w:ascii="Nunito Sans" w:hAnsi="Nunito Sans" w:cs="Calibri" w:eastAsiaTheme="minorEastAsia"/>
                    <w:b w:val="0"/>
                    <w:bCs w:val="0"/>
                    <w:color w:val="FFFFFF" w:themeColor="background1"/>
                    <w:sz w:val="18"/>
                    <w:szCs w:val="18"/>
                  </w:rPr>
                  <w:t>Clasificación de Impacto</w:t>
                </w:r>
              </w:p>
            </w:tc>
            <w:tc>
              <w:tcPr>
                <w:tcW w:w="5954" w:type="dxa"/>
                <w:tcBorders>
                  <w:left w:val="single" w:color="FFFFFF" w:themeColor="background1" w:sz="4" w:space="0"/>
                </w:tcBorders>
                <w:vAlign w:val="center"/>
                <w:hideMark/>
              </w:tcPr>
              <w:p w:rsidRPr="009E5D2E" w:rsidR="005E3BD6" w:rsidP="003A33A3" w:rsidRDefault="005E3BD6" w14:paraId="4BEDA4B1" w14:textId="77777777">
                <w:pPr>
                  <w:jc w:val="both"/>
                  <w:cnfStyle w:val="000000000000" w:firstRow="0" w:lastRow="0" w:firstColumn="0" w:lastColumn="0" w:oddVBand="0" w:evenVBand="0" w:oddHBand="0" w:evenHBand="0" w:firstRowFirstColumn="0" w:firstRowLastColumn="0" w:lastRowFirstColumn="0" w:lastRowLastColumn="0"/>
                  <w:rPr>
                    <w:rFonts w:ascii="Nunito Sans" w:hAnsi="Nunito Sans" w:cs="Calibri" w:eastAsiaTheme="minorEastAsia"/>
                    <w:sz w:val="18"/>
                    <w:szCs w:val="18"/>
                  </w:rPr>
                </w:pPr>
                <w:r w:rsidRPr="009E5D2E">
                  <w:rPr>
                    <w:rFonts w:ascii="Nunito Sans" w:hAnsi="Nunito Sans" w:cs="Calibri" w:eastAsiaTheme="minorEastAsia"/>
                    <w:sz w:val="18"/>
                    <w:szCs w:val="18"/>
                  </w:rPr>
                  <w:t>Medio</w:t>
                </w:r>
              </w:p>
            </w:tc>
          </w:tr>
        </w:tbl>
        <w:p w:rsidR="005E3BD6" w:rsidP="005E3BD6" w:rsidRDefault="005E3BD6" w14:paraId="3F073B32" w14:textId="77777777">
          <w:pPr>
            <w:rPr>
              <w:rFonts w:ascii="Nunito Sans" w:hAnsi="Nunito Sans" w:cs="Calibri" w:eastAsiaTheme="minorEastAsia"/>
              <w:i/>
              <w:iCs/>
              <w:color w:val="E1AF3B"/>
              <w:sz w:val="28"/>
              <w:szCs w:val="28"/>
              <w:lang w:val="es-ES"/>
            </w:rPr>
          </w:pPr>
        </w:p>
        <w:tbl>
          <w:tblPr>
            <w:tblStyle w:val="Tablaconcuadrcula"/>
            <w:tblW w:w="0" w:type="auto"/>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68"/>
            <w:gridCol w:w="5956"/>
          </w:tblGrid>
          <w:tr w:rsidRPr="00FD4AD2" w:rsidR="005E3BD6" w:rsidTr="003A33A3" w14:paraId="0EF335E8"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3A33A3" w:rsidRDefault="005E3BD6" w14:paraId="1376BE9D" w14:textId="77777777">
                <w:pPr>
                  <w:jc w:val="center"/>
                  <w:rPr>
                    <w:rFonts w:ascii="Nunito Sans" w:hAnsi="Nunito Sans" w:cs="Calibri" w:eastAsiaTheme="minorEastAsia"/>
                    <w:b/>
                    <w:bCs/>
                    <w:iCs/>
                    <w:color w:val="FFFFFF" w:themeColor="background1"/>
                    <w:sz w:val="18"/>
                    <w:szCs w:val="18"/>
                  </w:rPr>
                </w:pPr>
                <w:r w:rsidRPr="00FD4AD2">
                  <w:rPr>
                    <w:rFonts w:ascii="Nunito Sans" w:hAnsi="Nunito Sans" w:cs="Calibri" w:eastAsiaTheme="minorEastAsia"/>
                    <w:b/>
                    <w:bCs/>
                    <w:iCs/>
                    <w:color w:val="FFFFFF" w:themeColor="background1"/>
                    <w:sz w:val="18"/>
                    <w:szCs w:val="18"/>
                  </w:rPr>
                  <w:t>Atributo</w:t>
                </w:r>
              </w:p>
            </w:tc>
            <w:tc>
              <w:tcPr>
                <w:tcW w:w="595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3A33A3" w:rsidRDefault="005E3BD6" w14:paraId="4D7B5185" w14:textId="77777777">
                <w:pPr>
                  <w:jc w:val="center"/>
                  <w:rPr>
                    <w:rFonts w:ascii="Nunito Sans" w:hAnsi="Nunito Sans" w:cs="Calibri" w:eastAsiaTheme="minorEastAsia"/>
                    <w:b/>
                    <w:bCs/>
                    <w:iCs/>
                    <w:color w:val="FFFFFF" w:themeColor="background1"/>
                    <w:sz w:val="18"/>
                    <w:szCs w:val="18"/>
                  </w:rPr>
                </w:pPr>
                <w:r w:rsidRPr="00FD4AD2">
                  <w:rPr>
                    <w:rFonts w:ascii="Nunito Sans" w:hAnsi="Nunito Sans" w:cs="Calibri" w:eastAsiaTheme="minorEastAsia"/>
                    <w:b/>
                    <w:bCs/>
                    <w:iCs/>
                    <w:color w:val="FFFFFF" w:themeColor="background1"/>
                    <w:sz w:val="18"/>
                    <w:szCs w:val="18"/>
                  </w:rPr>
                  <w:t>Descripción</w:t>
                </w:r>
              </w:p>
            </w:tc>
          </w:tr>
          <w:tr w:rsidRPr="00FD4AD2" w:rsidR="005E3BD6" w:rsidTr="003A33A3" w14:paraId="7367A768"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2367CFE9"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Identificador</w:t>
                </w:r>
              </w:p>
            </w:tc>
            <w:tc>
              <w:tcPr>
                <w:tcW w:w="5956" w:type="dxa"/>
                <w:tcBorders>
                  <w:top w:val="single" w:color="FFFFFF" w:themeColor="background1" w:sz="4" w:space="0"/>
                  <w:left w:val="single" w:color="FFFFFF" w:themeColor="background1" w:sz="4" w:space="0"/>
                </w:tcBorders>
                <w:vAlign w:val="center"/>
              </w:tcPr>
              <w:p w:rsidRPr="00FD4AD2" w:rsidR="005E3BD6" w:rsidP="003A33A3" w:rsidRDefault="005E3BD6" w14:paraId="609FF42F"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RE–14</w:t>
                </w:r>
              </w:p>
            </w:tc>
          </w:tr>
          <w:tr w:rsidRPr="00FD4AD2" w:rsidR="005E3BD6" w:rsidTr="003A33A3" w14:paraId="605A3B3D"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6A8E360B"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Nombre Corto</w:t>
                </w:r>
              </w:p>
            </w:tc>
            <w:tc>
              <w:tcPr>
                <w:tcW w:w="5956" w:type="dxa"/>
                <w:tcBorders>
                  <w:left w:val="single" w:color="FFFFFF" w:themeColor="background1" w:sz="4" w:space="0"/>
                </w:tcBorders>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Pr="00FD4AD2" w:rsidR="005E3BD6" w:rsidTr="00B4771C" w14:paraId="095E1A92" w14:textId="77777777">
                  <w:trPr>
                    <w:tblCellSpacing w:w="15" w:type="dxa"/>
                  </w:trPr>
                  <w:tc>
                    <w:tcPr>
                      <w:tcW w:w="0" w:type="auto"/>
                      <w:vAlign w:val="center"/>
                      <w:hideMark/>
                    </w:tcPr>
                    <w:p w:rsidRPr="00FD4AD2" w:rsidR="005E3BD6" w:rsidP="003A33A3" w:rsidRDefault="005E3BD6" w14:paraId="6CBC282C" w14:textId="77777777">
                      <w:pPr>
                        <w:jc w:val="both"/>
                        <w:rPr>
                          <w:rFonts w:ascii="Nunito Sans" w:hAnsi="Nunito Sans" w:cs="Calibri" w:eastAsiaTheme="minorEastAsia"/>
                          <w:iCs/>
                          <w:sz w:val="18"/>
                          <w:szCs w:val="18"/>
                        </w:rPr>
                      </w:pPr>
                    </w:p>
                  </w:tc>
                </w:tr>
              </w:tbl>
              <w:p w:rsidRPr="00FD4AD2" w:rsidR="005E3BD6" w:rsidP="003A33A3" w:rsidRDefault="005E3BD6" w14:paraId="7A2E0CCE" w14:textId="77777777">
                <w:pPr>
                  <w:jc w:val="both"/>
                  <w:rPr>
                    <w:rFonts w:ascii="Nunito Sans" w:hAnsi="Nunito Sans" w:cs="Calibri" w:eastAsiaTheme="minorEastAsia"/>
                    <w:iCs/>
                    <w:vanish/>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6"/>
                </w:tblGrid>
                <w:tr w:rsidRPr="00FD4AD2" w:rsidR="005E3BD6" w:rsidTr="00B4771C" w14:paraId="5E5DDD7A" w14:textId="77777777">
                  <w:trPr>
                    <w:tblCellSpacing w:w="15" w:type="dxa"/>
                  </w:trPr>
                  <w:tc>
                    <w:tcPr>
                      <w:tcW w:w="0" w:type="auto"/>
                      <w:vAlign w:val="center"/>
                      <w:hideMark/>
                    </w:tcPr>
                    <w:p w:rsidRPr="00FD4AD2" w:rsidR="005E3BD6" w:rsidP="003A33A3" w:rsidRDefault="005E3BD6" w14:paraId="53AE3CC3"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Gestor Normativo Sectorial</w:t>
                      </w:r>
                    </w:p>
                  </w:tc>
                </w:tr>
              </w:tbl>
              <w:p w:rsidRPr="00FD4AD2" w:rsidR="005E3BD6" w:rsidP="003A33A3" w:rsidRDefault="005E3BD6" w14:paraId="52068CF4" w14:textId="77777777">
                <w:pPr>
                  <w:jc w:val="both"/>
                  <w:rPr>
                    <w:rFonts w:ascii="Nunito Sans" w:hAnsi="Nunito Sans" w:cs="Calibri" w:eastAsiaTheme="minorEastAsia"/>
                    <w:iCs/>
                    <w:sz w:val="18"/>
                    <w:szCs w:val="18"/>
                  </w:rPr>
                </w:pPr>
              </w:p>
            </w:tc>
          </w:tr>
          <w:tr w:rsidRPr="00FD4AD2" w:rsidR="005E3BD6" w:rsidTr="003A33A3" w14:paraId="2BAAB597"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009F81C2"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Descripción del Paradigma</w:t>
                </w:r>
              </w:p>
            </w:tc>
            <w:tc>
              <w:tcPr>
                <w:tcW w:w="5956" w:type="dxa"/>
                <w:tcBorders>
                  <w:left w:val="single" w:color="FFFFFF" w:themeColor="background1" w:sz="4" w:space="0"/>
                </w:tcBorders>
                <w:vAlign w:val="center"/>
              </w:tcPr>
              <w:p w:rsidRPr="00FD4AD2" w:rsidR="005E3BD6" w:rsidP="003A33A3" w:rsidRDefault="005E3BD6" w14:paraId="0241A6DA"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Gestión fragmentada de la información normativa y jurídica del sector minero-energético, basada en documentos y repositorios dispersos, sin un gestor normativo sectorial unificado.</w:t>
                </w:r>
              </w:p>
            </w:tc>
          </w:tr>
          <w:tr w:rsidRPr="00FD4AD2" w:rsidR="005E3BD6" w:rsidTr="003A33A3" w14:paraId="61443044"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4F053044"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Efectos Directos</w:t>
                </w:r>
              </w:p>
            </w:tc>
            <w:tc>
              <w:tcPr>
                <w:tcW w:w="5956" w:type="dxa"/>
                <w:tcBorders>
                  <w:left w:val="single" w:color="FFFFFF" w:themeColor="background1" w:sz="4" w:space="0"/>
                </w:tcBorders>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Pr="00FD4AD2" w:rsidR="005E3BD6" w:rsidTr="00B4771C" w14:paraId="0D6C490D" w14:textId="77777777">
                  <w:trPr>
                    <w:tblCellSpacing w:w="15" w:type="dxa"/>
                  </w:trPr>
                  <w:tc>
                    <w:tcPr>
                      <w:tcW w:w="0" w:type="auto"/>
                      <w:vAlign w:val="center"/>
                      <w:hideMark/>
                    </w:tcPr>
                    <w:p w:rsidRPr="00FD4AD2" w:rsidR="005E3BD6" w:rsidP="003A33A3" w:rsidRDefault="005E3BD6" w14:paraId="15197A0F" w14:textId="77777777">
                      <w:pPr>
                        <w:jc w:val="both"/>
                        <w:rPr>
                          <w:rFonts w:ascii="Nunito Sans" w:hAnsi="Nunito Sans" w:cs="Calibri" w:eastAsiaTheme="minorEastAsia"/>
                          <w:iCs/>
                          <w:sz w:val="18"/>
                          <w:szCs w:val="18"/>
                        </w:rPr>
                      </w:pPr>
                    </w:p>
                  </w:tc>
                </w:tr>
              </w:tbl>
              <w:p w:rsidRPr="00FD4AD2" w:rsidR="005E3BD6" w:rsidP="003A33A3" w:rsidRDefault="005E3BD6" w14:paraId="0E3B22A9" w14:textId="77777777">
                <w:pPr>
                  <w:jc w:val="both"/>
                  <w:rPr>
                    <w:rFonts w:ascii="Nunito Sans" w:hAnsi="Nunito Sans" w:cs="Calibri" w:eastAsiaTheme="minorEastAsia"/>
                    <w:iCs/>
                    <w:vanish/>
                    <w:sz w:val="18"/>
                    <w:szCs w:val="18"/>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740"/>
                </w:tblGrid>
                <w:tr w:rsidRPr="00FD4AD2" w:rsidR="005E3BD6" w:rsidTr="00B4771C" w14:paraId="4FDFF761" w14:textId="77777777">
                  <w:trPr>
                    <w:tblCellSpacing w:w="15" w:type="dxa"/>
                  </w:trPr>
                  <w:tc>
                    <w:tcPr>
                      <w:tcW w:w="0" w:type="auto"/>
                      <w:vAlign w:val="center"/>
                      <w:hideMark/>
                    </w:tcPr>
                    <w:p w:rsidRPr="00FD4AD2" w:rsidR="005E3BD6" w:rsidP="003A33A3" w:rsidRDefault="005E3BD6" w14:paraId="0DAD63F2"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Desactualización normativa, dificultades de acceso a información confiable, falta de trazabilidad y aplicación no homogénea de la normativa sectorial.</w:t>
                      </w:r>
                    </w:p>
                  </w:tc>
                </w:tr>
              </w:tbl>
              <w:p w:rsidRPr="00FD4AD2" w:rsidR="005E3BD6" w:rsidP="003A33A3" w:rsidRDefault="005E3BD6" w14:paraId="5E22347B" w14:textId="77777777">
                <w:pPr>
                  <w:jc w:val="both"/>
                  <w:rPr>
                    <w:rFonts w:ascii="Nunito Sans" w:hAnsi="Nunito Sans" w:cs="Calibri" w:eastAsiaTheme="minorEastAsia"/>
                    <w:iCs/>
                    <w:sz w:val="18"/>
                    <w:szCs w:val="18"/>
                  </w:rPr>
                </w:pPr>
              </w:p>
            </w:tc>
          </w:tr>
          <w:tr w:rsidRPr="00FD4AD2" w:rsidR="005E3BD6" w:rsidTr="003A33A3" w14:paraId="1EA4745C"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0FFC9BE3"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Descripción de la Ruptura</w:t>
                </w:r>
              </w:p>
            </w:tc>
            <w:tc>
              <w:tcPr>
                <w:tcW w:w="5956" w:type="dxa"/>
                <w:tcBorders>
                  <w:left w:val="single" w:color="FFFFFF" w:themeColor="background1" w:sz="4" w:space="0"/>
                </w:tcBorders>
                <w:vAlign w:val="center"/>
              </w:tcPr>
              <w:p w:rsidRPr="00FD4AD2" w:rsidR="005E3BD6" w:rsidP="003A33A3" w:rsidRDefault="005E3BD6" w14:paraId="68F51E9E"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Implementación de un gestor normativo sectorial que consolide y fortalezca la gestión de la información jurídica como activo estratégico del sector minero-energético.</w:t>
                </w:r>
              </w:p>
            </w:tc>
          </w:tr>
          <w:tr w:rsidRPr="00FD4AD2" w:rsidR="005E3BD6" w:rsidTr="003A33A3" w14:paraId="0353C90F"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2610A28C"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Cómo romper el Paradigma</w:t>
                </w:r>
              </w:p>
            </w:tc>
            <w:tc>
              <w:tcPr>
                <w:tcW w:w="5956" w:type="dxa"/>
                <w:tcBorders>
                  <w:left w:val="single" w:color="FFFFFF" w:themeColor="background1" w:sz="4" w:space="0"/>
                </w:tcBorders>
                <w:vAlign w:val="center"/>
              </w:tcPr>
              <w:p w:rsidRPr="00FD4AD2" w:rsidR="005E3BD6" w:rsidP="003A33A3" w:rsidRDefault="005E3BD6" w14:paraId="6738A661"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Definición e implementación de un gestor normativo sectorial con modelo de información estructurado, control de versiones, trazabilidad y articulación con procesos, proyectos e iniciativas del PETI Sectorial.</w:t>
                </w:r>
              </w:p>
            </w:tc>
          </w:tr>
          <w:tr w:rsidRPr="00FD4AD2" w:rsidR="005E3BD6" w:rsidTr="003A33A3" w14:paraId="4C07A8E1"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4054F48E"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Impacto Esperado</w:t>
                </w:r>
              </w:p>
            </w:tc>
            <w:tc>
              <w:tcPr>
                <w:tcW w:w="5956" w:type="dxa"/>
                <w:tcBorders>
                  <w:left w:val="single" w:color="FFFFFF" w:themeColor="background1" w:sz="4" w:space="0"/>
                </w:tcBorders>
                <w:vAlign w:val="center"/>
              </w:tcPr>
              <w:p w:rsidRPr="00FD4AD2" w:rsidR="005E3BD6" w:rsidP="003A33A3" w:rsidRDefault="005E3BD6" w14:paraId="1636B698"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Información normativa y jurídica sectorial consolidada, actualizada y trazable, que soporte la planeación, el cumplimiento regulatorio y la toma de decisiones sectoriales.</w:t>
                </w:r>
              </w:p>
            </w:tc>
          </w:tr>
          <w:tr w:rsidRPr="00FD4AD2" w:rsidR="005E3BD6" w:rsidTr="003A33A3" w14:paraId="3CB7F2E0"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5CE69A66"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Grupos de Interés</w:t>
                </w:r>
              </w:p>
            </w:tc>
            <w:tc>
              <w:tcPr>
                <w:tcW w:w="5956" w:type="dxa"/>
                <w:tcBorders>
                  <w:left w:val="single" w:color="FFFFFF" w:themeColor="background1" w:sz="4" w:space="0"/>
                </w:tcBorders>
                <w:vAlign w:val="center"/>
              </w:tcPr>
              <w:p w:rsidRPr="00FD4AD2" w:rsidR="005E3BD6" w:rsidP="003A33A3" w:rsidRDefault="005E3BD6" w14:paraId="15BE3305"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Ciudadanos, empresas, academia, entidades sectoriales.</w:t>
                </w:r>
              </w:p>
            </w:tc>
          </w:tr>
          <w:tr w:rsidRPr="00FD4AD2" w:rsidR="005E3BD6" w:rsidTr="003A33A3" w14:paraId="4A9DB324"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77ED4DB8"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Dominio MRAE</w:t>
                </w:r>
              </w:p>
            </w:tc>
            <w:tc>
              <w:tcPr>
                <w:tcW w:w="5956" w:type="dxa"/>
                <w:tcBorders>
                  <w:left w:val="single" w:color="FFFFFF" w:themeColor="background1" w:sz="4" w:space="0"/>
                </w:tcBorders>
                <w:vAlign w:val="center"/>
              </w:tcPr>
              <w:p w:rsidRPr="00FD4AD2" w:rsidR="005E3BD6" w:rsidP="003A33A3" w:rsidRDefault="005E3BD6" w14:paraId="65CB7D95" w14:textId="77777777">
                <w:pPr>
                  <w:ind w:left="1440" w:hanging="1440"/>
                  <w:jc w:val="both"/>
                  <w:rPr>
                    <w:rFonts w:ascii="Nunito Sans" w:hAnsi="Nunito Sans" w:cs="Calibri" w:eastAsiaTheme="minorEastAsia"/>
                    <w:iCs/>
                    <w:sz w:val="18"/>
                    <w:szCs w:val="18"/>
                  </w:rPr>
                </w:pPr>
                <w:r w:rsidRPr="00FD4AD2">
                  <w:rPr>
                    <w:rFonts w:ascii="Nunito Sans" w:hAnsi="Nunito Sans" w:cs="Calibri" w:eastAsiaTheme="minorEastAsia"/>
                    <w:sz w:val="18"/>
                    <w:szCs w:val="18"/>
                  </w:rPr>
                  <w:t>Arquitectura de Sistemas de Información</w:t>
                </w:r>
              </w:p>
            </w:tc>
          </w:tr>
          <w:tr w:rsidRPr="00FD4AD2" w:rsidR="005E3BD6" w:rsidTr="003A33A3" w14:paraId="4FB0BAAF" w14:textId="77777777">
            <w:tc>
              <w:tcPr>
                <w:tcW w:w="226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FD4AD2" w:rsidR="005E3BD6" w:rsidP="00B4771C" w:rsidRDefault="005E3BD6" w14:paraId="1EEE4924" w14:textId="77777777">
                <w:pPr>
                  <w:rPr>
                    <w:rFonts w:ascii="Nunito Sans" w:hAnsi="Nunito Sans" w:cs="Calibri" w:eastAsiaTheme="minorEastAsia"/>
                    <w:iCs/>
                    <w:color w:val="FFFFFF" w:themeColor="background1"/>
                    <w:sz w:val="18"/>
                    <w:szCs w:val="18"/>
                  </w:rPr>
                </w:pPr>
                <w:r w:rsidRPr="00FD4AD2">
                  <w:rPr>
                    <w:rFonts w:ascii="Nunito Sans" w:hAnsi="Nunito Sans" w:cs="Calibri" w:eastAsiaTheme="minorEastAsia"/>
                    <w:iCs/>
                    <w:color w:val="FFFFFF" w:themeColor="background1"/>
                    <w:sz w:val="18"/>
                    <w:szCs w:val="18"/>
                  </w:rPr>
                  <w:t>Clasificación de Impacto</w:t>
                </w:r>
              </w:p>
            </w:tc>
            <w:tc>
              <w:tcPr>
                <w:tcW w:w="5956" w:type="dxa"/>
                <w:tcBorders>
                  <w:left w:val="single" w:color="FFFFFF" w:themeColor="background1" w:sz="4" w:space="0"/>
                </w:tcBorders>
                <w:vAlign w:val="center"/>
              </w:tcPr>
              <w:p w:rsidRPr="00FD4AD2" w:rsidR="005E3BD6" w:rsidP="003A33A3" w:rsidRDefault="005E3BD6" w14:paraId="3678B47C" w14:textId="77777777">
                <w:pPr>
                  <w:jc w:val="both"/>
                  <w:rPr>
                    <w:rFonts w:ascii="Nunito Sans" w:hAnsi="Nunito Sans" w:cs="Calibri" w:eastAsiaTheme="minorEastAsia"/>
                    <w:iCs/>
                    <w:sz w:val="18"/>
                    <w:szCs w:val="18"/>
                  </w:rPr>
                </w:pPr>
                <w:r w:rsidRPr="00FD4AD2">
                  <w:rPr>
                    <w:rFonts w:ascii="Nunito Sans" w:hAnsi="Nunito Sans" w:cs="Calibri" w:eastAsiaTheme="minorEastAsia"/>
                    <w:iCs/>
                    <w:sz w:val="18"/>
                    <w:szCs w:val="18"/>
                  </w:rPr>
                  <w:t>Alto</w:t>
                </w:r>
              </w:p>
            </w:tc>
          </w:tr>
        </w:tbl>
        <w:p w:rsidRPr="00EF5DE4" w:rsidR="005E3BD6" w:rsidP="005E3BD6" w:rsidRDefault="005E3BD6" w14:paraId="49F6A9E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8D6A79" w:rsidR="005E3BD6" w:rsidRDefault="005E3BD6" w14:paraId="5532808A" w14:textId="7EEB9388">
          <w:pPr>
            <w:pStyle w:val="Ttulo2"/>
            <w:numPr>
              <w:ilvl w:val="1"/>
              <w:numId w:val="35"/>
            </w:numPr>
          </w:pPr>
          <w:bookmarkStart w:name="_Toc886855567" w:id="186"/>
          <w:bookmarkStart w:name="_Hlk213796405" w:id="187"/>
          <w:bookmarkStart w:name="_Toc234234474" w:id="188"/>
          <w:r w:rsidRPr="008D6A79">
            <w:t xml:space="preserve">Situación Actual (AS-IS) Infraestructura y </w:t>
          </w:r>
          <w:r w:rsidR="00E000B5">
            <w:t>S</w:t>
          </w:r>
          <w:r w:rsidRPr="008D6A79">
            <w:t xml:space="preserve">ervicios </w:t>
          </w:r>
          <w:r w:rsidR="00E000B5">
            <w:t>T</w:t>
          </w:r>
          <w:r w:rsidRPr="008D6A79">
            <w:t>ecnológicos Sectorial</w:t>
          </w:r>
          <w:bookmarkEnd w:id="186"/>
          <w:bookmarkEnd w:id="187"/>
          <w:bookmarkEnd w:id="188"/>
        </w:p>
        <w:p w:rsidR="005E3BD6" w:rsidP="005E3BD6" w:rsidRDefault="005E3BD6" w14:paraId="0D7A12D7" w14:textId="77777777">
          <w:pPr>
            <w:spacing w:before="240" w:after="240"/>
            <w:jc w:val="both"/>
            <w:rPr>
              <w:rFonts w:ascii="Nunito Sans" w:hAnsi="Nunito Sans" w:eastAsia="Nunito Sans" w:cs="Nunito Sans"/>
              <w:sz w:val="22"/>
              <w:szCs w:val="22"/>
              <w:lang w:val="es-ES"/>
            </w:rPr>
          </w:pPr>
          <w:r w:rsidRPr="0E79E4E6">
            <w:rPr>
              <w:rFonts w:ascii="Nunito Sans" w:hAnsi="Nunito Sans" w:eastAsia="Nunito Sans" w:cs="Nunito Sans"/>
              <w:sz w:val="22"/>
              <w:szCs w:val="22"/>
              <w:lang w:val="es-ES"/>
            </w:rPr>
            <w:t>El sector minero-energético presenta una infraestructura tecnológica heterogénea, derivada de procesos de madurez y decisiones de inversión diferenciadas entre las entidades adscritas. En términos generales, algunas entidades del sector disponen de capacidades relevantes en plataformas de servidores, virtualización, almacenamiento y seguridad que permiten soportar adecuadamente sus operaciones misionales; sin embargo, dichas capacidades no se encuentran aún articuladas bajo un enfoque sectorial común.</w:t>
          </w:r>
        </w:p>
        <w:p w:rsidR="005E3BD6" w:rsidP="005E3BD6" w:rsidRDefault="005E3BD6" w14:paraId="1F317A61" w14:textId="77777777">
          <w:pPr>
            <w:spacing w:before="240" w:after="240"/>
            <w:jc w:val="both"/>
            <w:rPr>
              <w:rFonts w:ascii="Nunito Sans" w:hAnsi="Nunito Sans" w:eastAsia="Nunito Sans" w:cs="Nunito Sans"/>
              <w:sz w:val="22"/>
              <w:szCs w:val="22"/>
              <w:lang w:val="es-ES"/>
            </w:rPr>
          </w:pPr>
          <w:r w:rsidRPr="0E79E4E6">
            <w:rPr>
              <w:rFonts w:ascii="Nunito Sans" w:hAnsi="Nunito Sans" w:eastAsia="Nunito Sans" w:cs="Nunito Sans"/>
              <w:sz w:val="22"/>
              <w:szCs w:val="22"/>
              <w:lang w:val="es-ES"/>
            </w:rPr>
            <w:t xml:space="preserve">En el componente de servidores y virtualización, varias entidades operan sobre plataformas locales (on-premise), con soluciones de hiperconvergencia, virtualización en alta disponibilidad y </w:t>
          </w:r>
          <w:r w:rsidRPr="0E79E4E6">
            <w:rPr>
              <w:rFonts w:ascii="Nunito Sans" w:hAnsi="Nunito Sans" w:eastAsia="Nunito Sans" w:cs="Nunito Sans"/>
              <w:sz w:val="22"/>
              <w:szCs w:val="22"/>
              <w:lang w:val="es-ES"/>
            </w:rPr>
            <w:lastRenderedPageBreak/>
            <w:t>escritorios virtuales. Estas capacidades reflejan un nivel técnico adecuado para la operación institucional; no obstante, la concentración en esquemas locales limita la elasticidad, la optimización de recursos y la respuesta coordinada ante picos de demanda o contingencias de alcance sectorial.</w:t>
          </w:r>
        </w:p>
        <w:p w:rsidR="005E3BD6" w:rsidP="005E3BD6" w:rsidRDefault="005E3BD6" w14:paraId="48309E86" w14:textId="77777777">
          <w:pPr>
            <w:spacing w:before="240" w:after="240"/>
            <w:jc w:val="both"/>
            <w:rPr>
              <w:rFonts w:ascii="Nunito Sans" w:hAnsi="Nunito Sans" w:eastAsia="Nunito Sans" w:cs="Nunito Sans"/>
              <w:sz w:val="22"/>
              <w:szCs w:val="22"/>
              <w:lang w:val="es-ES"/>
            </w:rPr>
          </w:pPr>
          <w:r w:rsidRPr="0E79E4E6">
            <w:rPr>
              <w:rFonts w:ascii="Nunito Sans" w:hAnsi="Nunito Sans" w:eastAsia="Nunito Sans" w:cs="Nunito Sans"/>
              <w:sz w:val="22"/>
              <w:szCs w:val="22"/>
              <w:lang w:val="es-ES"/>
            </w:rPr>
            <w:t>Respecto a la conectividad y las comunicaciones, algunas entidades del sector cuentan con esquemas de acceso a Internet en alta disponibilidad y redes inalámbricas modernas (Wi-Fi 5 y Wi-Fi 6). Aun así, se evidencian diferencias relevantes en capacidades de red, segmentación, calidad de servicio y mecanismos de gestión centralizada, lo que impacta la homogeneidad en la prestación de servicios digitales y en la integración interinstitucional.</w:t>
          </w:r>
        </w:p>
        <w:p w:rsidR="005E3BD6" w:rsidP="005E3BD6" w:rsidRDefault="1F325162" w14:paraId="0C3E58DE" w14:textId="77777777">
          <w:pPr>
            <w:spacing w:before="240" w:after="240"/>
            <w:jc w:val="both"/>
            <w:rPr>
              <w:rFonts w:ascii="Nunito Sans" w:hAnsi="Nunito Sans" w:eastAsia="Nunito Sans" w:cs="Nunito Sans"/>
              <w:sz w:val="22"/>
              <w:szCs w:val="22"/>
              <w:lang w:val="es-ES"/>
            </w:rPr>
          </w:pPr>
          <w:r w:rsidRPr="4E60D266">
            <w:rPr>
              <w:rFonts w:ascii="Nunito Sans" w:hAnsi="Nunito Sans" w:eastAsia="Nunito Sans" w:cs="Nunito Sans"/>
              <w:sz w:val="22"/>
              <w:szCs w:val="22"/>
              <w:lang w:val="es-ES"/>
            </w:rPr>
            <w:t>En el componente de almacenamiento y respaldo, varias entidades disponen de soluciones de alto desempeño instaladas en sitio, incluyendo plataformas hiperconvergentes y almacenamiento embebido. Estas capacidades han permitido gestionar información crítica de carácter geoespacial, estadístico y operativo; sin embargo, su dispersión y dependencia de infraestructura física incrementan riesgos frente a contingencias, dificultan la escalabilidad y limitan la consolidación del dato a nivel sectorial.</w:t>
          </w:r>
        </w:p>
        <w:p w:rsidR="17307967" w:rsidP="4E60D266" w:rsidRDefault="17307967" w14:paraId="6E7F9E0B" w14:textId="09D508FC">
          <w:pPr>
            <w:spacing w:before="240" w:after="240"/>
            <w:jc w:val="both"/>
          </w:pPr>
          <w:r w:rsidRPr="4E60D266">
            <w:rPr>
              <w:rFonts w:ascii="Nunito Sans" w:hAnsi="Nunito Sans" w:eastAsia="Nunito Sans" w:cs="Nunito Sans"/>
              <w:sz w:val="22"/>
              <w:szCs w:val="22"/>
              <w:lang w:val="es-ES"/>
            </w:rPr>
            <w:t>En relación con el uso de servicios en la nube, el análisis evidencia una adopción desigual entre las entidades del sector. Mientras algunas han incorporado arquitecturas híbridas y servicios en nubes públicas y privadas (IaaS, PaaS y SaaS), otras mantienen una operación predominantemente local o no cuentan con un modelo claramente definido para la adopción de estos servicios. Esta situación refleja diferencias en las necesidades institucionales, capacidades técnicas, restricciones presupuestales y niveles de madurez tecnológica de las entidades, así como la ausencia de lineamientos sectoriales consolidados que orienten la adopción de modelos de infraestructura local, nube híbrida, multicloud o nube soberana. En consecuencia, se observa una evolución heterogénea frente al aprovechamiento de servicios en la nube y frente a los lineamientos de transformación digital promovidos por el Gobierno Nacional, incluido el principio de Cloud First, cuya adopción requiere ser evaluada en función de los riesgos, capacidades y necesidades particulares de cada entidad.</w:t>
          </w:r>
        </w:p>
        <w:p w:rsidRPr="004661A2" w:rsidR="004661A2" w:rsidRDefault="004661A2" w14:paraId="0795200A" w14:textId="77777777">
          <w:pPr>
            <w:pStyle w:val="Prrafodelista"/>
            <w:numPr>
              <w:ilvl w:val="1"/>
              <w:numId w:val="35"/>
            </w:numPr>
            <w:contextualSpacing w:val="0"/>
            <w:jc w:val="both"/>
            <w:outlineLvl w:val="2"/>
            <w:rPr>
              <w:rFonts w:ascii="Nunito Sans" w:hAnsi="Nunito Sans" w:eastAsia="Nunito Sans" w:cs="Nunito Sans"/>
              <w:b/>
              <w:bCs/>
              <w:iCs/>
              <w:vanish/>
              <w:color w:val="EDB600"/>
              <w:sz w:val="26"/>
              <w:lang w:val="es-ES"/>
            </w:rPr>
          </w:pPr>
          <w:bookmarkStart w:name="_Toc220407713" w:id="189"/>
          <w:bookmarkStart w:name="_Toc220407982" w:id="190"/>
          <w:bookmarkStart w:name="_Toc220614467" w:id="191"/>
          <w:bookmarkStart w:name="_Toc220664293" w:id="192"/>
          <w:bookmarkStart w:name="_Toc234231845" w:id="193"/>
          <w:bookmarkStart w:name="_Toc234232087" w:id="194"/>
          <w:bookmarkStart w:name="_Toc234232208" w:id="195"/>
          <w:bookmarkStart w:name="_Toc234232329" w:id="196"/>
          <w:bookmarkStart w:name="_Toc234233380" w:id="197"/>
          <w:bookmarkStart w:name="_Toc234233501" w:id="198"/>
          <w:bookmarkStart w:name="_Toc234233623" w:id="199"/>
          <w:bookmarkStart w:name="_Toc234233745" w:id="200"/>
          <w:bookmarkStart w:name="_Toc234233867" w:id="201"/>
          <w:bookmarkStart w:name="_Toc234233988" w:id="202"/>
          <w:bookmarkStart w:name="_Toc234234111" w:id="203"/>
          <w:bookmarkStart w:name="_Toc234234233" w:id="204"/>
          <w:bookmarkStart w:name="_Toc234234354" w:id="205"/>
          <w:bookmarkStart w:name="_Toc234234475" w:id="206"/>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rsidR="005E3BD6" w:rsidRDefault="005E3BD6" w14:paraId="6A55F5F5" w14:textId="424D96D6">
          <w:pPr>
            <w:pStyle w:val="Ttulo3"/>
            <w:numPr>
              <w:ilvl w:val="2"/>
              <w:numId w:val="36"/>
            </w:numPr>
          </w:pPr>
          <w:bookmarkStart w:name="_Toc234234476" w:id="207"/>
          <w:r>
            <w:t>Infraestructura y Servicios TI</w:t>
          </w:r>
          <w:bookmarkEnd w:id="207"/>
        </w:p>
        <w:p w:rsidRPr="00DF354F" w:rsidR="00DF354F" w:rsidP="00DF354F" w:rsidRDefault="00DF354F" w14:paraId="7EA8B7F5" w14:textId="77777777">
          <w:pPr>
            <w:rPr>
              <w:lang w:val="es-ES"/>
            </w:rPr>
          </w:pPr>
        </w:p>
        <w:p w:rsidR="005E3BD6" w:rsidP="005E3BD6" w:rsidRDefault="005E3BD6" w14:paraId="7EC99DAE"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A continuación, se presenta de manera consolidada la línea base de la arquitectura tecnológica</w:t>
          </w:r>
        </w:p>
        <w:p w:rsidR="00FE6DA8" w:rsidP="005E3BD6" w:rsidRDefault="005E3BD6" w14:paraId="1A594039" w14:textId="02DC733A">
          <w:pPr>
            <w:jc w:val="both"/>
            <w:rPr>
              <w:rFonts w:ascii="Nunito Sans" w:hAnsi="Nunito Sans" w:cs="Calibri" w:eastAsiaTheme="minorEastAsia"/>
              <w:i/>
              <w:iCs/>
              <w:sz w:val="22"/>
              <w:szCs w:val="22"/>
              <w:lang w:val="es-ES"/>
            </w:rPr>
          </w:pPr>
          <w:r w:rsidRPr="0E79E4E6">
            <w:rPr>
              <w:rFonts w:ascii="Nunito Sans" w:hAnsi="Nunito Sans" w:cs="Calibri" w:eastAsiaTheme="minorEastAsia"/>
              <w:sz w:val="22"/>
              <w:szCs w:val="22"/>
              <w:lang w:val="es-ES"/>
            </w:rPr>
            <w:t>en servicios de infraestructura de las entidades adscritas del sector minero energético identificando componentes y capacidades</w:t>
          </w:r>
          <w:r w:rsidRPr="0E79E4E6">
            <w:rPr>
              <w:rFonts w:ascii="Nunito Sans" w:hAnsi="Nunito Sans" w:cs="Calibri" w:eastAsiaTheme="minorEastAsia"/>
              <w:i/>
              <w:iCs/>
              <w:sz w:val="22"/>
              <w:szCs w:val="22"/>
              <w:lang w:val="es-ES"/>
            </w:rPr>
            <w:t xml:space="preserve">. </w:t>
          </w:r>
        </w:p>
        <w:p w:rsidR="00291028" w:rsidP="005E3BD6" w:rsidRDefault="00291028" w14:paraId="0E9EA92E" w14:textId="77777777">
          <w:pPr>
            <w:jc w:val="both"/>
            <w:rPr>
              <w:rFonts w:ascii="Nunito Sans" w:hAnsi="Nunito Sans" w:cs="Calibri" w:eastAsiaTheme="minorEastAsia"/>
              <w:i/>
              <w:iCs/>
              <w:sz w:val="22"/>
              <w:szCs w:val="22"/>
              <w:lang w:val="es-ES"/>
            </w:rPr>
          </w:pPr>
        </w:p>
        <w:p w:rsidR="005E3BD6" w:rsidP="005E3BD6" w:rsidRDefault="005E3BD6" w14:paraId="4A61E231" w14:textId="77777777">
          <w:pPr>
            <w:jc w:val="both"/>
            <w:rPr>
              <w:rFonts w:ascii="Nunito Sans" w:hAnsi="Nunito Sans" w:cs="Calibri" w:eastAsiaTheme="minorEastAsia"/>
              <w:i/>
              <w:iCs/>
              <w:sz w:val="22"/>
              <w:szCs w:val="22"/>
              <w:lang w:val="es-ES"/>
            </w:rPr>
          </w:pPr>
        </w:p>
        <w:p w:rsidRPr="00EB43A6" w:rsidR="005E3BD6" w:rsidP="005E3BD6" w:rsidRDefault="00F2742B" w14:paraId="282F54DC" w14:textId="49CFDF31">
          <w:pPr>
            <w:ind w:left="360" w:hanging="360"/>
            <w:jc w:val="center"/>
            <w:rPr>
              <w:rFonts w:ascii="Nunito Sans" w:hAnsi="Nunito Sans" w:cs="Calibri"/>
              <w:b/>
              <w:bCs/>
              <w:sz w:val="18"/>
              <w:szCs w:val="18"/>
            </w:rPr>
          </w:pPr>
          <w:bookmarkStart w:name="_Toc220664192" w:id="208"/>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21</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Infraestructura y Servicios TI del Sector</w:t>
          </w:r>
          <w:bookmarkEnd w:id="208"/>
        </w:p>
        <w:tbl>
          <w:tblPr>
            <w:tblW w:w="9498" w:type="dxa"/>
            <w:tblInd w:w="-5"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1985"/>
            <w:gridCol w:w="1984"/>
            <w:gridCol w:w="1843"/>
            <w:gridCol w:w="1843"/>
            <w:gridCol w:w="1843"/>
          </w:tblGrid>
          <w:tr w:rsidRPr="00C825FF" w:rsidR="005E3BD6" w:rsidTr="008727D2" w14:paraId="13596827" w14:textId="77777777">
            <w:trPr>
              <w:trHeight w:val="658"/>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3AD73458"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​COMPONENTE DE INFRAESTRUCTURA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6CFFE530"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​MME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30085EBF"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​ANH</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4C27860D"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​ANM</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234E7133"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​CREG</w:t>
                </w:r>
              </w:p>
            </w:tc>
          </w:tr>
          <w:tr w:rsidRPr="00C825FF" w:rsidR="005E3BD6" w:rsidTr="008727D2" w14:paraId="4F54844D" w14:textId="77777777">
            <w:trPr>
              <w:trHeight w:val="2236"/>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67FD639A"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lastRenderedPageBreak/>
                  <w:t>​SERVIDORES Y VIRTUALIZACIÓN</w:t>
                </w:r>
              </w:p>
            </w:tc>
            <w:tc>
              <w:tcPr>
                <w:tcW w:w="1984" w:type="dxa"/>
                <w:tcBorders>
                  <w:top w:val="single" w:color="FFFFFF" w:themeColor="background1" w:sz="4" w:space="0"/>
                  <w:left w:val="single" w:color="FFFFFF" w:themeColor="background1" w:sz="4" w:space="0"/>
                </w:tcBorders>
                <w:shd w:val="clear" w:color="auto" w:fill="FFFFFF" w:themeFill="background1"/>
                <w:vAlign w:val="center"/>
              </w:tcPr>
              <w:p w:rsidR="005E3BD6" w:rsidP="008727D2" w:rsidRDefault="005E3BD6" w14:paraId="7EE2F710" w14:textId="30E5B7D4">
                <w:pPr>
                  <w:jc w:val="center"/>
                  <w:rPr>
                    <w:rFonts w:ascii="Nunito Sans" w:hAnsi="Nunito Sans"/>
                    <w:sz w:val="18"/>
                    <w:szCs w:val="18"/>
                  </w:rPr>
                </w:pPr>
                <w:r w:rsidRPr="00C825FF">
                  <w:rPr>
                    <w:rFonts w:ascii="Nunito Sans" w:hAnsi="Nunito Sans"/>
                    <w:sz w:val="18"/>
                    <w:szCs w:val="18"/>
                  </w:rPr>
                  <w:t>​Plataforma de</w:t>
                </w:r>
              </w:p>
              <w:p w:rsidRPr="00C825FF" w:rsidR="005E3BD6" w:rsidP="008727D2" w:rsidRDefault="005E3BD6" w14:paraId="642D2522" w14:textId="77777777">
                <w:pPr>
                  <w:jc w:val="center"/>
                  <w:rPr>
                    <w:rFonts w:ascii="Nunito Sans" w:hAnsi="Nunito Sans"/>
                    <w:sz w:val="18"/>
                    <w:szCs w:val="18"/>
                  </w:rPr>
                </w:pPr>
                <w:r w:rsidRPr="00C825FF">
                  <w:rPr>
                    <w:rFonts w:ascii="Nunito Sans" w:hAnsi="Nunito Sans"/>
                    <w:sz w:val="18"/>
                    <w:szCs w:val="18"/>
                  </w:rPr>
                  <w:t>Hiperconvergencia y Virtualización en HA - instalados de manera local.</w:t>
                </w:r>
              </w:p>
            </w:tc>
            <w:tc>
              <w:tcPr>
                <w:tcW w:w="1843" w:type="dxa"/>
                <w:tcBorders>
                  <w:top w:val="single" w:color="FFFFFF" w:themeColor="background1" w:sz="4" w:space="0"/>
                </w:tcBorders>
                <w:shd w:val="clear" w:color="auto" w:fill="FFFFFF" w:themeFill="background1"/>
                <w:vAlign w:val="center"/>
              </w:tcPr>
              <w:p w:rsidRPr="00C825FF" w:rsidR="005E3BD6" w:rsidP="008727D2" w:rsidRDefault="005E3BD6" w14:paraId="32F6812A" w14:textId="77777777">
                <w:pPr>
                  <w:jc w:val="center"/>
                  <w:rPr>
                    <w:rFonts w:ascii="Nunito Sans" w:hAnsi="Nunito Sans"/>
                    <w:sz w:val="18"/>
                    <w:szCs w:val="18"/>
                  </w:rPr>
                </w:pPr>
                <w:r w:rsidRPr="00C825FF">
                  <w:rPr>
                    <w:rFonts w:ascii="Nunito Sans" w:hAnsi="Nunito Sans"/>
                    <w:sz w:val="18"/>
                    <w:szCs w:val="18"/>
                  </w:rPr>
                  <w:t>​Plataforma Local On premises</w:t>
                </w:r>
              </w:p>
              <w:p w:rsidRPr="00C825FF" w:rsidR="005E3BD6" w:rsidP="008727D2" w:rsidRDefault="005E3BD6" w14:paraId="35C5ECBE" w14:textId="77777777">
                <w:pPr>
                  <w:jc w:val="center"/>
                  <w:rPr>
                    <w:rFonts w:ascii="Nunito Sans" w:hAnsi="Nunito Sans"/>
                    <w:sz w:val="18"/>
                    <w:szCs w:val="18"/>
                  </w:rPr>
                </w:pPr>
                <w:r w:rsidRPr="00C825FF">
                  <w:rPr>
                    <w:rFonts w:ascii="Nunito Sans" w:hAnsi="Nunito Sans"/>
                    <w:sz w:val="18"/>
                    <w:szCs w:val="18"/>
                  </w:rPr>
                  <w:t>​Plataforma de Escritorios Virtuales</w:t>
                </w:r>
              </w:p>
            </w:tc>
            <w:tc>
              <w:tcPr>
                <w:tcW w:w="1843" w:type="dxa"/>
                <w:tcBorders>
                  <w:top w:val="single" w:color="FFFFFF" w:themeColor="background1" w:sz="4" w:space="0"/>
                </w:tcBorders>
                <w:shd w:val="clear" w:color="auto" w:fill="FFFFFF" w:themeFill="background1"/>
                <w:vAlign w:val="center"/>
              </w:tcPr>
              <w:p w:rsidRPr="00C825FF" w:rsidR="005E3BD6" w:rsidP="008727D2" w:rsidRDefault="005E3BD6" w14:paraId="05180F9E" w14:textId="77777777">
                <w:pPr>
                  <w:jc w:val="center"/>
                  <w:rPr>
                    <w:rFonts w:ascii="Nunito Sans" w:hAnsi="Nunito Sans"/>
                    <w:sz w:val="18"/>
                    <w:szCs w:val="18"/>
                  </w:rPr>
                </w:pPr>
                <w:r w:rsidRPr="00C825FF">
                  <w:rPr>
                    <w:rFonts w:ascii="Nunito Sans" w:hAnsi="Nunito Sans"/>
                    <w:sz w:val="18"/>
                    <w:szCs w:val="18"/>
                  </w:rPr>
                  <w:t>​Plataforma de Hiperconvergencia y Virtualización - instalados de manera local.</w:t>
                </w:r>
              </w:p>
            </w:tc>
            <w:tc>
              <w:tcPr>
                <w:tcW w:w="1843" w:type="dxa"/>
                <w:tcBorders>
                  <w:top w:val="single" w:color="FFFFFF" w:themeColor="background1" w:sz="4" w:space="0"/>
                </w:tcBorders>
                <w:shd w:val="clear" w:color="auto" w:fill="FFFFFF" w:themeFill="background1"/>
                <w:vAlign w:val="center"/>
              </w:tcPr>
              <w:p w:rsidRPr="00C825FF" w:rsidR="005E3BD6" w:rsidP="008727D2" w:rsidRDefault="7090609E" w14:paraId="071BC4AB" w14:textId="053552DF">
                <w:pPr>
                  <w:jc w:val="center"/>
                </w:pPr>
                <w:r w:rsidRPr="3D9E0835">
                  <w:rPr>
                    <w:rFonts w:ascii="Nunito Sans" w:hAnsi="Nunito Sans"/>
                    <w:sz w:val="18"/>
                    <w:szCs w:val="18"/>
                  </w:rPr>
                  <w:t>Plataforma de virtualización adquirida desplegada en servidores físicos instalados de manera local.</w:t>
                </w:r>
              </w:p>
            </w:tc>
          </w:tr>
          <w:tr w:rsidRPr="00C825FF" w:rsidR="005E3BD6" w:rsidTr="008727D2" w14:paraId="5378DF98" w14:textId="77777777">
            <w:trPr>
              <w:trHeight w:val="658"/>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78644FF1"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​CONECTIVIDAD Y COMUNICACIONES</w:t>
                </w:r>
              </w:p>
            </w:tc>
            <w:tc>
              <w:tcPr>
                <w:tcW w:w="1984" w:type="dxa"/>
                <w:tcBorders>
                  <w:left w:val="single" w:color="FFFFFF" w:themeColor="background1" w:sz="4" w:space="0"/>
                </w:tcBorders>
                <w:shd w:val="clear" w:color="auto" w:fill="FFFFFF" w:themeFill="background1"/>
                <w:vAlign w:val="center"/>
              </w:tcPr>
              <w:p w:rsidRPr="00C825FF" w:rsidR="005E3BD6" w:rsidP="008727D2" w:rsidRDefault="005E3BD6" w14:paraId="3B5BC5D0" w14:textId="77CA0253">
                <w:pPr>
                  <w:jc w:val="center"/>
                  <w:rPr>
                    <w:rFonts w:ascii="Nunito Sans" w:hAnsi="Nunito Sans"/>
                    <w:sz w:val="18"/>
                    <w:szCs w:val="18"/>
                  </w:rPr>
                </w:pPr>
                <w:r w:rsidRPr="00C825FF">
                  <w:rPr>
                    <w:rFonts w:ascii="Nunito Sans" w:hAnsi="Nunito Sans"/>
                    <w:sz w:val="18"/>
                    <w:szCs w:val="18"/>
                  </w:rPr>
                  <w:t>​Acceso a internet en HA, Wi Fi 6</w:t>
                </w:r>
              </w:p>
            </w:tc>
            <w:tc>
              <w:tcPr>
                <w:tcW w:w="1843" w:type="dxa"/>
                <w:shd w:val="clear" w:color="auto" w:fill="FFFFFF" w:themeFill="background1"/>
                <w:vAlign w:val="center"/>
              </w:tcPr>
              <w:p w:rsidRPr="00C825FF" w:rsidR="005E3BD6" w:rsidP="008727D2" w:rsidRDefault="005E3BD6" w14:paraId="4AC0A0BE" w14:textId="1BC820D7">
                <w:pPr>
                  <w:jc w:val="center"/>
                  <w:rPr>
                    <w:rFonts w:ascii="Nunito Sans" w:hAnsi="Nunito Sans"/>
                    <w:sz w:val="18"/>
                    <w:szCs w:val="18"/>
                  </w:rPr>
                </w:pPr>
                <w:r w:rsidRPr="00C825FF">
                  <w:rPr>
                    <w:rFonts w:ascii="Nunito Sans" w:hAnsi="Nunito Sans"/>
                    <w:sz w:val="18"/>
                    <w:szCs w:val="18"/>
                  </w:rPr>
                  <w:t>​Acceso a internet en HA, Wi Fi 6</w:t>
                </w:r>
              </w:p>
            </w:tc>
            <w:tc>
              <w:tcPr>
                <w:tcW w:w="1843" w:type="dxa"/>
                <w:shd w:val="clear" w:color="auto" w:fill="FFFFFF" w:themeFill="background1"/>
                <w:vAlign w:val="center"/>
              </w:tcPr>
              <w:p w:rsidRPr="00C825FF" w:rsidR="005E3BD6" w:rsidP="008727D2" w:rsidRDefault="005E3BD6" w14:paraId="5AE36D3E" w14:textId="67A0A727">
                <w:pPr>
                  <w:jc w:val="center"/>
                  <w:rPr>
                    <w:rFonts w:ascii="Nunito Sans" w:hAnsi="Nunito Sans"/>
                    <w:sz w:val="18"/>
                    <w:szCs w:val="18"/>
                  </w:rPr>
                </w:pPr>
                <w:r w:rsidRPr="00C825FF">
                  <w:rPr>
                    <w:rFonts w:ascii="Nunito Sans" w:hAnsi="Nunito Sans"/>
                    <w:sz w:val="18"/>
                    <w:szCs w:val="18"/>
                  </w:rPr>
                  <w:t>​Acceso a internet en HA, Wi Fi 5 - Wi Fi 6</w:t>
                </w:r>
              </w:p>
            </w:tc>
            <w:tc>
              <w:tcPr>
                <w:tcW w:w="1843" w:type="dxa"/>
                <w:shd w:val="clear" w:color="auto" w:fill="FFFFFF" w:themeFill="background1"/>
                <w:vAlign w:val="center"/>
              </w:tcPr>
              <w:p w:rsidRPr="00C825FF" w:rsidR="005E3BD6" w:rsidP="008727D2" w:rsidRDefault="005E3BD6" w14:paraId="61E2C3A8" w14:textId="19397536">
                <w:pPr>
                  <w:jc w:val="center"/>
                  <w:rPr>
                    <w:rFonts w:ascii="Nunito Sans" w:hAnsi="Nunito Sans"/>
                    <w:sz w:val="18"/>
                    <w:szCs w:val="18"/>
                  </w:rPr>
                </w:pPr>
                <w:r w:rsidRPr="00C825FF">
                  <w:rPr>
                    <w:rFonts w:ascii="Nunito Sans" w:hAnsi="Nunito Sans"/>
                    <w:sz w:val="18"/>
                    <w:szCs w:val="18"/>
                  </w:rPr>
                  <w:t>​Acceso a internet en HA, Wi Fi 6</w:t>
                </w:r>
              </w:p>
            </w:tc>
          </w:tr>
          <w:tr w:rsidRPr="00C825FF" w:rsidR="005E3BD6" w:rsidTr="008727D2" w14:paraId="0E9E2694" w14:textId="77777777">
            <w:trPr>
              <w:trHeight w:val="658"/>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5F26A2B5"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​ALMACENAMIENTO Y RESPALDO</w:t>
                </w:r>
              </w:p>
            </w:tc>
            <w:tc>
              <w:tcPr>
                <w:tcW w:w="1984" w:type="dxa"/>
                <w:tcBorders>
                  <w:left w:val="single" w:color="FFFFFF" w:themeColor="background1" w:sz="4" w:space="0"/>
                </w:tcBorders>
                <w:shd w:val="clear" w:color="auto" w:fill="FFFFFF" w:themeFill="background1"/>
                <w:vAlign w:val="center"/>
              </w:tcPr>
              <w:p w:rsidRPr="00C825FF" w:rsidR="005E3BD6" w:rsidP="008727D2" w:rsidRDefault="005E3BD6" w14:paraId="683CE772" w14:textId="4C525DA0">
                <w:pPr>
                  <w:jc w:val="center"/>
                  <w:rPr>
                    <w:rFonts w:ascii="Nunito Sans" w:hAnsi="Nunito Sans"/>
                    <w:sz w:val="18"/>
                    <w:szCs w:val="18"/>
                  </w:rPr>
                </w:pPr>
                <w:r w:rsidRPr="00C825FF">
                  <w:rPr>
                    <w:rFonts w:ascii="Nunito Sans" w:hAnsi="Nunito Sans"/>
                    <w:sz w:val="18"/>
                    <w:szCs w:val="18"/>
                  </w:rPr>
                  <w:t>​Sistemas de alto desempeño instalados en sitio.</w:t>
                </w:r>
              </w:p>
            </w:tc>
            <w:tc>
              <w:tcPr>
                <w:tcW w:w="1843" w:type="dxa"/>
                <w:shd w:val="clear" w:color="auto" w:fill="FFFFFF" w:themeFill="background1"/>
                <w:vAlign w:val="center"/>
              </w:tcPr>
              <w:p w:rsidRPr="00C825FF" w:rsidR="005E3BD6" w:rsidP="008727D2" w:rsidRDefault="005E3BD6" w14:paraId="0387FDA0" w14:textId="0EDEA822">
                <w:pPr>
                  <w:jc w:val="center"/>
                  <w:rPr>
                    <w:rFonts w:ascii="Nunito Sans" w:hAnsi="Nunito Sans"/>
                    <w:sz w:val="18"/>
                    <w:szCs w:val="18"/>
                  </w:rPr>
                </w:pPr>
                <w:r w:rsidRPr="00C825FF">
                  <w:rPr>
                    <w:rFonts w:ascii="Nunito Sans" w:hAnsi="Nunito Sans"/>
                    <w:sz w:val="18"/>
                    <w:szCs w:val="18"/>
                  </w:rPr>
                  <w:t>​Sistemas de alto desempeño instalados en sitio</w:t>
                </w:r>
              </w:p>
            </w:tc>
            <w:tc>
              <w:tcPr>
                <w:tcW w:w="1843" w:type="dxa"/>
                <w:shd w:val="clear" w:color="auto" w:fill="FFFFFF" w:themeFill="background1"/>
                <w:vAlign w:val="center"/>
              </w:tcPr>
              <w:p w:rsidRPr="00C825FF" w:rsidR="005E3BD6" w:rsidP="008727D2" w:rsidRDefault="005E3BD6" w14:paraId="1319843F" w14:textId="0EE4CE23">
                <w:pPr>
                  <w:jc w:val="center"/>
                  <w:rPr>
                    <w:rFonts w:ascii="Nunito Sans" w:hAnsi="Nunito Sans"/>
                    <w:sz w:val="18"/>
                    <w:szCs w:val="18"/>
                  </w:rPr>
                </w:pPr>
                <w:r w:rsidRPr="00C825FF">
                  <w:rPr>
                    <w:rFonts w:ascii="Nunito Sans" w:hAnsi="Nunito Sans"/>
                    <w:sz w:val="18"/>
                    <w:szCs w:val="18"/>
                  </w:rPr>
                  <w:t>​Sistemas de alto desempeño instalados en sitio - Virtual.</w:t>
                </w:r>
              </w:p>
            </w:tc>
            <w:tc>
              <w:tcPr>
                <w:tcW w:w="1843" w:type="dxa"/>
                <w:shd w:val="clear" w:color="auto" w:fill="FFFFFF" w:themeFill="background1"/>
                <w:vAlign w:val="center"/>
              </w:tcPr>
              <w:p w:rsidRPr="00C825FF" w:rsidR="005E3BD6" w:rsidP="008727D2" w:rsidRDefault="005E3BD6" w14:paraId="54F3234D" w14:textId="7AC4C783">
                <w:pPr>
                  <w:jc w:val="center"/>
                  <w:rPr>
                    <w:rFonts w:ascii="Nunito Sans" w:hAnsi="Nunito Sans"/>
                    <w:sz w:val="18"/>
                    <w:szCs w:val="18"/>
                  </w:rPr>
                </w:pPr>
                <w:r w:rsidRPr="00C825FF">
                  <w:rPr>
                    <w:rFonts w:ascii="Nunito Sans" w:hAnsi="Nunito Sans"/>
                    <w:sz w:val="18"/>
                    <w:szCs w:val="18"/>
                  </w:rPr>
                  <w:t>​Sistemas de alto desempeño instalados en sitio.</w:t>
                </w:r>
              </w:p>
            </w:tc>
          </w:tr>
          <w:tr w:rsidRPr="00C825FF" w:rsidR="005E3BD6" w:rsidTr="008727D2" w14:paraId="17CE7D58" w14:textId="77777777">
            <w:trPr>
              <w:trHeight w:val="658"/>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643ABAEE"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​NUBE</w:t>
                </w:r>
              </w:p>
            </w:tc>
            <w:tc>
              <w:tcPr>
                <w:tcW w:w="1984" w:type="dxa"/>
                <w:tcBorders>
                  <w:left w:val="single" w:color="FFFFFF" w:themeColor="background1" w:sz="4" w:space="0"/>
                </w:tcBorders>
                <w:shd w:val="clear" w:color="auto" w:fill="FFFFFF" w:themeFill="background1"/>
                <w:vAlign w:val="center"/>
              </w:tcPr>
              <w:p w:rsidRPr="00C825FF" w:rsidR="005E3BD6" w:rsidP="008727D2" w:rsidRDefault="005E3BD6" w14:paraId="3C221B05" w14:textId="6A26F2A2">
                <w:pPr>
                  <w:jc w:val="center"/>
                  <w:rPr>
                    <w:rFonts w:ascii="Nunito Sans" w:hAnsi="Nunito Sans"/>
                    <w:sz w:val="18"/>
                    <w:szCs w:val="18"/>
                  </w:rPr>
                </w:pPr>
                <w:r w:rsidRPr="00C825FF">
                  <w:rPr>
                    <w:rFonts w:ascii="Nunito Sans" w:hAnsi="Nunito Sans"/>
                    <w:sz w:val="18"/>
                    <w:szCs w:val="18"/>
                  </w:rPr>
                  <w:t>​Plataforma Colaborativas, SaaS</w:t>
                </w:r>
              </w:p>
            </w:tc>
            <w:tc>
              <w:tcPr>
                <w:tcW w:w="1843" w:type="dxa"/>
                <w:shd w:val="clear" w:color="auto" w:fill="FFFFFF" w:themeFill="background1"/>
                <w:vAlign w:val="center"/>
              </w:tcPr>
              <w:p w:rsidRPr="00C825FF" w:rsidR="005E3BD6" w:rsidP="008727D2" w:rsidRDefault="1F325162" w14:paraId="03737180" w14:textId="73372F67">
                <w:pPr>
                  <w:jc w:val="center"/>
                  <w:rPr>
                    <w:rFonts w:ascii="Nunito Sans" w:hAnsi="Nunito Sans"/>
                    <w:sz w:val="18"/>
                    <w:szCs w:val="18"/>
                  </w:rPr>
                </w:pPr>
                <w:r w:rsidRPr="4E60D266">
                  <w:rPr>
                    <w:rFonts w:ascii="Nunito Sans" w:hAnsi="Nunito Sans"/>
                    <w:sz w:val="18"/>
                    <w:szCs w:val="18"/>
                  </w:rPr>
                  <w:t xml:space="preserve">​Arquitectura Híbrida On-Premises Servicio de Herramienta colaborativa en nube PaaS, Nube Privada alojada/DRP, Servicios SaaS/Cloud, Infraestructura en </w:t>
                </w:r>
                <w:r w:rsidRPr="4E60D266" w:rsidR="736EE54F">
                  <w:rPr>
                    <w:rFonts w:ascii="Nunito Sans" w:hAnsi="Nunito Sans" w:eastAsia="Nunito Sans" w:cs="Nunito Sans"/>
                    <w:sz w:val="18"/>
                    <w:szCs w:val="18"/>
                  </w:rPr>
                  <w:t>Microsoft Azure®</w:t>
                </w:r>
                <w:r w:rsidRPr="4E60D266">
                  <w:rPr>
                    <w:rFonts w:ascii="Nunito Sans" w:hAnsi="Nunito Sans"/>
                    <w:sz w:val="18"/>
                    <w:szCs w:val="18"/>
                  </w:rPr>
                  <w:t>.</w:t>
                </w:r>
              </w:p>
            </w:tc>
            <w:tc>
              <w:tcPr>
                <w:tcW w:w="1843" w:type="dxa"/>
                <w:shd w:val="clear" w:color="auto" w:fill="FFFFFF" w:themeFill="background1"/>
                <w:vAlign w:val="center"/>
              </w:tcPr>
              <w:p w:rsidRPr="00C825FF" w:rsidR="005E3BD6" w:rsidP="008727D2" w:rsidRDefault="70696784" w14:paraId="17AD1192" w14:textId="685FC8B8">
                <w:pPr>
                  <w:jc w:val="center"/>
                </w:pPr>
                <w:r w:rsidRPr="4E60D266">
                  <w:rPr>
                    <w:rFonts w:ascii="Nunito Sans" w:hAnsi="Nunito Sans"/>
                    <w:sz w:val="18"/>
                    <w:szCs w:val="18"/>
                  </w:rPr>
                  <w:t xml:space="preserve">Nube Privada, Nube Pública con IaaS, SaaS </w:t>
                </w:r>
                <w:r w:rsidRPr="4E60D266" w:rsidR="1F325162">
                  <w:rPr>
                    <w:rFonts w:ascii="Nunito Sans" w:hAnsi="Nunito Sans"/>
                    <w:sz w:val="18"/>
                    <w:szCs w:val="18"/>
                  </w:rPr>
                  <w:t>​</w:t>
                </w:r>
              </w:p>
              <w:p w:rsidRPr="00C825FF" w:rsidR="005E3BD6" w:rsidP="008727D2" w:rsidRDefault="1F325162" w14:paraId="7ED5F770" w14:textId="643EDCEB">
                <w:pPr>
                  <w:jc w:val="center"/>
                  <w:rPr>
                    <w:rFonts w:ascii="Nunito Sans" w:hAnsi="Nunito Sans"/>
                    <w:sz w:val="18"/>
                    <w:szCs w:val="18"/>
                  </w:rPr>
                </w:pPr>
                <w:r w:rsidRPr="4E60D266">
                  <w:rPr>
                    <w:rFonts w:ascii="Nunito Sans" w:hAnsi="Nunito Sans"/>
                    <w:sz w:val="18"/>
                    <w:szCs w:val="18"/>
                  </w:rPr>
                  <w:t>Plataforma local SCOM - instalado en sitio - on premises</w:t>
                </w:r>
              </w:p>
            </w:tc>
            <w:tc>
              <w:tcPr>
                <w:tcW w:w="1843" w:type="dxa"/>
                <w:shd w:val="clear" w:color="auto" w:fill="FFFFFF" w:themeFill="background1"/>
                <w:vAlign w:val="center"/>
              </w:tcPr>
              <w:p w:rsidR="74BCBA64" w:rsidP="008727D2" w:rsidRDefault="74BCBA64" w14:paraId="2D6AE9B0" w14:textId="1877574C">
                <w:pPr>
                  <w:jc w:val="center"/>
                  <w:rPr>
                    <w:rFonts w:ascii="Nunito Sans" w:hAnsi="Nunito Sans"/>
                    <w:sz w:val="18"/>
                    <w:szCs w:val="18"/>
                  </w:rPr>
                </w:pPr>
                <w:r w:rsidRPr="3D9E0835">
                  <w:rPr>
                    <w:rFonts w:ascii="Nunito Sans" w:hAnsi="Nunito Sans"/>
                    <w:sz w:val="18"/>
                    <w:szCs w:val="18"/>
                  </w:rPr>
                  <w:t>Infraestructura desplegada en Oracle Cloud Infrastructure (OCI) y Amazon Web Services (AWS), donde se soportan los sistemas de información y servicios tecnológicos institucionales.</w:t>
                </w:r>
              </w:p>
              <w:p w:rsidRPr="00C825FF" w:rsidR="005E3BD6" w:rsidP="008727D2" w:rsidRDefault="005E3BD6" w14:paraId="38D67EE2" w14:textId="27227A9B">
                <w:pPr>
                  <w:jc w:val="center"/>
                  <w:rPr>
                    <w:rFonts w:ascii="Nunito Sans" w:hAnsi="Nunito Sans"/>
                    <w:sz w:val="18"/>
                    <w:szCs w:val="18"/>
                  </w:rPr>
                </w:pPr>
                <w:r w:rsidRPr="00C825FF">
                  <w:rPr>
                    <w:rFonts w:ascii="Nunito Sans" w:hAnsi="Nunito Sans"/>
                    <w:sz w:val="18"/>
                    <w:szCs w:val="18"/>
                  </w:rPr>
                  <w:t>​</w:t>
                </w:r>
              </w:p>
            </w:tc>
          </w:tr>
          <w:tr w:rsidRPr="00C825FF" w:rsidR="005E3BD6" w:rsidTr="008727D2" w14:paraId="66E0238B" w14:textId="77777777">
            <w:trPr>
              <w:trHeight w:val="1271"/>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67AB5941"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​CIBERSEGURIDAD</w:t>
                </w:r>
              </w:p>
            </w:tc>
            <w:tc>
              <w:tcPr>
                <w:tcW w:w="1984" w:type="dxa"/>
                <w:tcBorders>
                  <w:left w:val="single" w:color="FFFFFF" w:themeColor="background1" w:sz="4" w:space="0"/>
                </w:tcBorders>
                <w:shd w:val="clear" w:color="auto" w:fill="FFFFFF" w:themeFill="background1"/>
                <w:vAlign w:val="center"/>
              </w:tcPr>
              <w:p w:rsidRPr="00C825FF" w:rsidR="005E3BD6" w:rsidP="008727D2" w:rsidRDefault="005E3BD6" w14:paraId="338C0CF9" w14:textId="70C64D45">
                <w:pPr>
                  <w:jc w:val="center"/>
                  <w:rPr>
                    <w:rFonts w:ascii="Nunito Sans" w:hAnsi="Nunito Sans"/>
                    <w:sz w:val="18"/>
                    <w:szCs w:val="18"/>
                  </w:rPr>
                </w:pPr>
                <w:r w:rsidRPr="00C825FF">
                  <w:rPr>
                    <w:rFonts w:ascii="Nunito Sans" w:hAnsi="Nunito Sans"/>
                    <w:sz w:val="18"/>
                    <w:szCs w:val="18"/>
                  </w:rPr>
                  <w:t>​SIEM – SANDBOX – WAF - NAC</w:t>
                </w:r>
              </w:p>
            </w:tc>
            <w:tc>
              <w:tcPr>
                <w:tcW w:w="1843" w:type="dxa"/>
                <w:shd w:val="clear" w:color="auto" w:fill="FFFFFF" w:themeFill="background1"/>
                <w:vAlign w:val="center"/>
              </w:tcPr>
              <w:p w:rsidRPr="00C825FF" w:rsidR="005E3BD6" w:rsidP="008727D2" w:rsidRDefault="005E3BD6" w14:paraId="1EDA77B0" w14:textId="77777777">
                <w:pPr>
                  <w:jc w:val="center"/>
                  <w:rPr>
                    <w:rFonts w:ascii="Nunito Sans" w:hAnsi="Nunito Sans"/>
                    <w:sz w:val="18"/>
                    <w:szCs w:val="18"/>
                  </w:rPr>
                </w:pPr>
                <w:r w:rsidRPr="00C825FF">
                  <w:rPr>
                    <w:rFonts w:ascii="Nunito Sans" w:hAnsi="Nunito Sans"/>
                    <w:sz w:val="18"/>
                    <w:szCs w:val="18"/>
                  </w:rPr>
                  <w:t>​WAF - FW de alto desempeño HA desplegados en Sitio.</w:t>
                </w:r>
              </w:p>
            </w:tc>
            <w:tc>
              <w:tcPr>
                <w:tcW w:w="1843" w:type="dxa"/>
                <w:shd w:val="clear" w:color="auto" w:fill="FFFFFF" w:themeFill="background1"/>
                <w:vAlign w:val="center"/>
              </w:tcPr>
              <w:p w:rsidRPr="00C825FF" w:rsidR="005E3BD6" w:rsidP="008727D2" w:rsidRDefault="1F325162" w14:paraId="3E2E5C80" w14:textId="73CFBD21">
                <w:pPr>
                  <w:jc w:val="center"/>
                </w:pPr>
                <w:r w:rsidRPr="4E60D266">
                  <w:rPr>
                    <w:rFonts w:ascii="Nunito Sans" w:hAnsi="Nunito Sans"/>
                    <w:sz w:val="18"/>
                    <w:szCs w:val="18"/>
                  </w:rPr>
                  <w:t>​</w:t>
                </w:r>
                <w:r w:rsidRPr="4E60D266" w:rsidR="228280F4">
                  <w:rPr>
                    <w:rFonts w:ascii="Nunito Sans" w:hAnsi="Nunito Sans"/>
                    <w:sz w:val="18"/>
                    <w:szCs w:val="18"/>
                  </w:rPr>
                  <w:t xml:space="preserve"> SOC, WAF, FS de alto desempeño desplegado en Data center Principal y Secundario</w:t>
                </w:r>
              </w:p>
            </w:tc>
            <w:tc>
              <w:tcPr>
                <w:tcW w:w="1843" w:type="dxa"/>
                <w:shd w:val="clear" w:color="auto" w:fill="FFFFFF" w:themeFill="background1"/>
                <w:vAlign w:val="center"/>
              </w:tcPr>
              <w:p w:rsidRPr="00C825FF" w:rsidR="005E3BD6" w:rsidP="008727D2" w:rsidRDefault="005E3BD6" w14:paraId="139F71DF" w14:textId="028F3C6B">
                <w:pPr>
                  <w:jc w:val="center"/>
                  <w:rPr>
                    <w:rFonts w:ascii="Nunito Sans" w:hAnsi="Nunito Sans"/>
                    <w:sz w:val="18"/>
                    <w:szCs w:val="18"/>
                  </w:rPr>
                </w:pPr>
                <w:r w:rsidRPr="00C825FF">
                  <w:rPr>
                    <w:rFonts w:ascii="Nunito Sans" w:hAnsi="Nunito Sans"/>
                    <w:sz w:val="18"/>
                    <w:szCs w:val="18"/>
                  </w:rPr>
                  <w:t>​FW de alto desempeño HA desplegados en Sitio.</w:t>
                </w:r>
              </w:p>
            </w:tc>
          </w:tr>
          <w:tr w:rsidRPr="00C825FF" w:rsidR="005E3BD6" w:rsidTr="008727D2" w14:paraId="18664715" w14:textId="77777777">
            <w:trPr>
              <w:trHeight w:val="2055"/>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B4771C" w:rsidRDefault="005E3BD6" w14:paraId="3FC079CA" w14:textId="77777777">
                <w:pPr>
                  <w:jc w:val="center"/>
                  <w:rPr>
                    <w:rFonts w:ascii="Nunito Sans" w:hAnsi="Nunito Sans"/>
                    <w:b/>
                    <w:bCs/>
                    <w:color w:val="FFFFFF" w:themeColor="background1"/>
                    <w:sz w:val="18"/>
                    <w:szCs w:val="18"/>
                  </w:rPr>
                </w:pPr>
                <w:r w:rsidRPr="008727D2">
                  <w:rPr>
                    <w:rFonts w:ascii="Nunito Sans" w:hAnsi="Nunito Sans"/>
                    <w:b/>
                    <w:bCs/>
                    <w:color w:val="FFFFFF" w:themeColor="background1"/>
                    <w:sz w:val="18"/>
                    <w:szCs w:val="18"/>
                  </w:rPr>
                  <w:t>​MONITOREO</w:t>
                </w:r>
              </w:p>
            </w:tc>
            <w:tc>
              <w:tcPr>
                <w:tcW w:w="1984" w:type="dxa"/>
                <w:tcBorders>
                  <w:left w:val="single" w:color="FFFFFF" w:themeColor="background1" w:sz="4" w:space="0"/>
                </w:tcBorders>
                <w:shd w:val="clear" w:color="auto" w:fill="FFFFFF" w:themeFill="background1"/>
                <w:vAlign w:val="center"/>
              </w:tcPr>
              <w:p w:rsidRPr="00C825FF" w:rsidR="005E3BD6" w:rsidP="008727D2" w:rsidRDefault="005E3BD6" w14:paraId="560D229B" w14:textId="77777777">
                <w:pPr>
                  <w:jc w:val="center"/>
                  <w:rPr>
                    <w:rFonts w:ascii="Nunito Sans" w:hAnsi="Nunito Sans"/>
                    <w:sz w:val="18"/>
                    <w:szCs w:val="18"/>
                  </w:rPr>
                </w:pPr>
                <w:r w:rsidRPr="00C825FF">
                  <w:rPr>
                    <w:rFonts w:ascii="Nunito Sans" w:hAnsi="Nunito Sans"/>
                    <w:sz w:val="18"/>
                    <w:szCs w:val="18"/>
                  </w:rPr>
                  <w:t>​Herramientas de detección de amenazas en tiempo real sobre la infraestructura tecnológica.</w:t>
                </w:r>
              </w:p>
            </w:tc>
            <w:tc>
              <w:tcPr>
                <w:tcW w:w="1843" w:type="dxa"/>
                <w:shd w:val="clear" w:color="auto" w:fill="FFFFFF" w:themeFill="background1"/>
                <w:vAlign w:val="center"/>
              </w:tcPr>
              <w:p w:rsidRPr="00C825FF" w:rsidR="005E3BD6" w:rsidP="008727D2" w:rsidRDefault="005E3BD6" w14:paraId="50F5878C" w14:textId="77777777">
                <w:pPr>
                  <w:jc w:val="center"/>
                  <w:rPr>
                    <w:rFonts w:ascii="Nunito Sans" w:hAnsi="Nunito Sans"/>
                    <w:sz w:val="18"/>
                    <w:szCs w:val="18"/>
                  </w:rPr>
                </w:pPr>
                <w:r w:rsidRPr="00C825FF">
                  <w:rPr>
                    <w:rFonts w:ascii="Nunito Sans" w:hAnsi="Nunito Sans"/>
                    <w:sz w:val="18"/>
                    <w:szCs w:val="18"/>
                  </w:rPr>
                  <w:t>​Herramientas de detección de amenazas en tiempo real sobre la infraestructura tecnológica - instalado en sitio</w:t>
                </w:r>
                <w:r>
                  <w:rPr>
                    <w:rFonts w:ascii="Nunito Sans" w:hAnsi="Nunito Sans"/>
                    <w:sz w:val="18"/>
                    <w:szCs w:val="18"/>
                  </w:rPr>
                  <w:t xml:space="preserve"> </w:t>
                </w:r>
                <w:r w:rsidRPr="00C825FF">
                  <w:rPr>
                    <w:rFonts w:ascii="Nunito Sans" w:hAnsi="Nunito Sans"/>
                    <w:sz w:val="18"/>
                    <w:szCs w:val="18"/>
                  </w:rPr>
                  <w:t>- On premises</w:t>
                </w:r>
              </w:p>
            </w:tc>
            <w:tc>
              <w:tcPr>
                <w:tcW w:w="1843" w:type="dxa"/>
                <w:shd w:val="clear" w:color="auto" w:fill="FFFFFF" w:themeFill="background1"/>
                <w:vAlign w:val="center"/>
              </w:tcPr>
              <w:p w:rsidRPr="00C825FF" w:rsidR="005E3BD6" w:rsidP="008727D2" w:rsidRDefault="1F325162" w14:paraId="765DEDA2" w14:textId="1CE709D7">
                <w:pPr>
                  <w:jc w:val="center"/>
                </w:pPr>
                <w:r w:rsidRPr="4E60D266">
                  <w:rPr>
                    <w:rFonts w:ascii="Nunito Sans" w:hAnsi="Nunito Sans"/>
                    <w:sz w:val="18"/>
                    <w:szCs w:val="18"/>
                  </w:rPr>
                  <w:t>​</w:t>
                </w:r>
                <w:r w:rsidRPr="4E60D266" w:rsidR="1297CD04">
                  <w:rPr>
                    <w:rFonts w:ascii="Nunito Sans" w:hAnsi="Nunito Sans"/>
                    <w:sz w:val="18"/>
                    <w:szCs w:val="18"/>
                  </w:rPr>
                  <w:t xml:space="preserve"> Monitoreo, SOC, Monitoreo PH, SCOM, SCCM</w:t>
                </w:r>
              </w:p>
            </w:tc>
            <w:tc>
              <w:tcPr>
                <w:tcW w:w="1843" w:type="dxa"/>
                <w:shd w:val="clear" w:color="auto" w:fill="FFFFFF" w:themeFill="background1"/>
                <w:vAlign w:val="center"/>
              </w:tcPr>
              <w:p w:rsidRPr="00C825FF" w:rsidR="005E3BD6" w:rsidP="008727D2" w:rsidRDefault="36579082" w14:paraId="0C724FA6" w14:textId="38FFEFC3">
                <w:pPr>
                  <w:jc w:val="center"/>
                </w:pPr>
                <w:r w:rsidRPr="3D9E0835">
                  <w:rPr>
                    <w:rFonts w:ascii="Nunito Sans" w:hAnsi="Nunito Sans" w:eastAsia="Nunito Sans" w:cs="Nunito Sans"/>
                    <w:sz w:val="18"/>
                    <w:szCs w:val="18"/>
                  </w:rPr>
                  <w:t>Herramientas y actividades para identificar, monitorear y controlar el nivel de consumo de la infraestructura de TI.</w:t>
                </w:r>
              </w:p>
            </w:tc>
          </w:tr>
        </w:tbl>
        <w:p w:rsidR="005E3BD6" w:rsidP="005E3BD6" w:rsidRDefault="005E3BD6" w14:paraId="70B56F77" w14:textId="77777777">
          <w:pPr>
            <w:ind w:left="426"/>
            <w:jc w:val="both"/>
            <w:rPr>
              <w:rFonts w:ascii="Nunito Sans" w:hAnsi="Nunito Sans" w:cs="Calibri" w:eastAsiaTheme="minorEastAsia"/>
              <w:i/>
              <w:iCs/>
              <w:sz w:val="22"/>
              <w:szCs w:val="22"/>
              <w:lang w:val="es-ES"/>
            </w:rPr>
          </w:pPr>
        </w:p>
        <w:p w:rsidR="00FE6DA8" w:rsidP="005E3BD6" w:rsidRDefault="00FE6DA8" w14:paraId="114AB810" w14:textId="77777777">
          <w:pPr>
            <w:ind w:left="426"/>
            <w:jc w:val="both"/>
            <w:rPr>
              <w:rFonts w:ascii="Nunito Sans" w:hAnsi="Nunito Sans" w:cs="Calibri" w:eastAsiaTheme="minorEastAsia"/>
              <w:i/>
              <w:iCs/>
              <w:sz w:val="22"/>
              <w:szCs w:val="22"/>
              <w:lang w:val="es-ES"/>
            </w:rPr>
          </w:pPr>
        </w:p>
        <w:tbl>
          <w:tblPr>
            <w:tblStyle w:val="Tablaconcuadrcula"/>
            <w:tblW w:w="9498" w:type="dxa"/>
            <w:tblInd w:w="-5"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1985"/>
            <w:gridCol w:w="1984"/>
            <w:gridCol w:w="1843"/>
            <w:gridCol w:w="1843"/>
            <w:gridCol w:w="1843"/>
          </w:tblGrid>
          <w:tr w:rsidRPr="00C825FF" w:rsidR="005E3BD6" w:rsidTr="004F5BF5" w14:paraId="4A5DEF99" w14:textId="77777777">
            <w:trPr>
              <w:trHeight w:val="675"/>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7B821E50" w14:textId="77777777">
                <w:pPr>
                  <w:jc w:val="center"/>
                  <w:rPr>
                    <w:rFonts w:ascii="Nunito Sans" w:hAnsi="Nunito Sans" w:eastAsia="Arial" w:cs="Calibri"/>
                    <w:b/>
                    <w:bCs/>
                    <w:color w:val="FFFFFF" w:themeColor="background1"/>
                    <w:sz w:val="18"/>
                    <w:szCs w:val="18"/>
                    <w:lang w:val="es-ES"/>
                  </w:rPr>
                </w:pPr>
                <w:r w:rsidRPr="004F5BF5">
                  <w:rPr>
                    <w:rFonts w:ascii="Nunito Sans" w:hAnsi="Nunito Sans" w:eastAsia="Arial" w:cs="Calibri"/>
                    <w:b/>
                    <w:bCs/>
                    <w:color w:val="FFFFFF" w:themeColor="background1"/>
                    <w:sz w:val="18"/>
                    <w:szCs w:val="18"/>
                    <w:lang w:val="es-ES"/>
                  </w:rPr>
                  <w:t>COMPONENTE DE INFRAESTRUCTURA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8727D2" w:rsidRDefault="005E3BD6" w14:paraId="49D1ED74" w14:textId="77777777">
                <w:pPr>
                  <w:spacing w:line="259" w:lineRule="auto"/>
                  <w:jc w:val="center"/>
                  <w:rPr>
                    <w:rFonts w:ascii="Nunito Sans" w:hAnsi="Nunito Sans" w:cs="Calibri" w:eastAsiaTheme="majorEastAsia"/>
                    <w:b/>
                    <w:bCs/>
                    <w:color w:val="FFFFFF" w:themeColor="background1"/>
                    <w:sz w:val="18"/>
                    <w:szCs w:val="18"/>
                    <w:lang w:val="en-US"/>
                  </w:rPr>
                </w:pPr>
                <w:r w:rsidRPr="008727D2">
                  <w:rPr>
                    <w:rFonts w:ascii="Nunito Sans" w:hAnsi="Nunito Sans" w:cs="Calibri" w:eastAsiaTheme="majorEastAsia"/>
                    <w:b/>
                    <w:bCs/>
                    <w:color w:val="FFFFFF" w:themeColor="background1"/>
                    <w:sz w:val="18"/>
                    <w:szCs w:val="18"/>
                    <w:lang w:val="en-US"/>
                  </w:rPr>
                  <w:t>IPSE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8727D2" w:rsidRDefault="005E3BD6" w14:paraId="158F67DD" w14:textId="77777777">
                <w:pPr>
                  <w:spacing w:line="259" w:lineRule="auto"/>
                  <w:jc w:val="center"/>
                  <w:rPr>
                    <w:rFonts w:ascii="Nunito Sans" w:hAnsi="Nunito Sans" w:cs="Calibri" w:eastAsiaTheme="majorEastAsia"/>
                    <w:b/>
                    <w:bCs/>
                    <w:color w:val="FFFFFF" w:themeColor="background1"/>
                    <w:sz w:val="18"/>
                    <w:szCs w:val="18"/>
                    <w:lang w:val="en-US"/>
                  </w:rPr>
                </w:pPr>
                <w:r w:rsidRPr="008727D2">
                  <w:rPr>
                    <w:rFonts w:ascii="Nunito Sans" w:hAnsi="Nunito Sans" w:cs="Calibri" w:eastAsiaTheme="majorEastAsia"/>
                    <w:b/>
                    <w:bCs/>
                    <w:color w:val="FFFFFF" w:themeColor="background1"/>
                    <w:sz w:val="18"/>
                    <w:szCs w:val="18"/>
                    <w:lang w:val="en-US"/>
                  </w:rPr>
                  <w:t>SGC</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8727D2" w:rsidRDefault="005E3BD6" w14:paraId="39905244" w14:textId="77777777">
                <w:pPr>
                  <w:spacing w:line="259" w:lineRule="auto"/>
                  <w:jc w:val="center"/>
                  <w:rPr>
                    <w:rFonts w:ascii="Nunito Sans" w:hAnsi="Nunito Sans" w:cs="Calibri" w:eastAsiaTheme="majorEastAsia"/>
                    <w:b/>
                    <w:bCs/>
                    <w:color w:val="FFFFFF" w:themeColor="background1"/>
                    <w:sz w:val="18"/>
                    <w:szCs w:val="18"/>
                    <w:lang w:val="en-US"/>
                  </w:rPr>
                </w:pPr>
                <w:r w:rsidRPr="008727D2">
                  <w:rPr>
                    <w:rFonts w:ascii="Nunito Sans" w:hAnsi="Nunito Sans" w:cs="Calibri" w:eastAsiaTheme="majorEastAsia"/>
                    <w:b/>
                    <w:bCs/>
                    <w:color w:val="FFFFFF" w:themeColor="background1"/>
                    <w:sz w:val="18"/>
                    <w:szCs w:val="18"/>
                    <w:lang w:val="en-US"/>
                  </w:rPr>
                  <w:t>UPME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8727D2" w:rsidR="005E3BD6" w:rsidP="008727D2" w:rsidRDefault="005E3BD6" w14:paraId="70B0D164" w14:textId="77777777">
                <w:pPr>
                  <w:spacing w:line="259" w:lineRule="auto"/>
                  <w:jc w:val="center"/>
                  <w:rPr>
                    <w:rFonts w:ascii="Nunito Sans" w:hAnsi="Nunito Sans" w:cs="Calibri" w:eastAsiaTheme="majorEastAsia"/>
                    <w:b/>
                    <w:bCs/>
                    <w:color w:val="FFFFFF" w:themeColor="background1"/>
                    <w:sz w:val="18"/>
                    <w:szCs w:val="18"/>
                    <w:lang w:val="en-US"/>
                  </w:rPr>
                </w:pPr>
                <w:r w:rsidRPr="008727D2">
                  <w:rPr>
                    <w:rFonts w:ascii="Nunito Sans" w:hAnsi="Nunito Sans" w:cs="Calibri" w:eastAsiaTheme="majorEastAsia"/>
                    <w:b/>
                    <w:bCs/>
                    <w:color w:val="FFFFFF" w:themeColor="background1"/>
                    <w:sz w:val="18"/>
                    <w:szCs w:val="18"/>
                    <w:lang w:val="en-US"/>
                  </w:rPr>
                  <w:t>FENOGE</w:t>
                </w:r>
              </w:p>
            </w:tc>
          </w:tr>
          <w:tr w:rsidRPr="00C825FF" w:rsidR="005E3BD6" w:rsidTr="004F5BF5" w14:paraId="3AADE434" w14:textId="77777777">
            <w:trPr>
              <w:trHeight w:val="300"/>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10BDAD9B" w14:textId="78FCC913">
                <w:pPr>
                  <w:spacing w:line="259" w:lineRule="auto"/>
                  <w:jc w:val="center"/>
                  <w:rPr>
                    <w:rFonts w:ascii="Nunito Sans" w:hAnsi="Nunito Sans" w:cs="Calibri" w:eastAsiaTheme="minorEastAsia"/>
                    <w:b/>
                    <w:bCs/>
                    <w:color w:val="FFFFFF" w:themeColor="background1"/>
                    <w:sz w:val="18"/>
                    <w:szCs w:val="18"/>
                    <w:lang w:val="es-ES"/>
                  </w:rPr>
                </w:pPr>
                <w:r w:rsidRPr="004F5BF5">
                  <w:rPr>
                    <w:rFonts w:ascii="Nunito Sans" w:hAnsi="Nunito Sans" w:cs="Calibri" w:eastAsiaTheme="minorEastAsia"/>
                    <w:b/>
                    <w:bCs/>
                    <w:color w:val="FFFFFF" w:themeColor="background1"/>
                    <w:sz w:val="18"/>
                    <w:szCs w:val="18"/>
                    <w:lang w:val="es-ES"/>
                  </w:rPr>
                  <w:lastRenderedPageBreak/>
                  <w:t>SERVIDORES Y VIRTUALIZACIÓN</w:t>
                </w:r>
              </w:p>
            </w:tc>
            <w:tc>
              <w:tcPr>
                <w:tcW w:w="1984" w:type="dxa"/>
                <w:tcBorders>
                  <w:top w:val="single" w:color="FFFFFF" w:themeColor="background1" w:sz="4" w:space="0"/>
                  <w:left w:val="single" w:color="FFFFFF" w:themeColor="background1" w:sz="4" w:space="0"/>
                </w:tcBorders>
                <w:vAlign w:val="center"/>
              </w:tcPr>
              <w:p w:rsidRPr="00C825FF" w:rsidR="005E3BD6" w:rsidP="004F5BF5" w:rsidRDefault="005E3BD6" w14:paraId="57B9D1CC" w14:textId="77777777">
                <w:pPr>
                  <w:jc w:val="center"/>
                  <w:rPr>
                    <w:rFonts w:ascii="Nunito Sans" w:hAnsi="Nunito Sans" w:eastAsia="Arial" w:cs="Calibri"/>
                    <w:sz w:val="18"/>
                    <w:szCs w:val="18"/>
                  </w:rPr>
                </w:pPr>
                <w:r w:rsidRPr="00C825FF">
                  <w:rPr>
                    <w:rFonts w:ascii="Nunito Sans" w:hAnsi="Nunito Sans" w:eastAsia="Arial" w:cs="Calibri"/>
                    <w:sz w:val="18"/>
                    <w:szCs w:val="18"/>
                  </w:rPr>
                  <w:t>Plataforma On Price – Ambientes de pruebas y producción.</w:t>
                </w:r>
              </w:p>
            </w:tc>
            <w:tc>
              <w:tcPr>
                <w:tcW w:w="1843" w:type="dxa"/>
                <w:tcBorders>
                  <w:top w:val="single" w:color="FFFFFF" w:themeColor="background1" w:sz="4" w:space="0"/>
                </w:tcBorders>
                <w:vAlign w:val="center"/>
              </w:tcPr>
              <w:p w:rsidRPr="00C825FF" w:rsidR="005E3BD6" w:rsidP="004F5BF5" w:rsidRDefault="005E3BD6" w14:paraId="0EB26BAF" w14:textId="77777777">
                <w:pPr>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Plataforma virtualización adquirida desplegado en servidores físicos instalados de manera local</w:t>
                </w:r>
              </w:p>
            </w:tc>
            <w:tc>
              <w:tcPr>
                <w:tcW w:w="1843" w:type="dxa"/>
                <w:tcBorders>
                  <w:top w:val="single" w:color="FFFFFF" w:themeColor="background1" w:sz="4" w:space="0"/>
                </w:tcBorders>
                <w:vAlign w:val="center"/>
              </w:tcPr>
              <w:p w:rsidRPr="00C825FF" w:rsidR="005E3BD6" w:rsidP="004F5BF5" w:rsidRDefault="005E3BD6" w14:paraId="6DD9D39E" w14:textId="77777777">
                <w:pPr>
                  <w:shd w:val="clear" w:color="auto" w:fill="FFFFFF" w:themeFill="background1"/>
                  <w:jc w:val="center"/>
                  <w:rPr>
                    <w:rFonts w:ascii="Nunito Sans" w:hAnsi="Nunito Sans" w:eastAsia="Arial" w:cs="Calibri"/>
                    <w:sz w:val="18"/>
                    <w:szCs w:val="18"/>
                  </w:rPr>
                </w:pPr>
                <w:r w:rsidRPr="00C825FF">
                  <w:rPr>
                    <w:rFonts w:ascii="Nunito Sans" w:hAnsi="Nunito Sans" w:eastAsia="Arial" w:cs="Calibri"/>
                    <w:sz w:val="18"/>
                    <w:szCs w:val="18"/>
                  </w:rPr>
                  <w:t>Plataforma de HCI Onpremises</w:t>
                </w:r>
              </w:p>
              <w:p w:rsidRPr="00C825FF" w:rsidR="005E3BD6" w:rsidP="004F5BF5" w:rsidRDefault="005E3BD6" w14:paraId="58983355" w14:textId="58A815E6">
                <w:pPr>
                  <w:shd w:val="clear" w:color="auto" w:fill="FFFFFF" w:themeFill="background1"/>
                  <w:jc w:val="center"/>
                  <w:rPr>
                    <w:rFonts w:ascii="Nunito Sans" w:hAnsi="Nunito Sans" w:eastAsia="Arial" w:cs="Calibri"/>
                    <w:sz w:val="18"/>
                    <w:szCs w:val="18"/>
                  </w:rPr>
                </w:pPr>
                <w:r w:rsidRPr="00C825FF">
                  <w:rPr>
                    <w:rFonts w:ascii="Nunito Sans" w:hAnsi="Nunito Sans" w:eastAsia="Arial" w:cs="Calibri"/>
                    <w:sz w:val="18"/>
                    <w:szCs w:val="18"/>
                  </w:rPr>
                  <w:t xml:space="preserve">Plataforma de </w:t>
                </w:r>
                <w:r w:rsidRPr="00C825FF" w:rsidR="00A72F69">
                  <w:rPr>
                    <w:rFonts w:ascii="Nunito Sans" w:hAnsi="Nunito Sans" w:eastAsia="Arial" w:cs="Calibri"/>
                    <w:sz w:val="18"/>
                    <w:szCs w:val="18"/>
                  </w:rPr>
                  <w:t>Escritorios</w:t>
                </w:r>
                <w:r w:rsidRPr="00C825FF">
                  <w:rPr>
                    <w:rFonts w:ascii="Nunito Sans" w:hAnsi="Nunito Sans" w:eastAsia="Arial" w:cs="Calibri"/>
                    <w:sz w:val="18"/>
                    <w:szCs w:val="18"/>
                  </w:rPr>
                  <w:t xml:space="preserve"> Virtuales</w:t>
                </w:r>
              </w:p>
            </w:tc>
            <w:tc>
              <w:tcPr>
                <w:tcW w:w="1843" w:type="dxa"/>
                <w:tcBorders>
                  <w:top w:val="single" w:color="FFFFFF" w:themeColor="background1" w:sz="4" w:space="0"/>
                </w:tcBorders>
                <w:vAlign w:val="center"/>
              </w:tcPr>
              <w:p w:rsidRPr="00C825FF" w:rsidR="005E3BD6" w:rsidP="004F5BF5" w:rsidRDefault="005E3BD6" w14:paraId="61F6231C" w14:textId="77777777">
                <w:pPr>
                  <w:jc w:val="center"/>
                  <w:rPr>
                    <w:rFonts w:ascii="Nunito Sans" w:hAnsi="Nunito Sans" w:eastAsia="Arial" w:cs="Calibri"/>
                    <w:sz w:val="18"/>
                    <w:szCs w:val="18"/>
                  </w:rPr>
                </w:pPr>
                <w:r w:rsidRPr="00C825FF">
                  <w:rPr>
                    <w:rFonts w:ascii="Nunito Sans" w:hAnsi="Nunito Sans" w:eastAsia="Arial" w:cs="Calibri"/>
                    <w:sz w:val="18"/>
                    <w:szCs w:val="18"/>
                  </w:rPr>
                  <w:t>Ambientes de pruebas y Producción aprovisionado como SaasS en servidor virtualizado.</w:t>
                </w:r>
              </w:p>
            </w:tc>
          </w:tr>
          <w:tr w:rsidRPr="00C825FF" w:rsidR="005E3BD6" w:rsidTr="004F5BF5" w14:paraId="22A725CA" w14:textId="77777777">
            <w:trPr>
              <w:trHeight w:val="300"/>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3C188279" w14:textId="77777777">
                <w:pPr>
                  <w:spacing w:line="259" w:lineRule="auto"/>
                  <w:jc w:val="center"/>
                  <w:rPr>
                    <w:rFonts w:ascii="Nunito Sans" w:hAnsi="Nunito Sans" w:cs="Calibri" w:eastAsiaTheme="minorEastAsia"/>
                    <w:b/>
                    <w:bCs/>
                    <w:color w:val="FFFFFF" w:themeColor="background1"/>
                    <w:sz w:val="18"/>
                    <w:szCs w:val="18"/>
                    <w:lang w:val="es-ES"/>
                  </w:rPr>
                </w:pPr>
                <w:r w:rsidRPr="004F5BF5">
                  <w:rPr>
                    <w:rFonts w:ascii="Nunito Sans" w:hAnsi="Nunito Sans" w:cs="Calibri" w:eastAsiaTheme="minorEastAsia"/>
                    <w:b/>
                    <w:bCs/>
                    <w:color w:val="FFFFFF" w:themeColor="background1"/>
                    <w:sz w:val="18"/>
                    <w:szCs w:val="18"/>
                    <w:lang w:val="es-ES"/>
                  </w:rPr>
                  <w:t>CONECTIVIDAD Y COMUNICACIONES</w:t>
                </w:r>
                <w:r w:rsidRPr="004F5BF5">
                  <w:rPr>
                    <w:rFonts w:ascii="Nunito Sans" w:hAnsi="Nunito Sans" w:cs="Nunito Sans" w:eastAsiaTheme="minorEastAsia"/>
                    <w:b/>
                    <w:bCs/>
                    <w:color w:val="FFFFFF" w:themeColor="background1"/>
                    <w:sz w:val="18"/>
                    <w:szCs w:val="18"/>
                    <w:lang w:val="es-ES"/>
                  </w:rPr>
                  <w:t>￼</w:t>
                </w:r>
              </w:p>
            </w:tc>
            <w:tc>
              <w:tcPr>
                <w:tcW w:w="1984" w:type="dxa"/>
                <w:tcBorders>
                  <w:left w:val="single" w:color="FFFFFF" w:themeColor="background1" w:sz="4" w:space="0"/>
                </w:tcBorders>
                <w:vAlign w:val="center"/>
              </w:tcPr>
              <w:p w:rsidRPr="00C825FF" w:rsidR="005E3BD6" w:rsidP="004F5BF5" w:rsidRDefault="005E3BD6" w14:paraId="13521ECC" w14:textId="77777777">
                <w:pPr>
                  <w:shd w:val="clear" w:color="auto" w:fill="FFFFFF" w:themeFill="background1"/>
                  <w:spacing w:line="259" w:lineRule="auto"/>
                  <w:jc w:val="center"/>
                  <w:rPr>
                    <w:rFonts w:ascii="Nunito Sans" w:hAnsi="Nunito Sans" w:eastAsia="Arial" w:cs="Calibri"/>
                    <w:sz w:val="18"/>
                    <w:szCs w:val="18"/>
                  </w:rPr>
                </w:pPr>
                <w:r w:rsidRPr="00C825FF">
                  <w:rPr>
                    <w:rFonts w:ascii="Nunito Sans" w:hAnsi="Nunito Sans" w:eastAsia="Arial" w:cs="Calibri"/>
                    <w:sz w:val="18"/>
                    <w:szCs w:val="18"/>
                  </w:rPr>
                  <w:t>Acceso a internet en FIBRA, Wi Fi 5, VLAN capa 2</w:t>
                </w:r>
              </w:p>
              <w:p w:rsidRPr="00C825FF" w:rsidR="005E3BD6" w:rsidP="004F5BF5" w:rsidRDefault="005E3BD6" w14:paraId="50742C7C" w14:textId="77777777">
                <w:pPr>
                  <w:jc w:val="center"/>
                  <w:rPr>
                    <w:rFonts w:ascii="Nunito Sans" w:hAnsi="Nunito Sans" w:eastAsia="Arial" w:cs="Calibri"/>
                    <w:sz w:val="18"/>
                    <w:szCs w:val="18"/>
                    <w:lang w:val="es-ES"/>
                  </w:rPr>
                </w:pPr>
              </w:p>
            </w:tc>
            <w:tc>
              <w:tcPr>
                <w:tcW w:w="1843" w:type="dxa"/>
                <w:vAlign w:val="center"/>
              </w:tcPr>
              <w:p w:rsidRPr="00C825FF" w:rsidR="005E3BD6" w:rsidP="004F5BF5" w:rsidRDefault="005E3BD6" w14:paraId="13DB699D" w14:textId="77777777">
                <w:pPr>
                  <w:shd w:val="clear" w:color="auto" w:fill="FFFFFF" w:themeFill="background1"/>
                  <w:spacing w:line="259" w:lineRule="auto"/>
                  <w:jc w:val="center"/>
                  <w:rPr>
                    <w:rFonts w:ascii="Nunito Sans" w:hAnsi="Nunito Sans" w:eastAsia="Arial" w:cs="Calibri"/>
                    <w:sz w:val="18"/>
                    <w:szCs w:val="18"/>
                  </w:rPr>
                </w:pPr>
                <w:r w:rsidRPr="00C825FF">
                  <w:rPr>
                    <w:rFonts w:ascii="Nunito Sans" w:hAnsi="Nunito Sans" w:eastAsia="Arial" w:cs="Calibri"/>
                    <w:sz w:val="18"/>
                    <w:szCs w:val="18"/>
                  </w:rPr>
                  <w:t>Acceso a internet en HA, Wi Fi 5, VLAN capa 3</w:t>
                </w:r>
              </w:p>
              <w:p w:rsidRPr="00C825FF" w:rsidR="005E3BD6" w:rsidP="004F5BF5" w:rsidRDefault="005E3BD6" w14:paraId="636F7A55" w14:textId="77777777">
                <w:pPr>
                  <w:jc w:val="center"/>
                  <w:rPr>
                    <w:rFonts w:ascii="Nunito Sans" w:hAnsi="Nunito Sans" w:eastAsia="Arial" w:cs="Calibri"/>
                    <w:sz w:val="18"/>
                    <w:szCs w:val="18"/>
                    <w:lang w:val="es-ES"/>
                  </w:rPr>
                </w:pPr>
              </w:p>
            </w:tc>
            <w:tc>
              <w:tcPr>
                <w:tcW w:w="1843" w:type="dxa"/>
                <w:vAlign w:val="center"/>
              </w:tcPr>
              <w:p w:rsidRPr="00C825FF" w:rsidR="005E3BD6" w:rsidP="004F5BF5" w:rsidRDefault="005E3BD6" w14:paraId="46B507F7" w14:textId="77777777">
                <w:pPr>
                  <w:shd w:val="clear" w:color="auto" w:fill="FFFFFF" w:themeFill="background1"/>
                  <w:spacing w:line="259" w:lineRule="auto"/>
                  <w:jc w:val="center"/>
                  <w:rPr>
                    <w:rFonts w:ascii="Nunito Sans" w:hAnsi="Nunito Sans" w:eastAsia="Arial" w:cs="Calibri"/>
                    <w:sz w:val="18"/>
                    <w:szCs w:val="18"/>
                  </w:rPr>
                </w:pPr>
                <w:r w:rsidRPr="00C825FF">
                  <w:rPr>
                    <w:rFonts w:ascii="Nunito Sans" w:hAnsi="Nunito Sans" w:eastAsia="Arial" w:cs="Calibri"/>
                    <w:sz w:val="18"/>
                    <w:szCs w:val="18"/>
                  </w:rPr>
                  <w:t>Acceso a internet en HA, Wi Fi 5</w:t>
                </w:r>
              </w:p>
            </w:tc>
            <w:tc>
              <w:tcPr>
                <w:tcW w:w="1843" w:type="dxa"/>
                <w:vAlign w:val="center"/>
              </w:tcPr>
              <w:p w:rsidRPr="00C825FF" w:rsidR="005E3BD6" w:rsidP="004F5BF5" w:rsidRDefault="005E3BD6" w14:paraId="29FF5697" w14:textId="45E6FD90">
                <w:pPr>
                  <w:shd w:val="clear" w:color="auto" w:fill="FFFFFF" w:themeFill="background1"/>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Gestión centralizada</w:t>
                </w:r>
              </w:p>
              <w:p w:rsidRPr="00C825FF" w:rsidR="005E3BD6" w:rsidP="004F5BF5" w:rsidRDefault="005E3BD6" w14:paraId="43A999C0" w14:textId="31E4083A">
                <w:pPr>
                  <w:shd w:val="clear" w:color="auto" w:fill="FFFFFF" w:themeFill="background1"/>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 xml:space="preserve">Segmentación por </w:t>
                </w:r>
                <w:r w:rsidRPr="00C825FF" w:rsidR="002239E4">
                  <w:rPr>
                    <w:rFonts w:ascii="Nunito Sans" w:hAnsi="Nunito Sans" w:eastAsia="Arial" w:cs="Calibri"/>
                    <w:sz w:val="18"/>
                    <w:szCs w:val="18"/>
                    <w:lang w:val="es-ES"/>
                  </w:rPr>
                  <w:t>VLAN.QoS. Seguridad</w:t>
                </w:r>
                <w:r w:rsidRPr="00C825FF">
                  <w:rPr>
                    <w:rFonts w:ascii="Nunito Sans" w:hAnsi="Nunito Sans" w:eastAsia="Arial" w:cs="Calibri"/>
                    <w:sz w:val="18"/>
                    <w:szCs w:val="18"/>
                    <w:lang w:val="es-ES"/>
                  </w:rPr>
                  <w:t xml:space="preserve"> WPA2/WPA3 y autenticación 802.1X.</w:t>
                </w:r>
              </w:p>
              <w:p w:rsidRPr="00C825FF" w:rsidR="005E3BD6" w:rsidP="004F5BF5" w:rsidRDefault="005E3BD6" w14:paraId="5C7C2BBF" w14:textId="77777777">
                <w:pPr>
                  <w:shd w:val="clear" w:color="auto" w:fill="FFFFFF" w:themeFill="background1"/>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Wi Fi 6</w:t>
                </w:r>
              </w:p>
            </w:tc>
          </w:tr>
          <w:tr w:rsidRPr="00C825FF" w:rsidR="005E3BD6" w:rsidTr="004F5BF5" w14:paraId="7577DA4D" w14:textId="77777777">
            <w:trPr>
              <w:trHeight w:val="300"/>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01618357" w14:textId="77777777">
                <w:pPr>
                  <w:spacing w:line="259" w:lineRule="auto"/>
                  <w:jc w:val="center"/>
                  <w:rPr>
                    <w:rFonts w:ascii="Nunito Sans" w:hAnsi="Nunito Sans" w:cs="Calibri" w:eastAsiaTheme="minorEastAsia"/>
                    <w:b/>
                    <w:bCs/>
                    <w:color w:val="FFFFFF" w:themeColor="background1"/>
                    <w:sz w:val="18"/>
                    <w:szCs w:val="18"/>
                    <w:lang w:val="es-ES"/>
                  </w:rPr>
                </w:pPr>
                <w:r w:rsidRPr="004F5BF5">
                  <w:rPr>
                    <w:rFonts w:ascii="Nunito Sans" w:hAnsi="Nunito Sans" w:cs="Calibri" w:eastAsiaTheme="minorEastAsia"/>
                    <w:b/>
                    <w:bCs/>
                    <w:color w:val="FFFFFF" w:themeColor="background1"/>
                    <w:sz w:val="18"/>
                    <w:szCs w:val="18"/>
                    <w:lang w:val="es-ES"/>
                  </w:rPr>
                  <w:t>ALMACENAMIENTO Y RESPALDO</w:t>
                </w:r>
              </w:p>
            </w:tc>
            <w:tc>
              <w:tcPr>
                <w:tcW w:w="1984" w:type="dxa"/>
                <w:tcBorders>
                  <w:left w:val="single" w:color="FFFFFF" w:themeColor="background1" w:sz="4" w:space="0"/>
                </w:tcBorders>
                <w:vAlign w:val="center"/>
              </w:tcPr>
              <w:p w:rsidRPr="00C825FF" w:rsidR="005E3BD6" w:rsidP="004F5BF5" w:rsidRDefault="005E3BD6" w14:paraId="14F842A0" w14:textId="682F20F7">
                <w:pPr>
                  <w:jc w:val="center"/>
                  <w:rPr>
                    <w:rFonts w:ascii="Nunito Sans" w:hAnsi="Nunito Sans" w:eastAsia="Arial" w:cs="Calibri"/>
                    <w:sz w:val="18"/>
                    <w:szCs w:val="18"/>
                  </w:rPr>
                </w:pPr>
                <w:r w:rsidRPr="00C825FF">
                  <w:rPr>
                    <w:rFonts w:ascii="Nunito Sans" w:hAnsi="Nunito Sans" w:eastAsia="Arial" w:cs="Calibri"/>
                    <w:sz w:val="18"/>
                    <w:szCs w:val="18"/>
                  </w:rPr>
                  <w:t xml:space="preserve">Almacenamiento de infraestructura </w:t>
                </w:r>
                <w:r w:rsidRPr="00C825FF" w:rsidR="002239E4">
                  <w:rPr>
                    <w:rFonts w:ascii="Nunito Sans" w:hAnsi="Nunito Sans" w:eastAsia="Arial" w:cs="Calibri"/>
                    <w:sz w:val="18"/>
                    <w:szCs w:val="18"/>
                  </w:rPr>
                  <w:t>hiperconvergentes</w:t>
                </w:r>
                <w:r w:rsidRPr="00C825FF">
                  <w:rPr>
                    <w:rFonts w:ascii="Nunito Sans" w:hAnsi="Nunito Sans" w:eastAsia="Arial" w:cs="Calibri"/>
                    <w:sz w:val="18"/>
                    <w:szCs w:val="18"/>
                  </w:rPr>
                  <w:t xml:space="preserve"> (HCI) basada en HPE SimpliVity – IBM FLASH</w:t>
                </w:r>
              </w:p>
            </w:tc>
            <w:tc>
              <w:tcPr>
                <w:tcW w:w="1843" w:type="dxa"/>
                <w:vAlign w:val="center"/>
              </w:tcPr>
              <w:p w:rsidRPr="00C825FF" w:rsidR="005E3BD6" w:rsidP="004F5BF5" w:rsidRDefault="005E3BD6" w14:paraId="1320B970" w14:textId="77777777">
                <w:pPr>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Almacenamiento embebido en la plataforma de servidores.</w:t>
                </w:r>
              </w:p>
              <w:p w:rsidRPr="00C825FF" w:rsidR="005E3BD6" w:rsidP="004F5BF5" w:rsidRDefault="005E3BD6" w14:paraId="6976BD56" w14:textId="77777777">
                <w:pPr>
                  <w:jc w:val="center"/>
                  <w:rPr>
                    <w:rFonts w:ascii="Nunito Sans" w:hAnsi="Nunito Sans" w:eastAsia="Arial" w:cs="Calibri"/>
                    <w:sz w:val="18"/>
                    <w:szCs w:val="18"/>
                    <w:lang w:val="es-ES"/>
                  </w:rPr>
                </w:pPr>
              </w:p>
            </w:tc>
            <w:tc>
              <w:tcPr>
                <w:tcW w:w="1843" w:type="dxa"/>
                <w:vAlign w:val="center"/>
              </w:tcPr>
              <w:p w:rsidRPr="00C825FF" w:rsidR="005E3BD6" w:rsidP="004F5BF5" w:rsidRDefault="005E3BD6" w14:paraId="0B4A84EB" w14:textId="77777777">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Sistemas de alto desempeño instalados en sitio.</w:t>
                </w:r>
              </w:p>
            </w:tc>
            <w:tc>
              <w:tcPr>
                <w:tcW w:w="1843" w:type="dxa"/>
                <w:vAlign w:val="center"/>
              </w:tcPr>
              <w:p w:rsidRPr="00C825FF" w:rsidR="005E3BD6" w:rsidP="004F5BF5" w:rsidRDefault="715499F4" w14:paraId="44D9E01F" w14:textId="634A668A">
                <w:pPr>
                  <w:jc w:val="center"/>
                </w:pPr>
                <w:r w:rsidRPr="3D9E0835">
                  <w:rPr>
                    <w:rFonts w:ascii="Nunito Sans" w:hAnsi="Nunito Sans" w:eastAsia="Arial" w:cs="Calibri"/>
                    <w:sz w:val="18"/>
                    <w:szCs w:val="18"/>
                    <w:lang w:val="es-ES"/>
                  </w:rPr>
                  <w:t>Sistemas de alto desempeño instalados en sitio y respaldos (backups) en la nube.</w:t>
                </w:r>
              </w:p>
            </w:tc>
          </w:tr>
          <w:tr w:rsidRPr="00C825FF" w:rsidR="005E3BD6" w:rsidTr="004F5BF5" w14:paraId="05186BAF" w14:textId="77777777">
            <w:trPr>
              <w:trHeight w:val="300"/>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11FEC266" w14:textId="77777777">
                <w:pPr>
                  <w:spacing w:line="259" w:lineRule="auto"/>
                  <w:jc w:val="center"/>
                  <w:rPr>
                    <w:rFonts w:ascii="Nunito Sans" w:hAnsi="Nunito Sans" w:cs="Calibri" w:eastAsiaTheme="minorEastAsia"/>
                    <w:b/>
                    <w:bCs/>
                    <w:color w:val="FFFFFF" w:themeColor="background1"/>
                    <w:sz w:val="18"/>
                    <w:szCs w:val="18"/>
                    <w:lang w:val="es-ES"/>
                  </w:rPr>
                </w:pPr>
                <w:r w:rsidRPr="004F5BF5">
                  <w:rPr>
                    <w:rFonts w:ascii="Nunito Sans" w:hAnsi="Nunito Sans" w:cs="Calibri" w:eastAsiaTheme="minorEastAsia"/>
                    <w:b/>
                    <w:bCs/>
                    <w:color w:val="FFFFFF" w:themeColor="background1"/>
                    <w:sz w:val="18"/>
                    <w:szCs w:val="18"/>
                    <w:lang w:val="es-ES"/>
                  </w:rPr>
                  <w:t>NUBE</w:t>
                </w:r>
              </w:p>
            </w:tc>
            <w:tc>
              <w:tcPr>
                <w:tcW w:w="1984" w:type="dxa"/>
                <w:tcBorders>
                  <w:left w:val="single" w:color="FFFFFF" w:themeColor="background1" w:sz="4" w:space="0"/>
                </w:tcBorders>
                <w:vAlign w:val="center"/>
              </w:tcPr>
              <w:p w:rsidRPr="00C825FF" w:rsidR="005E3BD6" w:rsidP="004F5BF5" w:rsidRDefault="005E3BD6" w14:paraId="7574716F" w14:textId="77777777">
                <w:pPr>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No Identificado</w:t>
                </w:r>
              </w:p>
            </w:tc>
            <w:tc>
              <w:tcPr>
                <w:tcW w:w="1843" w:type="dxa"/>
                <w:vAlign w:val="center"/>
              </w:tcPr>
              <w:p w:rsidRPr="00C825FF" w:rsidR="005E3BD6" w:rsidP="004F5BF5" w:rsidRDefault="4BAE4CB3" w14:paraId="0F3099E0" w14:textId="204EB4C2">
                <w:pPr>
                  <w:jc w:val="center"/>
                  <w:rPr>
                    <w:rFonts w:ascii="Nunito Sans" w:hAnsi="Nunito Sans" w:eastAsia="Arial" w:cs="Calibri"/>
                    <w:sz w:val="18"/>
                    <w:szCs w:val="18"/>
                    <w:lang w:val="es-ES"/>
                  </w:rPr>
                </w:pPr>
                <w:r w:rsidRPr="4E60D266">
                  <w:rPr>
                    <w:rFonts w:ascii="Nunito Sans" w:hAnsi="Nunito Sans" w:eastAsia="Nunito Sans" w:cs="Nunito Sans"/>
                    <w:sz w:val="18"/>
                    <w:szCs w:val="18"/>
                    <w:lang w:val="es-ES"/>
                  </w:rPr>
                  <w:t>Microsoft Azure®</w:t>
                </w:r>
                <w:r w:rsidRPr="4E60D266" w:rsidR="1F325162">
                  <w:rPr>
                    <w:rFonts w:ascii="Nunito Sans" w:hAnsi="Nunito Sans" w:eastAsia="Arial" w:cs="Calibri"/>
                    <w:sz w:val="18"/>
                    <w:szCs w:val="18"/>
                    <w:lang w:val="es-ES"/>
                  </w:rPr>
                  <w:t xml:space="preserve"> de alto desempeño</w:t>
                </w:r>
              </w:p>
            </w:tc>
            <w:tc>
              <w:tcPr>
                <w:tcW w:w="1843" w:type="dxa"/>
                <w:vAlign w:val="center"/>
              </w:tcPr>
              <w:p w:rsidRPr="00C825FF" w:rsidR="005E3BD6" w:rsidP="004F5BF5" w:rsidRDefault="005E3BD6" w14:paraId="568BE53D" w14:textId="499A4492">
                <w:pPr>
                  <w:shd w:val="clear" w:color="auto" w:fill="FFFFFF" w:themeFill="background1"/>
                  <w:spacing w:line="259" w:lineRule="auto"/>
                  <w:jc w:val="center"/>
                  <w:rPr>
                    <w:rFonts w:ascii="Nunito Sans" w:hAnsi="Nunito Sans" w:eastAsia="Arial" w:cs="Calibri"/>
                    <w:sz w:val="18"/>
                    <w:szCs w:val="18"/>
                  </w:rPr>
                </w:pPr>
                <w:r w:rsidRPr="00C825FF">
                  <w:rPr>
                    <w:rFonts w:ascii="Nunito Sans" w:hAnsi="Nunito Sans" w:eastAsia="Arial" w:cs="Calibri"/>
                    <w:sz w:val="18"/>
                    <w:szCs w:val="18"/>
                  </w:rPr>
                  <w:t>Servicio de Herramienta</w:t>
                </w:r>
              </w:p>
              <w:p w:rsidRPr="00C825FF" w:rsidR="005E3BD6" w:rsidP="004F5BF5" w:rsidRDefault="005E3BD6" w14:paraId="4FE63E35" w14:textId="77777777">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colaborativa en nube</w:t>
                </w:r>
              </w:p>
            </w:tc>
            <w:tc>
              <w:tcPr>
                <w:tcW w:w="1843" w:type="dxa"/>
                <w:vAlign w:val="center"/>
              </w:tcPr>
              <w:p w:rsidRPr="00C825FF" w:rsidR="005E3BD6" w:rsidP="004F5BF5" w:rsidRDefault="3036A36C" w14:paraId="4EED6A6B" w14:textId="149B2FBC">
                <w:pPr>
                  <w:jc w:val="center"/>
                </w:pPr>
                <w:r w:rsidRPr="4E60D266">
                  <w:rPr>
                    <w:rFonts w:ascii="Nunito Sans" w:hAnsi="Nunito Sans" w:eastAsia="Arial" w:cs="Calibri"/>
                    <w:sz w:val="18"/>
                    <w:szCs w:val="18"/>
                    <w:lang w:val="es-ES"/>
                  </w:rPr>
                  <w:t xml:space="preserve">Arquitectura híbrida soportada en Oracle Cloud Infrastructure (OCI), Amazon Web Services (AWS), </w:t>
                </w:r>
                <w:r w:rsidRPr="4E60D266" w:rsidR="5AD389C1">
                  <w:rPr>
                    <w:rFonts w:ascii="Nunito Sans" w:hAnsi="Nunito Sans" w:eastAsia="Nunito Sans" w:cs="Nunito Sans"/>
                    <w:sz w:val="18"/>
                    <w:szCs w:val="18"/>
                    <w:lang w:val="es-ES"/>
                  </w:rPr>
                  <w:t>Microsoft Azure®</w:t>
                </w:r>
                <w:r w:rsidRPr="4E60D266">
                  <w:rPr>
                    <w:rFonts w:ascii="Nunito Sans" w:hAnsi="Nunito Sans" w:eastAsia="Arial" w:cs="Calibri"/>
                    <w:sz w:val="18"/>
                    <w:szCs w:val="18"/>
                    <w:lang w:val="es-ES"/>
                  </w:rPr>
                  <w:t>, servicios SaaS y plataformas PaaS.</w:t>
                </w:r>
              </w:p>
            </w:tc>
          </w:tr>
          <w:tr w:rsidRPr="00C825FF" w:rsidR="005E3BD6" w:rsidTr="004F5BF5" w14:paraId="11B66C56" w14:textId="77777777">
            <w:trPr>
              <w:trHeight w:val="300"/>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14E7BFC4" w14:textId="77777777">
                <w:pPr>
                  <w:jc w:val="center"/>
                  <w:rPr>
                    <w:rFonts w:ascii="Nunito Sans" w:hAnsi="Nunito Sans" w:cs="Calibri" w:eastAsiaTheme="minorEastAsia"/>
                    <w:b/>
                    <w:bCs/>
                    <w:color w:val="FFFFFF" w:themeColor="background1"/>
                    <w:sz w:val="18"/>
                    <w:szCs w:val="18"/>
                    <w:lang w:val="es-ES"/>
                  </w:rPr>
                </w:pPr>
                <w:r w:rsidRPr="004F5BF5">
                  <w:rPr>
                    <w:rFonts w:ascii="Nunito Sans" w:hAnsi="Nunito Sans" w:cs="Calibri" w:eastAsiaTheme="minorEastAsia"/>
                    <w:b/>
                    <w:bCs/>
                    <w:color w:val="FFFFFF" w:themeColor="background1"/>
                    <w:sz w:val="18"/>
                    <w:szCs w:val="18"/>
                    <w:lang w:val="es-ES"/>
                  </w:rPr>
                  <w:t>CIBERSEGURIDAD</w:t>
                </w:r>
              </w:p>
            </w:tc>
            <w:tc>
              <w:tcPr>
                <w:tcW w:w="1984" w:type="dxa"/>
                <w:tcBorders>
                  <w:left w:val="single" w:color="FFFFFF" w:themeColor="background1" w:sz="4" w:space="0"/>
                </w:tcBorders>
                <w:vAlign w:val="center"/>
              </w:tcPr>
              <w:p w:rsidRPr="00C825FF" w:rsidR="005E3BD6" w:rsidP="004F5BF5" w:rsidRDefault="005E3BD6" w14:paraId="19B4759B" w14:textId="77777777">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FW y WAF de alto desempeño desplegados en Sitio capa 7</w:t>
                </w:r>
              </w:p>
              <w:p w:rsidRPr="00C825FF" w:rsidR="005E3BD6" w:rsidP="004F5BF5" w:rsidRDefault="005E3BD6" w14:paraId="3B108603" w14:textId="3E4564EA">
                <w:pPr>
                  <w:jc w:val="center"/>
                  <w:rPr>
                    <w:rFonts w:ascii="Nunito Sans" w:hAnsi="Nunito Sans" w:eastAsia="Arial" w:cs="Calibri"/>
                    <w:sz w:val="18"/>
                    <w:szCs w:val="18"/>
                    <w:lang w:val="es-ES"/>
                  </w:rPr>
                </w:pPr>
              </w:p>
            </w:tc>
            <w:tc>
              <w:tcPr>
                <w:tcW w:w="1843" w:type="dxa"/>
                <w:vAlign w:val="center"/>
              </w:tcPr>
              <w:p w:rsidRPr="00C825FF" w:rsidR="005E3BD6" w:rsidP="004F5BF5" w:rsidRDefault="005E3BD6" w14:paraId="03F1FE9B" w14:textId="77777777">
                <w:pPr>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Protección madura que blinda tanto en lo físico - así como en Nube (CWS)</w:t>
                </w:r>
              </w:p>
            </w:tc>
            <w:tc>
              <w:tcPr>
                <w:tcW w:w="1843" w:type="dxa"/>
                <w:vAlign w:val="center"/>
              </w:tcPr>
              <w:p w:rsidRPr="00C825FF" w:rsidR="005E3BD6" w:rsidP="004F5BF5" w:rsidRDefault="005E3BD6" w14:paraId="75C127CB" w14:textId="77777777">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FW y WAF de alto desempeño desplegados en Sitio.</w:t>
                </w:r>
              </w:p>
            </w:tc>
            <w:tc>
              <w:tcPr>
                <w:tcW w:w="1843" w:type="dxa"/>
                <w:vAlign w:val="center"/>
              </w:tcPr>
              <w:p w:rsidRPr="00C825FF" w:rsidR="005E3BD6" w:rsidP="004F5BF5" w:rsidRDefault="005E3BD6" w14:paraId="0E208C63" w14:textId="77777777">
                <w:pPr>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Firewall tercerizado de gama media-alta que soporta redes hasta de 300 usuarios.</w:t>
                </w:r>
              </w:p>
            </w:tc>
          </w:tr>
          <w:tr w:rsidRPr="00C825FF" w:rsidR="005E3BD6" w:rsidTr="004F5BF5" w14:paraId="2C037DE4" w14:textId="77777777">
            <w:trPr>
              <w:trHeight w:val="300"/>
            </w:trPr>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F5BF5" w:rsidR="005E3BD6" w:rsidP="004F5BF5" w:rsidRDefault="005E3BD6" w14:paraId="1E66E5D4" w14:textId="117B9F99">
                <w:pPr>
                  <w:jc w:val="center"/>
                  <w:rPr>
                    <w:rFonts w:ascii="Nunito Sans" w:hAnsi="Nunito Sans" w:cs="Nunito Sans" w:eastAsiaTheme="minorEastAsia"/>
                    <w:b/>
                    <w:bCs/>
                    <w:color w:val="FFFFFF" w:themeColor="background1"/>
                    <w:sz w:val="18"/>
                    <w:szCs w:val="18"/>
                    <w:lang w:val="es-ES"/>
                  </w:rPr>
                </w:pPr>
                <w:r w:rsidRPr="004F5BF5">
                  <w:rPr>
                    <w:rFonts w:ascii="Nunito Sans" w:hAnsi="Nunito Sans" w:cs="Calibri" w:eastAsiaTheme="minorEastAsia"/>
                    <w:b/>
                    <w:bCs/>
                    <w:color w:val="FFFFFF" w:themeColor="background1"/>
                    <w:sz w:val="18"/>
                    <w:szCs w:val="18"/>
                    <w:lang w:val="es-ES"/>
                  </w:rPr>
                  <w:t>MONITOREO</w:t>
                </w:r>
              </w:p>
            </w:tc>
            <w:tc>
              <w:tcPr>
                <w:tcW w:w="1984" w:type="dxa"/>
                <w:tcBorders>
                  <w:left w:val="single" w:color="FFFFFF" w:themeColor="background1" w:sz="4" w:space="0"/>
                </w:tcBorders>
                <w:vAlign w:val="center"/>
              </w:tcPr>
              <w:p w:rsidRPr="00C825FF" w:rsidR="005E3BD6" w:rsidP="004F5BF5" w:rsidRDefault="005E3BD6" w14:paraId="6C8BAD89" w14:textId="77777777">
                <w:pPr>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Herramienta de Monitoreo KUMA</w:t>
                </w:r>
              </w:p>
            </w:tc>
            <w:tc>
              <w:tcPr>
                <w:tcW w:w="1843" w:type="dxa"/>
                <w:vAlign w:val="center"/>
              </w:tcPr>
              <w:p w:rsidRPr="00C825FF" w:rsidR="005E3BD6" w:rsidP="004F5BF5" w:rsidRDefault="005E3BD6" w14:paraId="458D5176" w14:textId="77777777">
                <w:pPr>
                  <w:jc w:val="center"/>
                  <w:rPr>
                    <w:rFonts w:ascii="Nunito Sans" w:hAnsi="Nunito Sans" w:eastAsia="Arial" w:cs="Calibri"/>
                    <w:sz w:val="18"/>
                    <w:szCs w:val="18"/>
                  </w:rPr>
                </w:pPr>
                <w:r w:rsidRPr="00C825FF">
                  <w:rPr>
                    <w:rFonts w:ascii="Nunito Sans" w:hAnsi="Nunito Sans" w:eastAsia="Arial" w:cs="Calibri"/>
                    <w:sz w:val="18"/>
                    <w:szCs w:val="18"/>
                  </w:rPr>
                  <w:t>Herramienta TSNM  de monitoreo y control.</w:t>
                </w:r>
              </w:p>
            </w:tc>
            <w:tc>
              <w:tcPr>
                <w:tcW w:w="1843" w:type="dxa"/>
                <w:vAlign w:val="center"/>
              </w:tcPr>
              <w:p w:rsidRPr="00C825FF" w:rsidR="005E3BD6" w:rsidP="004F5BF5" w:rsidRDefault="005E3BD6" w14:paraId="597AFCE6" w14:textId="77777777">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Herramientas y actividades para</w:t>
                </w:r>
              </w:p>
              <w:p w:rsidRPr="00C825FF" w:rsidR="005E3BD6" w:rsidP="004F5BF5" w:rsidRDefault="005E3BD6" w14:paraId="5E44E602" w14:textId="517EB513">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identificar, monitorear y controlar el nivel de</w:t>
                </w:r>
              </w:p>
              <w:p w:rsidRPr="00C825FF" w:rsidR="005E3BD6" w:rsidP="004F5BF5" w:rsidRDefault="005E3BD6" w14:paraId="1438CE7E" w14:textId="77777777">
                <w:pPr>
                  <w:shd w:val="clear" w:color="auto" w:fill="FFFFFF" w:themeFill="background1"/>
                  <w:spacing w:line="259" w:lineRule="auto"/>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consumo de la infraestructura de TI</w:t>
                </w:r>
              </w:p>
            </w:tc>
            <w:tc>
              <w:tcPr>
                <w:tcW w:w="1843" w:type="dxa"/>
                <w:vAlign w:val="center"/>
              </w:tcPr>
              <w:p w:rsidRPr="00C825FF" w:rsidR="005E3BD6" w:rsidP="004F5BF5" w:rsidRDefault="005E3BD6" w14:paraId="62568399" w14:textId="77777777">
                <w:pPr>
                  <w:shd w:val="clear" w:color="auto" w:fill="FFFFFF" w:themeFill="background1"/>
                  <w:jc w:val="center"/>
                  <w:rPr>
                    <w:rFonts w:ascii="Nunito Sans" w:hAnsi="Nunito Sans" w:eastAsia="Arial" w:cs="Calibri"/>
                    <w:sz w:val="18"/>
                    <w:szCs w:val="18"/>
                    <w:lang w:val="es-ES"/>
                  </w:rPr>
                </w:pPr>
                <w:r w:rsidRPr="00C825FF">
                  <w:rPr>
                    <w:rFonts w:ascii="Nunito Sans" w:hAnsi="Nunito Sans" w:eastAsia="Arial" w:cs="Calibri"/>
                    <w:sz w:val="18"/>
                    <w:szCs w:val="18"/>
                    <w:lang w:val="es-ES"/>
                  </w:rPr>
                  <w:t>Monitoreo de rendimiento y cobertura inalámbrica.</w:t>
                </w:r>
              </w:p>
            </w:tc>
          </w:tr>
        </w:tbl>
        <w:p w:rsidRPr="0038010D" w:rsidR="005E3BD6" w:rsidP="005E3BD6" w:rsidRDefault="005E3BD6" w14:paraId="1D01709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FE6DA8" w:rsidP="005E3BD6" w:rsidRDefault="00FE6DA8" w14:paraId="26BF5E3E" w14:textId="77777777">
          <w:pPr>
            <w:jc w:val="both"/>
            <w:rPr>
              <w:rFonts w:ascii="Nunito Sans" w:hAnsi="Nunito Sans" w:cs="Calibri" w:eastAsiaTheme="minorEastAsia"/>
              <w:i/>
              <w:iCs/>
              <w:color w:val="FF0000"/>
              <w:sz w:val="22"/>
              <w:szCs w:val="22"/>
              <w:lang w:val="es-ES"/>
            </w:rPr>
          </w:pPr>
        </w:p>
        <w:p w:rsidR="005E3BD6" w:rsidRDefault="005E3BD6" w14:paraId="203A08E0" w14:textId="5BDD5FF2">
          <w:pPr>
            <w:pStyle w:val="Ttulo3"/>
            <w:numPr>
              <w:ilvl w:val="2"/>
              <w:numId w:val="36"/>
            </w:numPr>
          </w:pPr>
          <w:bookmarkStart w:name="_Toc234234477" w:id="209"/>
          <w:r w:rsidRPr="0E79E4E6">
            <w:t>Debilidades y fortalezas</w:t>
          </w:r>
          <w:bookmarkEnd w:id="209"/>
        </w:p>
        <w:p w:rsidR="00B03CF5" w:rsidP="005E3BD6" w:rsidRDefault="00B03CF5" w14:paraId="3D019D42" w14:textId="77777777">
          <w:pPr>
            <w:rPr>
              <w:rFonts w:ascii="Nunito Sans" w:hAnsi="Nunito Sans" w:eastAsiaTheme="minorEastAsia"/>
              <w:b/>
              <w:bCs/>
              <w:sz w:val="22"/>
              <w:szCs w:val="22"/>
            </w:rPr>
          </w:pPr>
        </w:p>
        <w:p w:rsidR="005E3BD6" w:rsidP="005E3BD6" w:rsidRDefault="005E3BD6" w14:paraId="6D732FD8" w14:textId="3F4108F6">
          <w:pPr>
            <w:rPr>
              <w:rFonts w:ascii="Nunito Sans" w:hAnsi="Nunito Sans" w:eastAsia="Nunito Sans" w:cs="Nunito Sans"/>
              <w:sz w:val="22"/>
              <w:szCs w:val="22"/>
            </w:rPr>
          </w:pPr>
          <w:r w:rsidRPr="0E79E4E6">
            <w:rPr>
              <w:rFonts w:ascii="Nunito Sans" w:hAnsi="Nunito Sans" w:eastAsiaTheme="minorEastAsia"/>
              <w:b/>
              <w:bCs/>
              <w:sz w:val="22"/>
              <w:szCs w:val="22"/>
            </w:rPr>
            <w:lastRenderedPageBreak/>
            <w:t>Debilidades</w:t>
          </w:r>
        </w:p>
        <w:p w:rsidR="005E3BD6" w:rsidP="005E3BD6" w:rsidRDefault="005E3BD6" w14:paraId="76FF73B1" w14:textId="77777777">
          <w:pPr>
            <w:pStyle w:val="Prrafodelista"/>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Riesgo de fragmentación tecnológica debido a la ausencia de estandarización operativa entre las infraestructuras de las entidades del sector, lo que dificulta una gestión integrada y eficiente de los servicios de TI.</w:t>
          </w:r>
        </w:p>
        <w:p w:rsidR="005E3BD6" w:rsidP="005E3BD6" w:rsidRDefault="005E3BD6" w14:paraId="410641D1" w14:textId="77777777">
          <w:pPr>
            <w:pStyle w:val="Prrafodelista"/>
            <w:spacing w:before="240" w:after="240"/>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No se cuenta con lineamientos sectoriales consolidados para la adopción de esquemas de nube híbrida y nube soberana, lo que limita la articulación efectiva entre infraestructuras locales (on-premise) y entornos en la nube.</w:t>
          </w:r>
        </w:p>
        <w:p w:rsidR="005E3BD6" w:rsidP="005E3BD6" w:rsidRDefault="005E3BD6" w14:paraId="2817B3C9" w14:textId="77777777">
          <w:pPr>
            <w:pStyle w:val="Prrafodelista"/>
            <w:spacing w:before="240" w:after="240"/>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Brecha operativa significativa entre áreas urbanas con conectividad robusta y Zonas No Interconectadas (ZNI) con infraestructura de telecomunicaciones limitada, afectando la continuidad y oportunidad de los servicios digitales.</w:t>
          </w:r>
        </w:p>
        <w:p w:rsidR="005E3BD6" w:rsidP="005E3BD6" w:rsidRDefault="005E3BD6" w14:paraId="3058FD16" w14:textId="77777777">
          <w:pPr>
            <w:pStyle w:val="Prrafodelista"/>
            <w:spacing w:before="240" w:after="240"/>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Las capacidades on-premise de entidades del sector presentan niveles de obsolescencia elevados y baja disponibilidad ante escenarios de contingencia, incrementando el riesgo de indisponibilidad de servicios críticos.</w:t>
          </w:r>
        </w:p>
        <w:p w:rsidR="005E3BD6" w:rsidP="005E3BD6" w:rsidRDefault="005E3BD6" w14:paraId="60F21161" w14:textId="77777777">
          <w:pPr>
            <w:pStyle w:val="Prrafodelista"/>
            <w:spacing w:before="240" w:after="240"/>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Dependencia potencial de proveedores específicos de nube cuando no se cuenta con un diseño explícito de arquitectura multicloud o nube soberana, generando riesgos de concentración tecnológica y limitaciones en soberanía y portabilidad del dato.</w:t>
          </w:r>
        </w:p>
        <w:p w:rsidR="005E3BD6" w:rsidP="005E3BD6" w:rsidRDefault="005E3BD6" w14:paraId="41918EA7" w14:textId="77777777">
          <w:pPr>
            <w:pStyle w:val="Prrafodelista"/>
            <w:spacing w:before="240" w:after="240"/>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Costos de transición y requerimientos de capacidades técnicas especializadas para operar y administrar entornos híbridos, multicloud y de computación de borde, lo que representa un reto para la sostenibilidad operativa sectorial.</w:t>
          </w:r>
        </w:p>
        <w:p w:rsidR="005E3BD6" w:rsidP="005E3BD6" w:rsidRDefault="005E3BD6" w14:paraId="081A8366" w14:textId="77777777">
          <w:pPr>
            <w:pStyle w:val="Prrafodelista"/>
            <w:spacing w:before="240" w:after="240"/>
            <w:ind w:left="709" w:hanging="283"/>
            <w:rPr>
              <w:rFonts w:ascii="Nunito Sans" w:hAnsi="Nunito Sans" w:eastAsia="Nunito Sans" w:cs="Nunito Sans"/>
              <w:sz w:val="22"/>
              <w:szCs w:val="22"/>
            </w:rPr>
          </w:pPr>
          <w:r w:rsidRPr="0E79E4E6">
            <w:rPr>
              <w:rFonts w:ascii="Nunito Sans" w:hAnsi="Nunito Sans" w:eastAsia="Nunito Sans" w:cs="Nunito Sans"/>
              <w:sz w:val="22"/>
              <w:szCs w:val="22"/>
            </w:rPr>
            <w:t>No existe un esquema sectorial de planeación y consolidación de infraestructura tecnológica que permita economías de escala en la adquisición y operación de recursos de cómputo, almacenamiento, respaldo y conectividad, lo que limita la optimización de costos y la eficiencia del gasto en TI.</w:t>
          </w:r>
        </w:p>
        <w:p w:rsidR="005E3BD6" w:rsidP="005E3BD6" w:rsidRDefault="005E3BD6" w14:paraId="7C2F94A7" w14:textId="77777777">
          <w:pPr>
            <w:spacing w:before="240"/>
            <w:rPr>
              <w:rFonts w:ascii="Nunito Sans" w:hAnsi="Nunito Sans" w:eastAsia="Nunito Sans" w:cs="Nunito Sans"/>
              <w:sz w:val="22"/>
              <w:szCs w:val="22"/>
            </w:rPr>
          </w:pPr>
          <w:r w:rsidRPr="0E79E4E6">
            <w:rPr>
              <w:rFonts w:ascii="Nunito Sans" w:hAnsi="Nunito Sans" w:eastAsia="Nunito Sans" w:cs="Nunito Sans"/>
              <w:b/>
              <w:bCs/>
              <w:sz w:val="22"/>
              <w:szCs w:val="22"/>
            </w:rPr>
            <w:t>Fortalezas</w:t>
          </w:r>
        </w:p>
        <w:p w:rsidR="005E3BD6" w:rsidP="005E3BD6" w:rsidRDefault="005E3BD6" w14:paraId="4866B823" w14:textId="77777777">
          <w:pPr>
            <w:pStyle w:val="Prrafodelista"/>
            <w:spacing w:before="240"/>
            <w:ind w:left="851" w:hanging="425"/>
            <w:jc w:val="both"/>
            <w:rPr>
              <w:rFonts w:ascii="Nunito Sans" w:hAnsi="Nunito Sans" w:eastAsia="Nunito Sans" w:cs="Nunito Sans"/>
              <w:sz w:val="22"/>
              <w:szCs w:val="22"/>
            </w:rPr>
          </w:pPr>
          <w:r w:rsidRPr="0E79E4E6">
            <w:rPr>
              <w:rFonts w:ascii="Nunito Sans" w:hAnsi="Nunito Sans" w:eastAsia="Nunito Sans" w:cs="Nunito Sans"/>
              <w:sz w:val="22"/>
              <w:szCs w:val="22"/>
            </w:rPr>
            <w:t>El sector cuenta con capacidades tecnológicas que permiten evolucionar hacia esquemas de infraestructura híbrida, combinando entornos locales, nubes privadas y nubes públicas según la criticidad de los servicios y la sensibilidad de la información.</w:t>
          </w:r>
        </w:p>
        <w:p w:rsidR="005E3BD6" w:rsidP="005E3BD6" w:rsidRDefault="005E3BD6" w14:paraId="27B2FF17" w14:textId="77777777">
          <w:pPr>
            <w:pStyle w:val="Prrafodelista"/>
            <w:spacing w:before="240" w:after="240"/>
            <w:ind w:left="851" w:hanging="425"/>
            <w:jc w:val="both"/>
            <w:rPr>
              <w:rFonts w:ascii="Nunito Sans" w:hAnsi="Nunito Sans" w:eastAsia="Nunito Sans" w:cs="Nunito Sans"/>
              <w:sz w:val="22"/>
              <w:szCs w:val="22"/>
            </w:rPr>
          </w:pPr>
          <w:r w:rsidRPr="0E79E4E6">
            <w:rPr>
              <w:rFonts w:ascii="Nunito Sans" w:hAnsi="Nunito Sans" w:eastAsia="Nunito Sans" w:cs="Nunito Sans"/>
              <w:sz w:val="22"/>
              <w:szCs w:val="22"/>
            </w:rPr>
            <w:t>Se dispone de experiencias en el uso de computación de borde (Edge Computing) y dispositivos IoT, particularmente en contextos energéticos y territoriales, lo que permite reducir latencia y dependencia de conectividad centralizada, especialmente en Zonas No Interconectadas.</w:t>
          </w:r>
        </w:p>
        <w:p w:rsidR="005E3BD6" w:rsidP="005E3BD6" w:rsidRDefault="005E3BD6" w14:paraId="18F0F02C" w14:textId="77777777">
          <w:pPr>
            <w:pStyle w:val="Prrafodelista"/>
            <w:spacing w:before="240" w:after="240"/>
            <w:ind w:left="851" w:hanging="425"/>
            <w:jc w:val="both"/>
            <w:rPr>
              <w:rFonts w:ascii="Nunito Sans" w:hAnsi="Nunito Sans" w:eastAsia="Nunito Sans" w:cs="Nunito Sans"/>
              <w:sz w:val="22"/>
              <w:szCs w:val="22"/>
            </w:rPr>
          </w:pPr>
          <w:r w:rsidRPr="0E79E4E6">
            <w:rPr>
              <w:rFonts w:ascii="Nunito Sans" w:hAnsi="Nunito Sans" w:eastAsia="Nunito Sans" w:cs="Nunito Sans"/>
              <w:sz w:val="22"/>
              <w:szCs w:val="22"/>
            </w:rPr>
            <w:t>Existen infraestructuras con capacidad para el procesamiento y almacenamiento de grandes volúmenes de información crítica (geoespacial, estadística y operativa), que constituyen una base sólida para soportar analítica avanzada y servicios digitales sectoriales.</w:t>
          </w:r>
        </w:p>
        <w:p w:rsidR="005E3BD6" w:rsidP="005E3BD6" w:rsidRDefault="005E3BD6" w14:paraId="6E3A8127" w14:textId="77777777">
          <w:pPr>
            <w:pStyle w:val="Prrafodelista"/>
            <w:spacing w:before="240" w:after="240"/>
            <w:ind w:left="851" w:hanging="425"/>
            <w:jc w:val="both"/>
            <w:rPr>
              <w:rFonts w:ascii="Nunito Sans" w:hAnsi="Nunito Sans" w:eastAsia="Nunito Sans" w:cs="Nunito Sans"/>
              <w:sz w:val="22"/>
              <w:szCs w:val="22"/>
            </w:rPr>
          </w:pPr>
          <w:r w:rsidRPr="0E79E4E6">
            <w:rPr>
              <w:rFonts w:ascii="Nunito Sans" w:hAnsi="Nunito Sans" w:eastAsia="Nunito Sans" w:cs="Nunito Sans"/>
              <w:sz w:val="22"/>
              <w:szCs w:val="22"/>
            </w:rPr>
            <w:t>Se evidencia experiencia en la operación de plataformas críticas con esquemas de alta disponibilidad y continuidad operativa, lo que puede ser aprovechado para definir estándares sectoriales de resiliencia y recuperación ante desastres.</w:t>
          </w:r>
        </w:p>
        <w:p w:rsidR="005E3BD6" w:rsidP="005E3BD6" w:rsidRDefault="005E3BD6" w14:paraId="5579A5B6" w14:textId="77777777">
          <w:pPr>
            <w:pStyle w:val="Prrafodelista"/>
            <w:spacing w:before="240" w:after="240"/>
            <w:ind w:left="851" w:hanging="425"/>
            <w:jc w:val="both"/>
            <w:rPr>
              <w:rFonts w:ascii="Nunito Sans" w:hAnsi="Nunito Sans" w:eastAsia="Nunito Sans" w:cs="Nunito Sans"/>
              <w:sz w:val="22"/>
              <w:szCs w:val="22"/>
            </w:rPr>
          </w:pPr>
          <w:r w:rsidRPr="0E79E4E6">
            <w:rPr>
              <w:rFonts w:ascii="Nunito Sans" w:hAnsi="Nunito Sans" w:eastAsia="Nunito Sans" w:cs="Nunito Sans"/>
              <w:sz w:val="22"/>
              <w:szCs w:val="22"/>
            </w:rPr>
            <w:t>Las capacidades técnicas existentes permiten desacoplar progresivamente sistemas y servicios del hardware físico tradicional, facilitando la transición hacia entornos más escalables, flexibles y resilientes.</w:t>
          </w:r>
        </w:p>
        <w:p w:rsidR="005E3BD6" w:rsidP="005E3BD6" w:rsidRDefault="005E3BD6" w14:paraId="36D70A5D" w14:textId="77777777">
          <w:pPr>
            <w:pStyle w:val="Prrafodelista"/>
            <w:spacing w:before="240" w:after="240"/>
            <w:ind w:left="851" w:hanging="425"/>
            <w:jc w:val="both"/>
            <w:rPr>
              <w:rFonts w:ascii="Nunito Sans" w:hAnsi="Nunito Sans" w:eastAsia="Nunito Sans" w:cs="Nunito Sans"/>
              <w:sz w:val="22"/>
              <w:szCs w:val="22"/>
            </w:rPr>
          </w:pPr>
          <w:r w:rsidRPr="0E79E4E6">
            <w:rPr>
              <w:rFonts w:ascii="Nunito Sans" w:hAnsi="Nunito Sans" w:eastAsia="Nunito Sans" w:cs="Nunito Sans"/>
              <w:sz w:val="22"/>
              <w:szCs w:val="22"/>
            </w:rPr>
            <w:lastRenderedPageBreak/>
            <w:t>Existe potencial para alinear la infraestructura tecnológica del sector con lineamientos de Green IT, contribuyendo a la eficiencia energética, la sostenibilidad ambiental y la coherencia con los objetivos de Transición Energética Justa.</w:t>
          </w:r>
        </w:p>
        <w:p w:rsidRPr="00842B2B" w:rsidR="005E3BD6" w:rsidP="005E3BD6" w:rsidRDefault="005E3BD6" w14:paraId="72B5640E" w14:textId="77777777">
          <w:pPr>
            <w:pStyle w:val="Prrafodelista"/>
            <w:spacing w:before="240" w:after="240"/>
            <w:ind w:left="851"/>
            <w:jc w:val="both"/>
            <w:rPr>
              <w:rFonts w:ascii="Nunito Sans" w:hAnsi="Nunito Sans" w:eastAsia="Nunito Sans" w:cs="Nunito Sans"/>
              <w:sz w:val="22"/>
              <w:szCs w:val="22"/>
            </w:rPr>
          </w:pPr>
        </w:p>
        <w:p w:rsidR="005E3BD6" w:rsidRDefault="005E3BD6" w14:paraId="33CC57DC" w14:textId="6E58C598">
          <w:pPr>
            <w:pStyle w:val="Ttulo3"/>
            <w:numPr>
              <w:ilvl w:val="2"/>
              <w:numId w:val="36"/>
            </w:numPr>
          </w:pPr>
          <w:bookmarkStart w:name="_Toc2800981" w:id="210"/>
          <w:bookmarkStart w:name="_Toc234234478" w:id="211"/>
          <w:r w:rsidRPr="0E79E4E6">
            <w:t>Rupturas Estratégicas</w:t>
          </w:r>
          <w:bookmarkEnd w:id="210"/>
          <w:bookmarkEnd w:id="211"/>
        </w:p>
        <w:p w:rsidRPr="00DF354F" w:rsidR="00DF354F" w:rsidP="00DF354F" w:rsidRDefault="00DF354F" w14:paraId="686806D8" w14:textId="77777777">
          <w:pPr>
            <w:rPr>
              <w:lang w:val="es-ES"/>
            </w:rPr>
          </w:pPr>
        </w:p>
        <w:p w:rsidR="6B72F24E" w:rsidP="4E60D266" w:rsidRDefault="6B72F24E" w14:paraId="68E425A0" w14:textId="6258EDAB">
          <w:pPr>
            <w:jc w:val="both"/>
            <w:rPr>
              <w:rFonts w:ascii="Nunito Sans" w:hAnsi="Nunito Sans" w:eastAsiaTheme="minorEastAsia"/>
              <w:sz w:val="22"/>
              <w:szCs w:val="22"/>
            </w:rPr>
          </w:pPr>
          <w:r w:rsidRPr="4E60D266">
            <w:rPr>
              <w:rFonts w:ascii="Nunito Sans" w:hAnsi="Nunito Sans" w:eastAsiaTheme="minorEastAsia"/>
              <w:sz w:val="22"/>
              <w:szCs w:val="22"/>
            </w:rPr>
            <w:t>Las rupturas estratégicas del PETI sectorial representan los cambios estructurales necesarios para cerrar las brechas identificadas entre la Situación Actual (AS-IS) y la Arquitectura Objetivo (TO-BE) del Sector Minero-Energético, derivadas del diagnóstico sectorial, del análisis DOFA, en coherencia con los objetivos del Plan Nacional de Desarrollo y el enfoque de Transición Energética Justa; a continuación se presentan las rupturas estratégicas definidas para este dominio, las cuales orientan la evolución de sus capacidades, la priorización de iniciativas y la formulación de la hoja de ruta sectorial:</w:t>
          </w:r>
        </w:p>
        <w:p w:rsidR="4E60D266" w:rsidP="4E60D266" w:rsidRDefault="4E60D266" w14:paraId="79B4A925" w14:textId="6A364351">
          <w:pPr>
            <w:jc w:val="both"/>
            <w:rPr>
              <w:rFonts w:ascii="Nunito Sans" w:hAnsi="Nunito Sans" w:eastAsiaTheme="minorEastAsia"/>
              <w:sz w:val="22"/>
              <w:szCs w:val="22"/>
            </w:rPr>
          </w:pPr>
        </w:p>
        <w:p w:rsidR="005E3BD6" w:rsidP="005E3BD6" w:rsidRDefault="005E3BD6" w14:paraId="3794911E" w14:textId="77777777">
          <w:pPr>
            <w:ind w:left="360" w:hanging="360"/>
            <w:jc w:val="center"/>
            <w:rPr>
              <w:rFonts w:ascii="Nunito Sans" w:hAnsi="Nunito Sans" w:cs="Calibri"/>
              <w:b/>
              <w:bCs/>
              <w:sz w:val="18"/>
              <w:szCs w:val="18"/>
            </w:rPr>
          </w:pPr>
        </w:p>
        <w:p w:rsidRPr="000735A6" w:rsidR="00F2742B" w:rsidP="000735A6" w:rsidRDefault="00F2742B" w14:paraId="1C02622B" w14:textId="09C192A4">
          <w:pPr>
            <w:ind w:left="360" w:hanging="360"/>
            <w:jc w:val="center"/>
            <w:rPr>
              <w:rFonts w:ascii="Nunito Sans" w:hAnsi="Nunito Sans" w:cs="Calibri"/>
              <w:b/>
              <w:bCs/>
              <w:sz w:val="18"/>
              <w:szCs w:val="18"/>
            </w:rPr>
          </w:pPr>
          <w:bookmarkStart w:name="_Toc220664193" w:id="212"/>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22</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 xml:space="preserve">Paradigmas de </w:t>
          </w:r>
          <w:r w:rsidRPr="0045299D" w:rsidR="005E3BD6">
            <w:rPr>
              <w:rFonts w:ascii="Nunito Sans" w:hAnsi="Nunito Sans" w:cs="Calibri"/>
              <w:b/>
              <w:bCs/>
              <w:sz w:val="18"/>
              <w:szCs w:val="18"/>
            </w:rPr>
            <w:t xml:space="preserve">Infraestructura y </w:t>
          </w:r>
          <w:r w:rsidR="005E3BD6">
            <w:rPr>
              <w:rFonts w:ascii="Nunito Sans" w:hAnsi="Nunito Sans" w:cs="Calibri"/>
              <w:b/>
              <w:bCs/>
              <w:sz w:val="18"/>
              <w:szCs w:val="18"/>
            </w:rPr>
            <w:t>S</w:t>
          </w:r>
          <w:r w:rsidRPr="0045299D" w:rsidR="005E3BD6">
            <w:rPr>
              <w:rFonts w:ascii="Nunito Sans" w:hAnsi="Nunito Sans" w:cs="Calibri"/>
              <w:b/>
              <w:bCs/>
              <w:sz w:val="18"/>
              <w:szCs w:val="18"/>
            </w:rPr>
            <w:t xml:space="preserve">ervicios </w:t>
          </w:r>
          <w:r w:rsidR="005E3BD6">
            <w:rPr>
              <w:rFonts w:ascii="Nunito Sans" w:hAnsi="Nunito Sans" w:cs="Calibri"/>
              <w:b/>
              <w:bCs/>
              <w:sz w:val="18"/>
              <w:szCs w:val="18"/>
            </w:rPr>
            <w:t>TI</w:t>
          </w:r>
          <w:r w:rsidRPr="0045299D" w:rsidR="005E3BD6">
            <w:rPr>
              <w:rFonts w:ascii="Nunito Sans" w:hAnsi="Nunito Sans" w:cs="Calibri"/>
              <w:b/>
              <w:bCs/>
              <w:sz w:val="18"/>
              <w:szCs w:val="18"/>
            </w:rPr>
            <w:t xml:space="preserve"> Sectorial</w:t>
          </w:r>
          <w:bookmarkEnd w:id="212"/>
        </w:p>
        <w:tbl>
          <w:tblPr>
            <w:tblStyle w:val="Tablaconcuadrcula"/>
            <w:tblW w:w="0" w:type="auto"/>
            <w:tblInd w:w="704"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5"/>
            <w:gridCol w:w="5811"/>
          </w:tblGrid>
          <w:tr w:rsidRPr="00842B2B" w:rsidR="005E3BD6" w:rsidTr="004E7EBB" w14:paraId="5A3F6B34"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344EE5" w:rsidRDefault="005E3BD6" w14:paraId="040E02C9" w14:textId="77777777">
                <w:pPr>
                  <w:jc w:val="center"/>
                  <w:rPr>
                    <w:rFonts w:ascii="Nunito Sans" w:hAnsi="Nunito Sans" w:cs="Calibri" w:eastAsiaTheme="minorEastAsia"/>
                    <w:b/>
                    <w:bCs/>
                    <w:iCs/>
                    <w:color w:val="FFFFFF" w:themeColor="background1"/>
                    <w:sz w:val="18"/>
                    <w:szCs w:val="18"/>
                  </w:rPr>
                </w:pPr>
                <w:r w:rsidRPr="00842B2B">
                  <w:rPr>
                    <w:rFonts w:ascii="Nunito Sans" w:hAnsi="Nunito Sans" w:cs="Calibri" w:eastAsiaTheme="minorEastAsia"/>
                    <w:b/>
                    <w:bCs/>
                    <w:iCs/>
                    <w:color w:val="FFFFFF" w:themeColor="background1"/>
                    <w:sz w:val="18"/>
                    <w:szCs w:val="18"/>
                  </w:rPr>
                  <w:t>Atributo</w:t>
                </w:r>
              </w:p>
            </w:tc>
            <w:tc>
              <w:tcPr>
                <w:tcW w:w="581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344EE5" w:rsidRDefault="005E3BD6" w14:paraId="288D92A4" w14:textId="77777777">
                <w:pPr>
                  <w:jc w:val="center"/>
                  <w:rPr>
                    <w:rFonts w:ascii="Nunito Sans" w:hAnsi="Nunito Sans" w:cs="Calibri" w:eastAsiaTheme="minorEastAsia"/>
                    <w:b/>
                    <w:bCs/>
                    <w:iCs/>
                    <w:color w:val="FFFFFF" w:themeColor="background1"/>
                    <w:sz w:val="18"/>
                    <w:szCs w:val="18"/>
                  </w:rPr>
                </w:pPr>
                <w:r w:rsidRPr="00842B2B">
                  <w:rPr>
                    <w:rFonts w:ascii="Nunito Sans" w:hAnsi="Nunito Sans" w:cs="Calibri" w:eastAsiaTheme="minorEastAsia"/>
                    <w:b/>
                    <w:bCs/>
                    <w:iCs/>
                    <w:color w:val="FFFFFF" w:themeColor="background1"/>
                    <w:sz w:val="18"/>
                    <w:szCs w:val="18"/>
                  </w:rPr>
                  <w:t>Descripción</w:t>
                </w:r>
              </w:p>
            </w:tc>
          </w:tr>
          <w:tr w:rsidRPr="00842B2B" w:rsidR="005E3BD6" w:rsidTr="004E7EBB" w14:paraId="065017A5"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4E008A9F"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Identificador</w:t>
                </w:r>
              </w:p>
            </w:tc>
            <w:tc>
              <w:tcPr>
                <w:tcW w:w="5811" w:type="dxa"/>
                <w:tcBorders>
                  <w:top w:val="single" w:color="FFFFFF" w:themeColor="background1" w:sz="4" w:space="0"/>
                  <w:left w:val="single" w:color="FFFFFF" w:themeColor="background1" w:sz="4" w:space="0"/>
                </w:tcBorders>
                <w:vAlign w:val="center"/>
                <w:hideMark/>
              </w:tcPr>
              <w:p w:rsidRPr="00842B2B" w:rsidR="005E3BD6" w:rsidP="00344EE5" w:rsidRDefault="005E3BD6" w14:paraId="05D2E2B6"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RE–10</w:t>
                </w:r>
              </w:p>
            </w:tc>
          </w:tr>
          <w:tr w:rsidRPr="00842B2B" w:rsidR="005E3BD6" w:rsidTr="004E7EBB" w14:paraId="7D6D4884"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49A7B8E8"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Nombre Corto</w:t>
                </w:r>
              </w:p>
            </w:tc>
            <w:tc>
              <w:tcPr>
                <w:tcW w:w="5811" w:type="dxa"/>
                <w:tcBorders>
                  <w:left w:val="single" w:color="FFFFFF" w:themeColor="background1" w:sz="4" w:space="0"/>
                </w:tcBorders>
                <w:vAlign w:val="center"/>
                <w:hideMark/>
              </w:tcPr>
              <w:p w:rsidRPr="00842B2B" w:rsidR="005E3BD6" w:rsidP="00344EE5" w:rsidRDefault="005E3BD6" w14:paraId="426D7D50"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Infraestructura resiliente TI</w:t>
                </w:r>
              </w:p>
            </w:tc>
          </w:tr>
          <w:tr w:rsidRPr="00842B2B" w:rsidR="005E3BD6" w:rsidTr="004E7EBB" w14:paraId="1DEBDA4E"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6483E3B7"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Descripción del Paradigma</w:t>
                </w:r>
              </w:p>
            </w:tc>
            <w:tc>
              <w:tcPr>
                <w:tcW w:w="5811" w:type="dxa"/>
                <w:tcBorders>
                  <w:left w:val="single" w:color="FFFFFF" w:themeColor="background1" w:sz="4" w:space="0"/>
                </w:tcBorders>
                <w:vAlign w:val="center"/>
                <w:hideMark/>
              </w:tcPr>
              <w:p w:rsidRPr="00842B2B" w:rsidR="005E3BD6" w:rsidP="00344EE5" w:rsidRDefault="005E3BD6" w14:paraId="32C3D5BF"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Seguridad y monitoreo separado por entidad.</w:t>
                </w:r>
              </w:p>
            </w:tc>
          </w:tr>
          <w:tr w:rsidRPr="00842B2B" w:rsidR="005E3BD6" w:rsidTr="004E7EBB" w14:paraId="47601F16"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7C22949C"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Efectos Directos</w:t>
                </w:r>
              </w:p>
            </w:tc>
            <w:tc>
              <w:tcPr>
                <w:tcW w:w="5811" w:type="dxa"/>
                <w:tcBorders>
                  <w:left w:val="single" w:color="FFFFFF" w:themeColor="background1" w:sz="4" w:space="0"/>
                </w:tcBorders>
                <w:vAlign w:val="center"/>
                <w:hideMark/>
              </w:tcPr>
              <w:p w:rsidRPr="00842B2B" w:rsidR="005E3BD6" w:rsidP="00344EE5" w:rsidRDefault="005E3BD6" w14:paraId="55AC204D"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Riesgo mayor de incidentes sin detección temprana ni contención.</w:t>
                </w:r>
              </w:p>
            </w:tc>
          </w:tr>
          <w:tr w:rsidRPr="00842B2B" w:rsidR="005E3BD6" w:rsidTr="004E7EBB" w14:paraId="52F9D878"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4D956529"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Descripción de la Ruptura</w:t>
                </w:r>
              </w:p>
            </w:tc>
            <w:tc>
              <w:tcPr>
                <w:tcW w:w="5811" w:type="dxa"/>
                <w:tcBorders>
                  <w:left w:val="single" w:color="FFFFFF" w:themeColor="background1" w:sz="4" w:space="0"/>
                </w:tcBorders>
                <w:vAlign w:val="center"/>
                <w:hideMark/>
              </w:tcPr>
              <w:p w:rsidRPr="00842B2B" w:rsidR="005E3BD6" w:rsidP="00344EE5" w:rsidRDefault="005E3BD6" w14:paraId="7756AB62"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 xml:space="preserve">Implementar SOC/NOC/CSIRT y esquemas de continuidad operativa sectorial. </w:t>
                </w:r>
              </w:p>
            </w:tc>
          </w:tr>
          <w:tr w:rsidRPr="00842B2B" w:rsidR="005E3BD6" w:rsidTr="004E7EBB" w14:paraId="63DD9FC7"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55F255D3"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Cómo romper el Paradigma</w:t>
                </w:r>
              </w:p>
            </w:tc>
            <w:tc>
              <w:tcPr>
                <w:tcW w:w="5811" w:type="dxa"/>
                <w:tcBorders>
                  <w:left w:val="single" w:color="FFFFFF" w:themeColor="background1" w:sz="4" w:space="0"/>
                </w:tcBorders>
                <w:vAlign w:val="center"/>
                <w:hideMark/>
              </w:tcPr>
              <w:p w:rsidRPr="00842B2B" w:rsidR="005E3BD6" w:rsidP="00344EE5" w:rsidRDefault="005E3BD6" w14:paraId="4CD35E83"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Centralización de monitoreo, protocolos CSIRT, redundancia activa.</w:t>
                </w:r>
              </w:p>
            </w:tc>
          </w:tr>
          <w:tr w:rsidRPr="00842B2B" w:rsidR="005E3BD6" w:rsidTr="004E7EBB" w14:paraId="5CBA6E49"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48478D7A"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Impacto Esperado</w:t>
                </w:r>
              </w:p>
            </w:tc>
            <w:tc>
              <w:tcPr>
                <w:tcW w:w="5811" w:type="dxa"/>
                <w:tcBorders>
                  <w:left w:val="single" w:color="FFFFFF" w:themeColor="background1" w:sz="4" w:space="0"/>
                </w:tcBorders>
                <w:vAlign w:val="center"/>
                <w:hideMark/>
              </w:tcPr>
              <w:p w:rsidRPr="00842B2B" w:rsidR="005E3BD6" w:rsidP="00344EE5" w:rsidRDefault="005E3BD6" w14:paraId="7C0B68A5"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Operación segura y resiliente ante ciberincidentes.</w:t>
                </w:r>
              </w:p>
            </w:tc>
          </w:tr>
          <w:tr w:rsidRPr="00842B2B" w:rsidR="005E3BD6" w:rsidTr="004E7EBB" w14:paraId="4E8B7C85"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7725D988"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Grupos de Interés</w:t>
                </w:r>
              </w:p>
            </w:tc>
            <w:tc>
              <w:tcPr>
                <w:tcW w:w="5811" w:type="dxa"/>
                <w:tcBorders>
                  <w:left w:val="single" w:color="FFFFFF" w:themeColor="background1" w:sz="4" w:space="0"/>
                </w:tcBorders>
                <w:vAlign w:val="center"/>
                <w:hideMark/>
              </w:tcPr>
              <w:p w:rsidRPr="00842B2B" w:rsidR="005E3BD6" w:rsidP="00344EE5" w:rsidRDefault="005E3BD6" w14:paraId="02172FA5"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Ciudadanos, empresas, academia, entidades sectoriales.</w:t>
                </w:r>
              </w:p>
            </w:tc>
          </w:tr>
          <w:tr w:rsidRPr="00842B2B" w:rsidR="005E3BD6" w:rsidTr="004E7EBB" w14:paraId="0F5D8372"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5834E145"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Dominio MRAE</w:t>
                </w:r>
              </w:p>
            </w:tc>
            <w:tc>
              <w:tcPr>
                <w:tcW w:w="5811" w:type="dxa"/>
                <w:tcBorders>
                  <w:left w:val="single" w:color="FFFFFF" w:themeColor="background1" w:sz="4" w:space="0"/>
                </w:tcBorders>
                <w:vAlign w:val="center"/>
                <w:hideMark/>
              </w:tcPr>
              <w:p w:rsidRPr="00842B2B" w:rsidR="005E3BD6" w:rsidP="00344EE5" w:rsidRDefault="005E3BD6" w14:paraId="7FB2F492"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Infraestructura y Servicios TI / Seguridad y Privacidad de la Información</w:t>
                </w:r>
              </w:p>
            </w:tc>
          </w:tr>
          <w:tr w:rsidRPr="00842B2B" w:rsidR="005E3BD6" w:rsidTr="004E7EBB" w14:paraId="0C522AD7"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B4771C" w:rsidRDefault="005E3BD6" w14:paraId="11887061"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Clasificación de Impacto</w:t>
                </w:r>
              </w:p>
            </w:tc>
            <w:tc>
              <w:tcPr>
                <w:tcW w:w="5811" w:type="dxa"/>
                <w:tcBorders>
                  <w:left w:val="single" w:color="FFFFFF" w:themeColor="background1" w:sz="4" w:space="0"/>
                </w:tcBorders>
                <w:vAlign w:val="center"/>
                <w:hideMark/>
              </w:tcPr>
              <w:p w:rsidRPr="00842B2B" w:rsidR="005E3BD6" w:rsidP="00344EE5" w:rsidRDefault="005E3BD6" w14:paraId="3A4BE30D"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Alto</w:t>
                </w:r>
              </w:p>
            </w:tc>
          </w:tr>
        </w:tbl>
        <w:p w:rsidRPr="00CA4194" w:rsidR="005E3BD6" w:rsidP="005E3BD6" w:rsidRDefault="005E3BD6" w14:paraId="474227A9" w14:textId="77777777">
          <w:pPr>
            <w:rPr>
              <w:rFonts w:ascii="Nunito Sans" w:hAnsi="Nunito Sans" w:cs="Calibri" w:eastAsiaTheme="minorEastAsia"/>
              <w:iCs/>
              <w:sz w:val="22"/>
              <w:szCs w:val="22"/>
            </w:rPr>
          </w:pPr>
        </w:p>
        <w:tbl>
          <w:tblPr>
            <w:tblStyle w:val="Tablaconcuadrcula"/>
            <w:tblW w:w="0" w:type="auto"/>
            <w:tblInd w:w="704"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985"/>
            <w:gridCol w:w="5811"/>
          </w:tblGrid>
          <w:tr w:rsidRPr="00842B2B" w:rsidR="005E3BD6" w:rsidTr="001C0277" w14:paraId="7756C77D"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4FF86904" w14:textId="77777777">
                <w:pPr>
                  <w:jc w:val="center"/>
                  <w:rPr>
                    <w:rFonts w:ascii="Nunito Sans" w:hAnsi="Nunito Sans" w:cs="Calibri" w:eastAsiaTheme="minorEastAsia"/>
                    <w:b/>
                    <w:bCs/>
                    <w:iCs/>
                    <w:color w:val="FFFFFF" w:themeColor="background1"/>
                    <w:sz w:val="18"/>
                    <w:szCs w:val="18"/>
                  </w:rPr>
                </w:pPr>
                <w:r w:rsidRPr="00842B2B">
                  <w:rPr>
                    <w:rFonts w:ascii="Nunito Sans" w:hAnsi="Nunito Sans" w:cs="Calibri" w:eastAsiaTheme="minorEastAsia"/>
                    <w:b/>
                    <w:bCs/>
                    <w:iCs/>
                    <w:color w:val="FFFFFF" w:themeColor="background1"/>
                    <w:sz w:val="18"/>
                    <w:szCs w:val="18"/>
                  </w:rPr>
                  <w:t>Atributo</w:t>
                </w:r>
              </w:p>
            </w:tc>
            <w:tc>
              <w:tcPr>
                <w:tcW w:w="581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hideMark/>
              </w:tcPr>
              <w:p w:rsidRPr="00842B2B" w:rsidR="005E3BD6" w:rsidP="00344EE5" w:rsidRDefault="005E3BD6" w14:paraId="07E1AA81" w14:textId="77777777">
                <w:pPr>
                  <w:jc w:val="center"/>
                  <w:rPr>
                    <w:rFonts w:ascii="Nunito Sans" w:hAnsi="Nunito Sans" w:cs="Calibri" w:eastAsiaTheme="minorEastAsia"/>
                    <w:b/>
                    <w:bCs/>
                    <w:iCs/>
                    <w:color w:val="FFFFFF" w:themeColor="background1"/>
                    <w:sz w:val="18"/>
                    <w:szCs w:val="18"/>
                  </w:rPr>
                </w:pPr>
                <w:r w:rsidRPr="00842B2B">
                  <w:rPr>
                    <w:rFonts w:ascii="Nunito Sans" w:hAnsi="Nunito Sans" w:cs="Calibri" w:eastAsiaTheme="minorEastAsia"/>
                    <w:b/>
                    <w:bCs/>
                    <w:iCs/>
                    <w:color w:val="FFFFFF" w:themeColor="background1"/>
                    <w:sz w:val="18"/>
                    <w:szCs w:val="18"/>
                  </w:rPr>
                  <w:t>Descripción</w:t>
                </w:r>
              </w:p>
            </w:tc>
          </w:tr>
          <w:tr w:rsidRPr="00842B2B" w:rsidR="005E3BD6" w:rsidTr="001C0277" w14:paraId="55543F98"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57300231"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Identificador</w:t>
                </w:r>
              </w:p>
            </w:tc>
            <w:tc>
              <w:tcPr>
                <w:tcW w:w="5811" w:type="dxa"/>
                <w:tcBorders>
                  <w:top w:val="single" w:color="FFFFFF" w:themeColor="background1" w:sz="4" w:space="0"/>
                  <w:left w:val="single" w:color="FFFFFF" w:themeColor="background1" w:sz="4" w:space="0"/>
                </w:tcBorders>
                <w:hideMark/>
              </w:tcPr>
              <w:p w:rsidRPr="00842B2B" w:rsidR="005E3BD6" w:rsidP="00B4771C" w:rsidRDefault="005E3BD6" w14:paraId="67D0EE56" w14:textId="77777777">
                <w:pPr>
                  <w:rPr>
                    <w:rFonts w:ascii="Nunito Sans" w:hAnsi="Nunito Sans" w:cs="Calibri" w:eastAsiaTheme="minorEastAsia"/>
                    <w:iCs/>
                    <w:sz w:val="18"/>
                    <w:szCs w:val="18"/>
                  </w:rPr>
                </w:pPr>
                <w:r w:rsidRPr="00842B2B">
                  <w:rPr>
                    <w:rFonts w:ascii="Nunito Sans" w:hAnsi="Nunito Sans" w:cs="Calibri" w:eastAsiaTheme="minorEastAsia"/>
                    <w:iCs/>
                    <w:sz w:val="18"/>
                    <w:szCs w:val="18"/>
                  </w:rPr>
                  <w:t>RE–13</w:t>
                </w:r>
              </w:p>
            </w:tc>
          </w:tr>
          <w:tr w:rsidRPr="00842B2B" w:rsidR="005E3BD6" w:rsidTr="001C0277" w14:paraId="05D1F4E0"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1C1888B5"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Nombre Corto</w:t>
                </w:r>
              </w:p>
            </w:tc>
            <w:tc>
              <w:tcPr>
                <w:tcW w:w="5811" w:type="dxa"/>
                <w:tcBorders>
                  <w:left w:val="single" w:color="FFFFFF" w:themeColor="background1" w:sz="4" w:space="0"/>
                </w:tcBorders>
                <w:hideMark/>
              </w:tcPr>
              <w:p w:rsidRPr="00842B2B" w:rsidR="005E3BD6" w:rsidP="00B4771C" w:rsidRDefault="005E3BD6" w14:paraId="74413D1A" w14:textId="77777777">
                <w:pPr>
                  <w:rPr>
                    <w:rFonts w:ascii="Nunito Sans" w:hAnsi="Nunito Sans" w:cs="Calibri" w:eastAsiaTheme="minorEastAsia"/>
                    <w:iCs/>
                    <w:sz w:val="18"/>
                    <w:szCs w:val="18"/>
                  </w:rPr>
                </w:pPr>
                <w:r w:rsidRPr="00842B2B">
                  <w:rPr>
                    <w:rFonts w:ascii="Nunito Sans" w:hAnsi="Nunito Sans" w:cs="Calibri" w:eastAsiaTheme="minorEastAsia"/>
                    <w:iCs/>
                    <w:sz w:val="18"/>
                    <w:szCs w:val="18"/>
                  </w:rPr>
                  <w:t>Infraestructura sectorial de almacenamiento</w:t>
                </w:r>
              </w:p>
            </w:tc>
          </w:tr>
          <w:tr w:rsidRPr="00842B2B" w:rsidR="005E3BD6" w:rsidTr="001C0277" w14:paraId="6945D8FB"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62ABF48A"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Descripción del Paradigma</w:t>
                </w:r>
              </w:p>
            </w:tc>
            <w:tc>
              <w:tcPr>
                <w:tcW w:w="5811" w:type="dxa"/>
                <w:tcBorders>
                  <w:left w:val="single" w:color="FFFFFF" w:themeColor="background1" w:sz="4" w:space="0"/>
                </w:tcBorders>
                <w:hideMark/>
              </w:tcPr>
              <w:p w:rsidRPr="00842B2B" w:rsidR="005E3BD6" w:rsidP="001C0277" w:rsidRDefault="005E3BD6" w14:paraId="79D130B0"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Las entidades del sector gestionan su infraestructura de almacenamiento de datos de manera independiente, adoptando nube pública, nube privada, esquemas híbridos u on-premise sin un marco metodológico sectorial que defina criterios comunes de diseño, operación, escalabilidad, continuidad, costos y seguridad, en coherencia con los lineamientos del MinTIC.</w:t>
                </w:r>
              </w:p>
            </w:tc>
          </w:tr>
          <w:tr w:rsidRPr="00842B2B" w:rsidR="005E3BD6" w:rsidTr="001C0277" w14:paraId="2045CE1F"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37A1F791"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Efectos Directos</w:t>
                </w:r>
              </w:p>
            </w:tc>
            <w:tc>
              <w:tcPr>
                <w:tcW w:w="5811" w:type="dxa"/>
                <w:tcBorders>
                  <w:left w:val="single" w:color="FFFFFF" w:themeColor="background1" w:sz="4" w:space="0"/>
                </w:tcBorders>
                <w:hideMark/>
              </w:tcPr>
              <w:p w:rsidRPr="00842B2B" w:rsidR="005E3BD6" w:rsidP="001C0277" w:rsidRDefault="005E3BD6" w14:paraId="5BA33C1B"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 xml:space="preserve">Arquitecturas de almacenamiento heterogéneas, sobredimensionamiento o subutilización de infraestructura, dificultades para escalar servicios, riesgos operativos y de </w:t>
                </w:r>
                <w:r w:rsidRPr="00842B2B">
                  <w:rPr>
                    <w:rFonts w:ascii="Nunito Sans" w:hAnsi="Nunito Sans" w:cs="Calibri" w:eastAsiaTheme="minorEastAsia"/>
                    <w:iCs/>
                    <w:sz w:val="18"/>
                    <w:szCs w:val="18"/>
                  </w:rPr>
                  <w:lastRenderedPageBreak/>
                  <w:t>disponibilidad, incremento de costos y baja capacidad de recuperación ante fallas o desastres.</w:t>
                </w:r>
              </w:p>
            </w:tc>
          </w:tr>
          <w:tr w:rsidRPr="00842B2B" w:rsidR="005E3BD6" w:rsidTr="001C0277" w14:paraId="036C70E6"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31014DD5"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lastRenderedPageBreak/>
                  <w:t>Descripción de la Ruptura</w:t>
                </w:r>
              </w:p>
            </w:tc>
            <w:tc>
              <w:tcPr>
                <w:tcW w:w="5811" w:type="dxa"/>
                <w:tcBorders>
                  <w:left w:val="single" w:color="FFFFFF" w:themeColor="background1" w:sz="4" w:space="0"/>
                </w:tcBorders>
                <w:hideMark/>
              </w:tcPr>
              <w:p w:rsidRPr="00842B2B" w:rsidR="005E3BD6" w:rsidP="001C0277" w:rsidRDefault="005E3BD6" w14:paraId="1A13C4AA"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Definir e implementar un marco metodológico sectorial para la infraestructura de almacenamiento de datos que establezca criterios técnicos y operativos para el uso de nube, modelos híbridos y soluciones on-premise, alineado con la Política de Gobierno Digital y los lineamientos MinTIC sobre adopción de nube, continuidad operativa y eficiencia del gasto en TI.</w:t>
                </w:r>
              </w:p>
            </w:tc>
          </w:tr>
          <w:tr w:rsidRPr="00842B2B" w:rsidR="005E3BD6" w:rsidTr="001C0277" w14:paraId="39037C4D"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7233D170"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Cómo romper el Paradigma</w:t>
                </w:r>
              </w:p>
            </w:tc>
            <w:tc>
              <w:tcPr>
                <w:tcW w:w="5811" w:type="dxa"/>
                <w:tcBorders>
                  <w:left w:val="single" w:color="FFFFFF" w:themeColor="background1" w:sz="4" w:space="0"/>
                </w:tcBorders>
                <w:hideMark/>
              </w:tcPr>
              <w:p w:rsidRPr="00842B2B" w:rsidR="005E3BD6" w:rsidP="001C0277" w:rsidRDefault="005E3BD6" w14:paraId="48F6A422"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Definición de arquitecturas de referencia de almacenamiento, lineamientos de adopción de nube (cloud first cuando aplique), diseños híbridos estándar, criterios de capacidad y desempeño, esquemas de alta disponibilidad y replicación, lineamientos de respaldo y recuperación (DRP), modelos de costos y optimización (FinOps) y estándares de seguridad de infraestructura.</w:t>
                </w:r>
              </w:p>
            </w:tc>
          </w:tr>
          <w:tr w:rsidRPr="00842B2B" w:rsidR="005E3BD6" w:rsidTr="001C0277" w14:paraId="671EC7CA"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55C4688B"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Impacto Esperado</w:t>
                </w:r>
              </w:p>
            </w:tc>
            <w:tc>
              <w:tcPr>
                <w:tcW w:w="5811" w:type="dxa"/>
                <w:tcBorders>
                  <w:left w:val="single" w:color="FFFFFF" w:themeColor="background1" w:sz="4" w:space="0"/>
                </w:tcBorders>
                <w:hideMark/>
              </w:tcPr>
              <w:p w:rsidRPr="00842B2B" w:rsidR="005E3BD6" w:rsidP="001C0277" w:rsidRDefault="005E3BD6" w14:paraId="6AEB7CC7"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Infraestructura de almacenamiento sectorial más eficiente, escalable y resiliente, con reducción de costos operativos, mayor disponibilidad de los servicios tecnológicos y soporte adecuado para analítica, interoperabilidad y operación misional crítica.</w:t>
                </w:r>
              </w:p>
            </w:tc>
          </w:tr>
          <w:tr w:rsidRPr="00842B2B" w:rsidR="005E3BD6" w:rsidTr="001C0277" w14:paraId="66F4DEA4"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22E386FF"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Grupos de Interés</w:t>
                </w:r>
              </w:p>
            </w:tc>
            <w:tc>
              <w:tcPr>
                <w:tcW w:w="5811" w:type="dxa"/>
                <w:tcBorders>
                  <w:left w:val="single" w:color="FFFFFF" w:themeColor="background1" w:sz="4" w:space="0"/>
                </w:tcBorders>
                <w:hideMark/>
              </w:tcPr>
              <w:p w:rsidRPr="00842B2B" w:rsidR="005E3BD6" w:rsidP="001C0277" w:rsidRDefault="005E3BD6" w14:paraId="0DBEACB9"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Ciudadanos, empresas, academia, entidades sectoriales.</w:t>
                </w:r>
              </w:p>
            </w:tc>
          </w:tr>
          <w:tr w:rsidRPr="00842B2B" w:rsidR="005E3BD6" w:rsidTr="001C0277" w14:paraId="710983D8"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5B0E2493"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Dominio MRAE</w:t>
                </w:r>
              </w:p>
            </w:tc>
            <w:tc>
              <w:tcPr>
                <w:tcW w:w="5811" w:type="dxa"/>
                <w:tcBorders>
                  <w:left w:val="single" w:color="FFFFFF" w:themeColor="background1" w:sz="4" w:space="0"/>
                </w:tcBorders>
                <w:hideMark/>
              </w:tcPr>
              <w:p w:rsidRPr="00842B2B" w:rsidR="005E3BD6" w:rsidP="001C0277" w:rsidRDefault="005E3BD6" w14:paraId="489E03ED" w14:textId="77777777">
                <w:pPr>
                  <w:jc w:val="both"/>
                  <w:rPr>
                    <w:rFonts w:ascii="Nunito Sans" w:hAnsi="Nunito Sans" w:cs="Calibri" w:eastAsiaTheme="minorEastAsia"/>
                    <w:iCs/>
                    <w:sz w:val="18"/>
                    <w:szCs w:val="18"/>
                  </w:rPr>
                </w:pPr>
                <w:r w:rsidRPr="00842B2B">
                  <w:rPr>
                    <w:rFonts w:ascii="Nunito Sans" w:hAnsi="Nunito Sans" w:cs="Calibri" w:eastAsiaTheme="minorEastAsia"/>
                    <w:iCs/>
                    <w:sz w:val="18"/>
                    <w:szCs w:val="18"/>
                  </w:rPr>
                  <w:t>Infraestructura y Servicios Tecnológicos</w:t>
                </w:r>
              </w:p>
            </w:tc>
          </w:tr>
          <w:tr w:rsidRPr="00842B2B" w:rsidR="005E3BD6" w:rsidTr="001C0277" w14:paraId="20DD3C83" w14:textId="77777777">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842B2B" w:rsidR="005E3BD6" w:rsidP="001C0277" w:rsidRDefault="005E3BD6" w14:paraId="1513F320" w14:textId="77777777">
                <w:pPr>
                  <w:rPr>
                    <w:rFonts w:ascii="Nunito Sans" w:hAnsi="Nunito Sans" w:cs="Calibri" w:eastAsiaTheme="minorEastAsia"/>
                    <w:iCs/>
                    <w:color w:val="FFFFFF" w:themeColor="background1"/>
                    <w:sz w:val="18"/>
                    <w:szCs w:val="18"/>
                  </w:rPr>
                </w:pPr>
                <w:r w:rsidRPr="00842B2B">
                  <w:rPr>
                    <w:rFonts w:ascii="Nunito Sans" w:hAnsi="Nunito Sans" w:cs="Calibri" w:eastAsiaTheme="minorEastAsia"/>
                    <w:iCs/>
                    <w:color w:val="FFFFFF" w:themeColor="background1"/>
                    <w:sz w:val="18"/>
                    <w:szCs w:val="18"/>
                  </w:rPr>
                  <w:t>Clasificación de Impacto</w:t>
                </w:r>
              </w:p>
            </w:tc>
            <w:tc>
              <w:tcPr>
                <w:tcW w:w="5811" w:type="dxa"/>
                <w:tcBorders>
                  <w:left w:val="single" w:color="FFFFFF" w:themeColor="background1" w:sz="4" w:space="0"/>
                </w:tcBorders>
                <w:vAlign w:val="center"/>
                <w:hideMark/>
              </w:tcPr>
              <w:p w:rsidRPr="00842B2B" w:rsidR="005E3BD6" w:rsidP="001C0277" w:rsidRDefault="005E3BD6" w14:paraId="3962DDA1" w14:textId="77777777">
                <w:pPr>
                  <w:rPr>
                    <w:rFonts w:ascii="Nunito Sans" w:hAnsi="Nunito Sans" w:cs="Calibri" w:eastAsiaTheme="minorEastAsia"/>
                    <w:iCs/>
                    <w:sz w:val="18"/>
                    <w:szCs w:val="18"/>
                  </w:rPr>
                </w:pPr>
                <w:r w:rsidRPr="00842B2B">
                  <w:rPr>
                    <w:rFonts w:ascii="Nunito Sans" w:hAnsi="Nunito Sans" w:cs="Calibri" w:eastAsiaTheme="minorEastAsia"/>
                    <w:iCs/>
                    <w:sz w:val="18"/>
                    <w:szCs w:val="18"/>
                  </w:rPr>
                  <w:t>Alto</w:t>
                </w:r>
              </w:p>
            </w:tc>
          </w:tr>
        </w:tbl>
        <w:p w:rsidRPr="0038010D" w:rsidR="005E3BD6" w:rsidP="005E3BD6" w:rsidRDefault="005E3BD6" w14:paraId="62672AF4"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2AE7C9C7" w14:textId="77777777">
          <w:pPr>
            <w:rPr>
              <w:rFonts w:ascii="Nunito Sans" w:hAnsi="Nunito Sans" w:cs="Calibri" w:eastAsiaTheme="minorEastAsia"/>
              <w:iCs/>
              <w:sz w:val="22"/>
              <w:szCs w:val="22"/>
            </w:rPr>
          </w:pPr>
        </w:p>
        <w:p w:rsidRPr="00CA4194" w:rsidR="005E3BD6" w:rsidRDefault="1F325162" w14:paraId="1934A9CB" w14:textId="2A083BC5">
          <w:pPr>
            <w:pStyle w:val="Ttulo2"/>
            <w:numPr>
              <w:ilvl w:val="1"/>
              <w:numId w:val="36"/>
            </w:numPr>
          </w:pPr>
          <w:bookmarkStart w:name="_Toc632419672" w:id="213"/>
          <w:bookmarkStart w:name="_Hlk213797656" w:id="214"/>
          <w:bookmarkStart w:name="_Toc234234479" w:id="215"/>
          <w:r>
            <w:t xml:space="preserve">Situación Actual (AS-IS) Seguridad y Privacidad de la Información </w:t>
          </w:r>
          <w:r w:rsidR="4DEEDCF7">
            <w:t>S</w:t>
          </w:r>
          <w:r>
            <w:t>ectorial</w:t>
          </w:r>
          <w:bookmarkEnd w:id="213"/>
          <w:bookmarkEnd w:id="214"/>
          <w:bookmarkEnd w:id="215"/>
        </w:p>
        <w:p w:rsidR="540F3002" w:rsidP="4E60D266" w:rsidRDefault="540F3002" w14:paraId="250DA10B" w14:textId="57A1974E">
          <w:pPr>
            <w:spacing w:line="257" w:lineRule="auto"/>
            <w:jc w:val="both"/>
          </w:pPr>
          <w:r w:rsidRPr="4E60D266">
            <w:rPr>
              <w:rFonts w:ascii="Nunito Sans" w:hAnsi="Nunito Sans" w:eastAsia="Nunito Sans" w:cs="Nunito Sans"/>
              <w:sz w:val="22"/>
              <w:szCs w:val="22"/>
              <w:lang w:val="es-ES"/>
            </w:rPr>
            <w:t>La Seguridad y Privacidad de la Información en el sector minero-energético se fundamenta en la implementación progresiva del Modelo de Seguridad y Privacidad de la Información (MSPI) del Estado colombiano, el cumplimiento de la Ley 1581 de 2012 sobre Protección de Datos Personales, la Norma ISO/IEC 27001:2022 y las políticas y procedimientos adoptados por el Ministerio de Minas y Energía (MME) y sus entidades adscritas. Considerando que el sector minero-energético soporta servicios esenciales para el país y dispone de activos estratégicos asociados a la producción, transporte, distribución y gestión de recursos energéticos y mineros, su protección reviste especial importancia dentro del contexto de la infraestructura crítica cibernética nacional. En este sentido, el diagnóstico sectorial permite evaluar el estado actual de las capacidades, controles, inventarios, continuidad, monitoreo y respuesta a incidentes en cada entidad, identificando fortalezas comunes y riesgos compartidos que pueden impactar la operación energética y minera del país</w:t>
          </w:r>
        </w:p>
        <w:p w:rsidRPr="00CA4194" w:rsidR="005E3BD6" w:rsidP="005E3BD6" w:rsidRDefault="005E3BD6" w14:paraId="22633149" w14:textId="77777777">
          <w:pPr>
            <w:spacing w:line="257" w:lineRule="auto"/>
            <w:jc w:val="both"/>
            <w:rPr>
              <w:rFonts w:ascii="Nunito Sans" w:hAnsi="Nunito Sans" w:eastAsia="Arial" w:cs="Calibri"/>
              <w:sz w:val="22"/>
              <w:szCs w:val="22"/>
              <w:lang w:val="es-ES"/>
            </w:rPr>
          </w:pPr>
        </w:p>
        <w:p w:rsidR="540F3002" w:rsidP="4E60D266" w:rsidRDefault="540F3002" w14:paraId="05CF1C30" w14:textId="3AD37162">
          <w:pPr>
            <w:spacing w:line="257" w:lineRule="auto"/>
            <w:jc w:val="both"/>
          </w:pPr>
          <w:r w:rsidRPr="4E60D266">
            <w:rPr>
              <w:rFonts w:ascii="Nunito Sans" w:hAnsi="Nunito Sans" w:eastAsia="Nunito Sans" w:cs="Nunito Sans"/>
              <w:sz w:val="22"/>
              <w:szCs w:val="22"/>
              <w:lang w:val="es-ES"/>
            </w:rPr>
            <w:t xml:space="preserve">El análisis demuestra un nivel de madurez heterogéneo, con capacidades consolidadas en políticas, inventarios, control de acceso, criptografía y seguridad de las comunicaciones. No obstante, se identifican brechas sectoriales en monitoreo conjunto (SOC/CSIRT), continuidad de </w:t>
          </w:r>
          <w:r w:rsidRPr="4E60D266">
            <w:rPr>
              <w:rFonts w:ascii="Nunito Sans" w:hAnsi="Nunito Sans" w:eastAsia="Nunito Sans" w:cs="Nunito Sans"/>
              <w:sz w:val="22"/>
              <w:szCs w:val="22"/>
              <w:lang w:val="es-ES"/>
            </w:rPr>
            <w:lastRenderedPageBreak/>
            <w:t>negocio y recuperación ante desastres (BCP/DRP), identificación y clasificación de activos críticos, intercambio de información sobre amenazas y respuesta coordinada ante incidentes de ciberseguridad, aspectos relevantes para la protección de la infraestructura crítica cibernética asociada al sector minero-energético.</w:t>
          </w:r>
        </w:p>
        <w:p w:rsidRPr="00CA4194" w:rsidR="005E3BD6" w:rsidP="005E3BD6" w:rsidRDefault="005E3BD6" w14:paraId="434B274B" w14:textId="77777777">
          <w:pPr>
            <w:spacing w:line="257" w:lineRule="auto"/>
            <w:jc w:val="both"/>
            <w:rPr>
              <w:rFonts w:ascii="Nunito Sans" w:hAnsi="Nunito Sans" w:eastAsia="Arial" w:cs="Calibri"/>
              <w:sz w:val="22"/>
              <w:szCs w:val="22"/>
              <w:lang w:val="es-ES"/>
            </w:rPr>
          </w:pPr>
        </w:p>
        <w:p w:rsidRPr="004661A2" w:rsidR="004661A2" w:rsidRDefault="004661A2" w14:paraId="227DEB56" w14:textId="77777777">
          <w:pPr>
            <w:pStyle w:val="Prrafodelista"/>
            <w:numPr>
              <w:ilvl w:val="1"/>
              <w:numId w:val="36"/>
            </w:numPr>
            <w:contextualSpacing w:val="0"/>
            <w:jc w:val="both"/>
            <w:outlineLvl w:val="2"/>
            <w:rPr>
              <w:rFonts w:ascii="Nunito Sans" w:hAnsi="Nunito Sans" w:eastAsia="Nunito Sans" w:cs="Nunito Sans"/>
              <w:b/>
              <w:bCs/>
              <w:iCs/>
              <w:vanish/>
              <w:color w:val="EDB600"/>
              <w:sz w:val="26"/>
              <w:lang w:val="es-ES"/>
            </w:rPr>
          </w:pPr>
          <w:bookmarkStart w:name="_Toc220407718" w:id="216"/>
          <w:bookmarkStart w:name="_Toc220407987" w:id="217"/>
          <w:bookmarkStart w:name="_Toc220614472" w:id="218"/>
          <w:bookmarkStart w:name="_Toc220664298" w:id="219"/>
          <w:bookmarkStart w:name="_Toc234231850" w:id="220"/>
          <w:bookmarkStart w:name="_Toc234232092" w:id="221"/>
          <w:bookmarkStart w:name="_Toc234232213" w:id="222"/>
          <w:bookmarkStart w:name="_Toc234232334" w:id="223"/>
          <w:bookmarkStart w:name="_Toc234233385" w:id="224"/>
          <w:bookmarkStart w:name="_Toc234233506" w:id="225"/>
          <w:bookmarkStart w:name="_Toc234233628" w:id="226"/>
          <w:bookmarkStart w:name="_Toc234233750" w:id="227"/>
          <w:bookmarkStart w:name="_Toc234233872" w:id="228"/>
          <w:bookmarkStart w:name="_Toc234233993" w:id="229"/>
          <w:bookmarkStart w:name="_Toc234234116" w:id="230"/>
          <w:bookmarkStart w:name="_Toc234234238" w:id="231"/>
          <w:bookmarkStart w:name="_Toc234234359" w:id="232"/>
          <w:bookmarkStart w:name="_Toc234234480" w:id="233"/>
          <w:bookmarkStart w:name="_Toc1336864962" w:id="234"/>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rsidR="005E3BD6" w:rsidRDefault="005E3BD6" w14:paraId="352F4CA7" w14:textId="2B418F50">
          <w:pPr>
            <w:pStyle w:val="Ttulo3"/>
            <w:numPr>
              <w:ilvl w:val="2"/>
              <w:numId w:val="35"/>
            </w:numPr>
          </w:pPr>
          <w:bookmarkStart w:name="_Toc234234481" w:id="235"/>
          <w:r w:rsidRPr="0E79E4E6">
            <w:t>Inventario de Activos Críticos Sectoriales</w:t>
          </w:r>
          <w:bookmarkEnd w:id="234"/>
          <w:bookmarkEnd w:id="235"/>
        </w:p>
        <w:p w:rsidRPr="00DF354F" w:rsidR="00DF354F" w:rsidP="00DF354F" w:rsidRDefault="00DF354F" w14:paraId="7657582A" w14:textId="77777777">
          <w:pPr>
            <w:rPr>
              <w:lang w:val="es-ES"/>
            </w:rPr>
          </w:pPr>
        </w:p>
        <w:p w:rsidR="005E3BD6" w:rsidP="005E3BD6" w:rsidRDefault="005E3BD6" w14:paraId="729C656D" w14:textId="77777777">
          <w:pPr>
            <w:spacing w:line="257" w:lineRule="auto"/>
            <w:jc w:val="both"/>
            <w:rPr>
              <w:rFonts w:ascii="Nunito Sans" w:hAnsi="Nunito Sans" w:eastAsia="Arial" w:cs="Calibri"/>
              <w:sz w:val="22"/>
              <w:szCs w:val="22"/>
            </w:rPr>
          </w:pPr>
          <w:r w:rsidRPr="00CA4194">
            <w:rPr>
              <w:rFonts w:ascii="Nunito Sans" w:hAnsi="Nunito Sans" w:eastAsia="Arial" w:cs="Calibri"/>
              <w:sz w:val="22"/>
              <w:szCs w:val="22"/>
            </w:rPr>
            <w:t>Todas las entidades del sector han establecido inventarios de activos de información; sin embargo, la relación entre clasificación, criticidad, riesgos, continuidad del negocio y protección de datos personales no es homogénea.</w:t>
          </w:r>
        </w:p>
        <w:p w:rsidRPr="00CA4194" w:rsidR="00F2742B" w:rsidP="005E3BD6" w:rsidRDefault="00F2742B" w14:paraId="541789C6" w14:textId="77777777">
          <w:pPr>
            <w:spacing w:line="257" w:lineRule="auto"/>
            <w:jc w:val="both"/>
            <w:rPr>
              <w:rFonts w:ascii="Nunito Sans" w:hAnsi="Nunito Sans" w:eastAsia="Arial" w:cs="Calibri"/>
              <w:sz w:val="22"/>
              <w:szCs w:val="22"/>
            </w:rPr>
          </w:pPr>
        </w:p>
        <w:p w:rsidRPr="00EB43A6" w:rsidR="005E3BD6" w:rsidP="005E3BD6" w:rsidRDefault="00F2742B" w14:paraId="74EC00BA" w14:textId="436A27CA">
          <w:pPr>
            <w:ind w:left="360" w:hanging="360"/>
            <w:jc w:val="center"/>
            <w:rPr>
              <w:rFonts w:ascii="Nunito Sans" w:hAnsi="Nunito Sans" w:cs="Calibri"/>
              <w:b/>
              <w:bCs/>
              <w:sz w:val="18"/>
              <w:szCs w:val="18"/>
            </w:rPr>
          </w:pPr>
          <w:bookmarkStart w:name="_Toc220664194" w:id="236"/>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23</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Inventario de Activos del Sector</w:t>
          </w:r>
          <w:bookmarkEnd w:id="236"/>
        </w:p>
        <w:tbl>
          <w:tblPr>
            <w:tblStyle w:val="Tablaconcuadrcula"/>
            <w:tblW w:w="8600"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283"/>
            <w:gridCol w:w="3532"/>
            <w:gridCol w:w="3785"/>
          </w:tblGrid>
          <w:tr w:rsidRPr="00CA4194" w:rsidR="005E3BD6" w:rsidTr="00BE1E98" w14:paraId="5FDD3C78" w14:textId="77777777">
            <w:trPr>
              <w:trHeight w:val="325"/>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E1E98" w:rsidRDefault="005E3BD6" w14:paraId="1CE4E2C6" w14:textId="77777777">
                <w:pPr>
                  <w:spacing w:line="257" w:lineRule="auto"/>
                  <w:jc w:val="center"/>
                  <w:rPr>
                    <w:rFonts w:ascii="Nunito Sans" w:hAnsi="Nunito Sans" w:eastAsia="Arial" w:cs="Calibri"/>
                    <w:b/>
                    <w:bCs/>
                    <w:color w:val="FFFFFF" w:themeColor="background1"/>
                    <w:sz w:val="18"/>
                    <w:szCs w:val="18"/>
                    <w:lang w:val="es-ES"/>
                  </w:rPr>
                </w:pPr>
                <w:r w:rsidRPr="005A796E">
                  <w:rPr>
                    <w:rFonts w:ascii="Nunito Sans" w:hAnsi="Nunito Sans" w:eastAsia="Arial" w:cs="Calibri"/>
                    <w:b/>
                    <w:bCs/>
                    <w:color w:val="FFFFFF" w:themeColor="background1"/>
                    <w:sz w:val="18"/>
                    <w:szCs w:val="18"/>
                    <w:lang w:val="es-ES"/>
                  </w:rPr>
                  <w:t>Entidad</w:t>
                </w:r>
              </w:p>
            </w:tc>
            <w:tc>
              <w:tcPr>
                <w:tcW w:w="353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E1E98" w:rsidRDefault="005E3BD6" w14:paraId="13DC7B82" w14:textId="77777777">
                <w:pPr>
                  <w:spacing w:line="257" w:lineRule="auto"/>
                  <w:jc w:val="center"/>
                  <w:rPr>
                    <w:rFonts w:ascii="Nunito Sans" w:hAnsi="Nunito Sans" w:eastAsia="Arial" w:cs="Calibri"/>
                    <w:b/>
                    <w:bCs/>
                    <w:color w:val="FFFFFF" w:themeColor="background1"/>
                    <w:sz w:val="18"/>
                    <w:szCs w:val="18"/>
                    <w:lang w:val="es-ES"/>
                  </w:rPr>
                </w:pPr>
                <w:r w:rsidRPr="005A796E">
                  <w:rPr>
                    <w:rFonts w:ascii="Nunito Sans" w:hAnsi="Nunito Sans" w:eastAsia="Arial" w:cs="Calibri"/>
                    <w:b/>
                    <w:bCs/>
                    <w:color w:val="FFFFFF" w:themeColor="background1"/>
                    <w:sz w:val="18"/>
                    <w:szCs w:val="18"/>
                    <w:lang w:val="es-ES"/>
                  </w:rPr>
                  <w:t>Estado del Inventario de Activos</w:t>
                </w:r>
              </w:p>
            </w:tc>
            <w:tc>
              <w:tcPr>
                <w:tcW w:w="37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E1E98" w:rsidRDefault="005E3BD6" w14:paraId="0C7AD8D6" w14:textId="77777777">
                <w:pPr>
                  <w:spacing w:line="257" w:lineRule="auto"/>
                  <w:jc w:val="center"/>
                  <w:rPr>
                    <w:rFonts w:ascii="Nunito Sans" w:hAnsi="Nunito Sans" w:eastAsia="Arial" w:cs="Calibri"/>
                    <w:b/>
                    <w:bCs/>
                    <w:color w:val="FFFFFF" w:themeColor="background1"/>
                    <w:sz w:val="18"/>
                    <w:szCs w:val="18"/>
                    <w:lang w:val="es-ES"/>
                  </w:rPr>
                </w:pPr>
                <w:r w:rsidRPr="005A796E">
                  <w:rPr>
                    <w:rFonts w:ascii="Nunito Sans" w:hAnsi="Nunito Sans" w:eastAsia="Arial" w:cs="Calibri"/>
                    <w:b/>
                    <w:bCs/>
                    <w:color w:val="FFFFFF" w:themeColor="background1"/>
                    <w:sz w:val="18"/>
                    <w:szCs w:val="18"/>
                    <w:lang w:val="es-ES"/>
                  </w:rPr>
                  <w:t>Observación</w:t>
                </w:r>
              </w:p>
            </w:tc>
          </w:tr>
          <w:tr w:rsidRPr="00CA4194" w:rsidR="005E3BD6" w:rsidTr="00BE1E98" w14:paraId="284C67BA" w14:textId="77777777">
            <w:trPr>
              <w:trHeight w:val="706"/>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4565A04F"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MME</w:t>
                </w:r>
              </w:p>
            </w:tc>
            <w:tc>
              <w:tcPr>
                <w:tcW w:w="3532" w:type="dxa"/>
                <w:tcBorders>
                  <w:top w:val="single" w:color="FFFFFF" w:themeColor="background1" w:sz="4" w:space="0"/>
                  <w:left w:val="single" w:color="FFFFFF" w:themeColor="background1" w:sz="4" w:space="0"/>
                </w:tcBorders>
                <w:vAlign w:val="center"/>
                <w:hideMark/>
              </w:tcPr>
              <w:p w:rsidRPr="005A796E" w:rsidR="005E3BD6" w:rsidP="00B4771C" w:rsidRDefault="005E3BD6" w14:paraId="66C3D2EF"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Inventario formal de activos documentales, tecnológicos y datos personales.</w:t>
                </w:r>
              </w:p>
            </w:tc>
            <w:tc>
              <w:tcPr>
                <w:tcW w:w="3785" w:type="dxa"/>
                <w:tcBorders>
                  <w:top w:val="single" w:color="FFFFFF" w:themeColor="background1" w:sz="4" w:space="0"/>
                </w:tcBorders>
                <w:vAlign w:val="center"/>
                <w:hideMark/>
              </w:tcPr>
              <w:p w:rsidRPr="005A796E" w:rsidR="005E3BD6" w:rsidP="00B4771C" w:rsidRDefault="005E3BD6" w14:paraId="01800BAC"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Integrado al SGSI y a la Resolución 40646/2023.</w:t>
                </w:r>
              </w:p>
            </w:tc>
          </w:tr>
          <w:tr w:rsidRPr="00CA4194" w:rsidR="005E3BD6" w:rsidTr="00BE1E98" w14:paraId="1FE508D9" w14:textId="77777777">
            <w:trPr>
              <w:trHeight w:val="547"/>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163424CA"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ANH</w:t>
                </w:r>
              </w:p>
            </w:tc>
            <w:tc>
              <w:tcPr>
                <w:tcW w:w="3532" w:type="dxa"/>
                <w:tcBorders>
                  <w:left w:val="single" w:color="FFFFFF" w:themeColor="background1" w:sz="4" w:space="0"/>
                </w:tcBorders>
                <w:vAlign w:val="center"/>
                <w:hideMark/>
              </w:tcPr>
              <w:p w:rsidRPr="005A796E" w:rsidR="005E3BD6" w:rsidP="00B4771C" w:rsidRDefault="005E3BD6" w14:paraId="69740CAB"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Inventario y clasificación vinculados a riesgo.</w:t>
                </w:r>
              </w:p>
            </w:tc>
            <w:tc>
              <w:tcPr>
                <w:tcW w:w="3785" w:type="dxa"/>
                <w:vAlign w:val="center"/>
                <w:hideMark/>
              </w:tcPr>
              <w:p w:rsidRPr="005A796E" w:rsidR="005E3BD6" w:rsidP="00B4771C" w:rsidRDefault="005E3BD6" w14:paraId="2416F5EB"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Enfocado en información estratégica de hidrocarburos.</w:t>
                </w:r>
              </w:p>
            </w:tc>
          </w:tr>
          <w:tr w:rsidRPr="00CA4194" w:rsidR="005E3BD6" w:rsidTr="00BE1E98" w14:paraId="09E2BDAA" w14:textId="77777777">
            <w:trPr>
              <w:trHeight w:val="569"/>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30912375"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ANM</w:t>
                </w:r>
              </w:p>
            </w:tc>
            <w:tc>
              <w:tcPr>
                <w:tcW w:w="3532" w:type="dxa"/>
                <w:tcBorders>
                  <w:left w:val="single" w:color="FFFFFF" w:themeColor="background1" w:sz="4" w:space="0"/>
                </w:tcBorders>
                <w:vAlign w:val="center"/>
                <w:hideMark/>
              </w:tcPr>
              <w:p w:rsidRPr="005A796E" w:rsidR="005E3BD6" w:rsidP="00B4771C" w:rsidRDefault="005E3BD6" w14:paraId="4B0A02F0"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Clasificación, control de propiedad y medios.</w:t>
                </w:r>
              </w:p>
            </w:tc>
            <w:tc>
              <w:tcPr>
                <w:tcW w:w="3785" w:type="dxa"/>
                <w:vAlign w:val="center"/>
                <w:hideMark/>
              </w:tcPr>
              <w:p w:rsidRPr="005A796E" w:rsidR="005E3BD6" w:rsidP="00B4771C" w:rsidRDefault="005E3BD6" w14:paraId="5A1F9D4F"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En consolidación ISO 27001:2022.</w:t>
                </w:r>
              </w:p>
            </w:tc>
          </w:tr>
          <w:tr w:rsidRPr="00CA4194" w:rsidR="005E3BD6" w:rsidTr="00BE1E98" w14:paraId="3DE293A8" w14:textId="77777777">
            <w:trPr>
              <w:trHeight w:val="549"/>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5A92CDB1"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CREG</w:t>
                </w:r>
              </w:p>
            </w:tc>
            <w:tc>
              <w:tcPr>
                <w:tcW w:w="3532" w:type="dxa"/>
                <w:tcBorders>
                  <w:left w:val="single" w:color="FFFFFF" w:themeColor="background1" w:sz="4" w:space="0"/>
                </w:tcBorders>
                <w:vAlign w:val="center"/>
                <w:hideMark/>
              </w:tcPr>
              <w:p w:rsidRPr="005A796E" w:rsidR="005E3BD6" w:rsidP="00B4771C" w:rsidRDefault="005E3BD6" w14:paraId="4CE9DC36"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Inventario regulatorio y sistemas de acceso público.</w:t>
                </w:r>
              </w:p>
            </w:tc>
            <w:tc>
              <w:tcPr>
                <w:tcW w:w="3785" w:type="dxa"/>
                <w:vAlign w:val="center"/>
                <w:hideMark/>
              </w:tcPr>
              <w:p w:rsidRPr="005A796E" w:rsidR="005E3BD6" w:rsidP="00B4771C" w:rsidRDefault="005E3BD6" w14:paraId="42B1E673"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Clasificación en evolución.</w:t>
                </w:r>
              </w:p>
            </w:tc>
          </w:tr>
          <w:tr w:rsidRPr="00CA4194" w:rsidR="005E3BD6" w:rsidTr="00BE1E98" w14:paraId="651D4318" w14:textId="77777777">
            <w:trPr>
              <w:trHeight w:val="445"/>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3847719E"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FENOGE</w:t>
                </w:r>
              </w:p>
            </w:tc>
            <w:tc>
              <w:tcPr>
                <w:tcW w:w="3532" w:type="dxa"/>
                <w:tcBorders>
                  <w:left w:val="single" w:color="FFFFFF" w:themeColor="background1" w:sz="4" w:space="0"/>
                </w:tcBorders>
                <w:vAlign w:val="center"/>
                <w:hideMark/>
              </w:tcPr>
              <w:p w:rsidRPr="005A796E" w:rsidR="005E3BD6" w:rsidP="00B4771C" w:rsidRDefault="005E3BD6" w14:paraId="27DE8F38"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Incluye datos, documentos, sistemas y recurso humano.</w:t>
                </w:r>
              </w:p>
            </w:tc>
            <w:tc>
              <w:tcPr>
                <w:tcW w:w="3785" w:type="dxa"/>
                <w:vAlign w:val="center"/>
                <w:hideMark/>
              </w:tcPr>
              <w:p w:rsidRPr="005A796E" w:rsidR="005E3BD6" w:rsidP="00B4771C" w:rsidRDefault="005E3BD6" w14:paraId="20292280"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Concepto robusto de activo.</w:t>
                </w:r>
              </w:p>
            </w:tc>
          </w:tr>
          <w:tr w:rsidRPr="00CA4194" w:rsidR="005E3BD6" w:rsidTr="00BE1E98" w14:paraId="5243C7DA" w14:textId="77777777">
            <w:trPr>
              <w:trHeight w:val="451"/>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2EA3CB35"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IPSE</w:t>
                </w:r>
              </w:p>
            </w:tc>
            <w:tc>
              <w:tcPr>
                <w:tcW w:w="3532" w:type="dxa"/>
                <w:tcBorders>
                  <w:left w:val="single" w:color="FFFFFF" w:themeColor="background1" w:sz="4" w:space="0"/>
                </w:tcBorders>
                <w:vAlign w:val="center"/>
                <w:hideMark/>
              </w:tcPr>
              <w:p w:rsidRPr="005A796E" w:rsidR="005E3BD6" w:rsidP="00B4771C" w:rsidRDefault="005E3BD6" w14:paraId="5CB781C6"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Inventario ligado a proyectos energéticos en ZNI.</w:t>
                </w:r>
              </w:p>
            </w:tc>
            <w:tc>
              <w:tcPr>
                <w:tcW w:w="3785" w:type="dxa"/>
                <w:vAlign w:val="center"/>
                <w:hideMark/>
              </w:tcPr>
              <w:p w:rsidRPr="005A796E" w:rsidR="005E3BD6" w:rsidP="00B4771C" w:rsidRDefault="005E3BD6" w14:paraId="06FA7AC0"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Riesgo vinculado a infraestructura aislada.</w:t>
                </w:r>
              </w:p>
            </w:tc>
          </w:tr>
          <w:tr w:rsidRPr="00CA4194" w:rsidR="005E3BD6" w:rsidTr="00BE1E98" w14:paraId="5A6BB371" w14:textId="77777777">
            <w:trPr>
              <w:trHeight w:val="487"/>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0D56E791"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SGC</w:t>
                </w:r>
              </w:p>
            </w:tc>
            <w:tc>
              <w:tcPr>
                <w:tcW w:w="3532" w:type="dxa"/>
                <w:tcBorders>
                  <w:left w:val="single" w:color="FFFFFF" w:themeColor="background1" w:sz="4" w:space="0"/>
                </w:tcBorders>
                <w:vAlign w:val="center"/>
                <w:hideMark/>
              </w:tcPr>
              <w:p w:rsidRPr="005A796E" w:rsidR="005E3BD6" w:rsidP="00B4771C" w:rsidRDefault="005E3BD6" w14:paraId="59FE5255"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Inventario de datos científicos y geológicos.</w:t>
                </w:r>
              </w:p>
            </w:tc>
            <w:tc>
              <w:tcPr>
                <w:tcW w:w="3785" w:type="dxa"/>
                <w:vAlign w:val="center"/>
                <w:hideMark/>
              </w:tcPr>
              <w:p w:rsidRPr="005A796E" w:rsidR="005E3BD6" w:rsidP="00B4771C" w:rsidRDefault="005E3BD6" w14:paraId="0CA96A9D"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Tratamiento especial de información del subsuelo.</w:t>
                </w:r>
              </w:p>
            </w:tc>
          </w:tr>
          <w:tr w:rsidRPr="00CA4194" w:rsidR="005E3BD6" w:rsidTr="00BE1E98" w14:paraId="42FC1F13" w14:textId="77777777">
            <w:trPr>
              <w:trHeight w:val="508"/>
              <w:jc w:val="center"/>
            </w:trPr>
            <w:tc>
              <w:tcPr>
                <w:tcW w:w="128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70CFEEE8" w14:textId="77777777">
                <w:pPr>
                  <w:spacing w:line="257" w:lineRule="auto"/>
                  <w:rPr>
                    <w:rFonts w:ascii="Nunito Sans" w:hAnsi="Nunito Sans" w:eastAsia="Arial" w:cs="Calibri"/>
                    <w:color w:val="FFFFFF" w:themeColor="background1"/>
                    <w:sz w:val="18"/>
                    <w:szCs w:val="18"/>
                    <w:lang w:val="es-ES"/>
                  </w:rPr>
                </w:pPr>
                <w:r w:rsidRPr="005A796E">
                  <w:rPr>
                    <w:rFonts w:ascii="Nunito Sans" w:hAnsi="Nunito Sans" w:eastAsia="Arial" w:cs="Calibri"/>
                    <w:color w:val="FFFFFF" w:themeColor="background1"/>
                    <w:sz w:val="18"/>
                    <w:szCs w:val="18"/>
                    <w:lang w:val="es-ES"/>
                  </w:rPr>
                  <w:t>UPME</w:t>
                </w:r>
              </w:p>
            </w:tc>
            <w:tc>
              <w:tcPr>
                <w:tcW w:w="3532" w:type="dxa"/>
                <w:tcBorders>
                  <w:left w:val="single" w:color="FFFFFF" w:themeColor="background1" w:sz="4" w:space="0"/>
                </w:tcBorders>
                <w:vAlign w:val="center"/>
                <w:hideMark/>
              </w:tcPr>
              <w:p w:rsidRPr="005A796E" w:rsidR="005E3BD6" w:rsidP="00B4771C" w:rsidRDefault="005E3BD6" w14:paraId="740D39F5"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Inventario asociado a modelos energéticos y proyecciones nacionales.</w:t>
                </w:r>
              </w:p>
            </w:tc>
            <w:tc>
              <w:tcPr>
                <w:tcW w:w="3785" w:type="dxa"/>
                <w:vAlign w:val="center"/>
                <w:hideMark/>
              </w:tcPr>
              <w:p w:rsidRPr="005A796E" w:rsidR="005E3BD6" w:rsidP="00B4771C" w:rsidRDefault="005E3BD6" w14:paraId="3A7559A0" w14:textId="77777777">
                <w:pPr>
                  <w:spacing w:line="257" w:lineRule="auto"/>
                  <w:rPr>
                    <w:rFonts w:ascii="Nunito Sans" w:hAnsi="Nunito Sans" w:eastAsia="Arial" w:cs="Calibri"/>
                    <w:sz w:val="18"/>
                    <w:szCs w:val="18"/>
                    <w:lang w:val="es-ES"/>
                  </w:rPr>
                </w:pPr>
                <w:r w:rsidRPr="005A796E">
                  <w:rPr>
                    <w:rFonts w:ascii="Nunito Sans" w:hAnsi="Nunito Sans" w:eastAsia="Arial" w:cs="Calibri"/>
                    <w:sz w:val="18"/>
                    <w:szCs w:val="18"/>
                    <w:lang w:val="es-ES"/>
                  </w:rPr>
                  <w:t>Crítico para planeación energética del país.</w:t>
                </w:r>
              </w:p>
            </w:tc>
          </w:tr>
        </w:tbl>
        <w:p w:rsidRPr="00EF5DE4" w:rsidR="005E3BD6" w:rsidP="005E3BD6" w:rsidRDefault="005E3BD6" w14:paraId="5D40EE7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1F09783E" w14:textId="77777777">
          <w:pPr>
            <w:spacing w:line="257" w:lineRule="auto"/>
            <w:jc w:val="both"/>
            <w:rPr>
              <w:rFonts w:ascii="Nunito Sans" w:hAnsi="Nunito Sans" w:eastAsia="Arial" w:cs="Calibri"/>
              <w:sz w:val="22"/>
              <w:szCs w:val="22"/>
              <w:lang w:val="es-ES"/>
            </w:rPr>
          </w:pPr>
        </w:p>
        <w:p w:rsidRPr="00CA4194" w:rsidR="005E3BD6" w:rsidP="005E3BD6" w:rsidRDefault="1F325162" w14:paraId="4956A5A9" w14:textId="2C846A65">
          <w:pPr>
            <w:rPr>
              <w:rFonts w:ascii="Nunito Sans" w:hAnsi="Nunito Sans" w:eastAsia="Arial" w:cs="Calibri"/>
              <w:sz w:val="22"/>
              <w:szCs w:val="22"/>
            </w:rPr>
          </w:pPr>
          <w:r w:rsidRPr="4E60D266">
            <w:rPr>
              <w:rFonts w:ascii="Nunito Sans" w:hAnsi="Nunito Sans" w:eastAsia="Arial" w:cs="Calibri"/>
              <w:sz w:val="22"/>
              <w:szCs w:val="22"/>
            </w:rPr>
            <w:t>El inventario es transversal (100% de las entidades), pero solo MME, ANM,</w:t>
          </w:r>
          <w:r w:rsidRPr="4E60D266" w:rsidR="092D5605">
            <w:rPr>
              <w:rFonts w:ascii="Nunito Sans" w:hAnsi="Nunito Sans" w:eastAsia="Arial" w:cs="Calibri"/>
              <w:sz w:val="22"/>
              <w:szCs w:val="22"/>
            </w:rPr>
            <w:t xml:space="preserve"> </w:t>
          </w:r>
          <w:r w:rsidRPr="4E60D266">
            <w:rPr>
              <w:rFonts w:ascii="Nunito Sans" w:hAnsi="Nunito Sans" w:eastAsia="Arial" w:cs="Calibri"/>
              <w:sz w:val="22"/>
              <w:szCs w:val="22"/>
            </w:rPr>
            <w:t>SGC</w:t>
          </w:r>
          <w:r w:rsidRPr="4E60D266" w:rsidR="4752B431">
            <w:rPr>
              <w:rFonts w:ascii="Nunito Sans" w:hAnsi="Nunito Sans" w:eastAsia="Arial" w:cs="Calibri"/>
              <w:sz w:val="22"/>
              <w:szCs w:val="22"/>
            </w:rPr>
            <w:t xml:space="preserve">, </w:t>
          </w:r>
          <w:r w:rsidRPr="4E60D266">
            <w:rPr>
              <w:rFonts w:ascii="Nunito Sans" w:hAnsi="Nunito Sans" w:eastAsia="Arial" w:cs="Calibri"/>
              <w:sz w:val="22"/>
              <w:szCs w:val="22"/>
            </w:rPr>
            <w:t>UPME</w:t>
          </w:r>
          <w:r w:rsidRPr="4E60D266" w:rsidR="476D6D34">
            <w:rPr>
              <w:rFonts w:ascii="Nunito Sans" w:hAnsi="Nunito Sans" w:eastAsia="Arial" w:cs="Calibri"/>
              <w:sz w:val="22"/>
              <w:szCs w:val="22"/>
            </w:rPr>
            <w:t xml:space="preserve"> Y ANH</w:t>
          </w:r>
          <w:r w:rsidRPr="4E60D266">
            <w:rPr>
              <w:rFonts w:ascii="Nunito Sans" w:hAnsi="Nunito Sans" w:eastAsia="Arial" w:cs="Calibri"/>
              <w:sz w:val="22"/>
              <w:szCs w:val="22"/>
            </w:rPr>
            <w:t xml:space="preserve"> articulan los activos con criticidad, riesgos y continuidad, impactando la priorización sectorial y el resguardo de información energética estratégica.</w:t>
          </w:r>
        </w:p>
        <w:p w:rsidRPr="00CA4194" w:rsidR="005E3BD6" w:rsidP="005E3BD6" w:rsidRDefault="005E3BD6" w14:paraId="1C1E14A5" w14:textId="77777777">
          <w:pPr>
            <w:spacing w:line="257" w:lineRule="auto"/>
            <w:jc w:val="both"/>
            <w:rPr>
              <w:rFonts w:ascii="Nunito Sans" w:hAnsi="Nunito Sans" w:eastAsia="Arial" w:cs="Calibri"/>
              <w:sz w:val="22"/>
              <w:szCs w:val="22"/>
              <w:lang w:val="es-ES"/>
            </w:rPr>
          </w:pPr>
        </w:p>
        <w:p w:rsidR="005E3BD6" w:rsidRDefault="005E3BD6" w14:paraId="490AC606" w14:textId="7620B957">
          <w:pPr>
            <w:pStyle w:val="Ttulo3"/>
            <w:numPr>
              <w:ilvl w:val="2"/>
              <w:numId w:val="35"/>
            </w:numPr>
            <w:rPr>
              <w:rFonts w:cs="Calibri" w:eastAsiaTheme="minorEastAsia"/>
            </w:rPr>
          </w:pPr>
          <w:bookmarkStart w:name="_Toc234234482" w:id="237"/>
          <w:r w:rsidRPr="008D6A79">
            <w:rPr>
              <w:rFonts w:cs="Calibri" w:eastAsiaTheme="minorEastAsia"/>
            </w:rPr>
            <w:t>Centros de Control de Operaciones y Monitoreo (SOC)</w:t>
          </w:r>
          <w:bookmarkEnd w:id="237"/>
        </w:p>
        <w:p w:rsidRPr="00DF354F" w:rsidR="00DF354F" w:rsidP="00DF354F" w:rsidRDefault="00DF354F" w14:paraId="58E6849E" w14:textId="77777777">
          <w:pPr>
            <w:rPr>
              <w:lang w:val="es-ES"/>
            </w:rPr>
          </w:pPr>
        </w:p>
        <w:p w:rsidR="005E3BD6" w:rsidP="005E3BD6" w:rsidRDefault="005E3BD6" w14:paraId="3D5BA3FB" w14:textId="77777777">
          <w:pPr>
            <w:rPr>
              <w:rFonts w:ascii="Nunito Sans" w:hAnsi="Nunito Sans" w:eastAsia="Arial" w:cs="Calibri"/>
              <w:sz w:val="22"/>
              <w:szCs w:val="22"/>
            </w:rPr>
          </w:pPr>
          <w:r w:rsidRPr="00CA4194">
            <w:rPr>
              <w:rFonts w:ascii="Nunito Sans" w:hAnsi="Nunito Sans" w:eastAsia="Arial" w:cs="Calibri"/>
              <w:sz w:val="22"/>
              <w:szCs w:val="22"/>
            </w:rPr>
            <w:t>El monitoreo de infraestructura es funcional, pero la ausencia de un modelo sectorial de vigilancia y detección temprana genera capacidades desiguales entre entidades y dependencia de proveedores para la detección de ataques y anomalías de seguridad.</w:t>
          </w:r>
        </w:p>
        <w:p w:rsidR="00FE6DA8" w:rsidP="005E3BD6" w:rsidRDefault="00FE6DA8" w14:paraId="106A8C76" w14:textId="77777777">
          <w:pPr>
            <w:rPr>
              <w:rFonts w:ascii="Nunito Sans" w:hAnsi="Nunito Sans" w:eastAsia="Arial" w:cs="Calibri"/>
              <w:sz w:val="22"/>
              <w:szCs w:val="22"/>
            </w:rPr>
          </w:pPr>
        </w:p>
        <w:p w:rsidR="005E3BD6" w:rsidP="005E3BD6" w:rsidRDefault="005E3BD6" w14:paraId="7FAE98D0" w14:textId="77777777">
          <w:pPr>
            <w:ind w:left="360" w:hanging="360"/>
            <w:jc w:val="center"/>
            <w:rPr>
              <w:rFonts w:ascii="Nunito Sans" w:hAnsi="Nunito Sans" w:cs="Calibri"/>
              <w:b/>
              <w:bCs/>
              <w:sz w:val="18"/>
              <w:szCs w:val="18"/>
            </w:rPr>
          </w:pPr>
        </w:p>
        <w:p w:rsidRPr="00EB43A6" w:rsidR="005E3BD6" w:rsidP="005E3BD6" w:rsidRDefault="00F2742B" w14:paraId="68297273" w14:textId="2C6068E4">
          <w:pPr>
            <w:ind w:left="360" w:hanging="360"/>
            <w:jc w:val="center"/>
            <w:rPr>
              <w:rFonts w:ascii="Nunito Sans" w:hAnsi="Nunito Sans" w:cs="Calibri"/>
              <w:b/>
              <w:bCs/>
              <w:sz w:val="18"/>
              <w:szCs w:val="18"/>
            </w:rPr>
          </w:pPr>
          <w:bookmarkStart w:name="_Toc220664195" w:id="238"/>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24</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B698F" w:rsidR="005E3BD6">
            <w:rPr>
              <w:rFonts w:ascii="Nunito Sans" w:hAnsi="Nunito Sans" w:cs="Calibri"/>
              <w:b/>
              <w:bCs/>
              <w:sz w:val="18"/>
              <w:szCs w:val="18"/>
            </w:rPr>
            <w:t xml:space="preserve">Capacidades de Monitoreo y Seguridad TI </w:t>
          </w:r>
          <w:r w:rsidR="005E3BD6">
            <w:rPr>
              <w:rFonts w:ascii="Nunito Sans" w:hAnsi="Nunito Sans" w:cs="Calibri"/>
              <w:b/>
              <w:bCs/>
              <w:sz w:val="18"/>
              <w:szCs w:val="18"/>
            </w:rPr>
            <w:t xml:space="preserve">del </w:t>
          </w:r>
          <w:r w:rsidRPr="00FB698F" w:rsidR="005E3BD6">
            <w:rPr>
              <w:rFonts w:ascii="Nunito Sans" w:hAnsi="Nunito Sans" w:cs="Calibri"/>
              <w:b/>
              <w:bCs/>
              <w:sz w:val="18"/>
              <w:szCs w:val="18"/>
            </w:rPr>
            <w:t>Sector</w:t>
          </w:r>
          <w:bookmarkEnd w:id="238"/>
        </w:p>
        <w:tbl>
          <w:tblPr>
            <w:tblStyle w:val="Tablaconcuadrcula"/>
            <w:tblW w:w="7798"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63"/>
            <w:gridCol w:w="2977"/>
            <w:gridCol w:w="2558"/>
          </w:tblGrid>
          <w:tr w:rsidRPr="00CA4194" w:rsidR="005E3BD6" w:rsidTr="00BE1E98" w14:paraId="2233D23E" w14:textId="77777777">
            <w:trPr>
              <w:trHeight w:val="390"/>
              <w:jc w:val="center"/>
            </w:trPr>
            <w:tc>
              <w:tcPr>
                <w:tcW w:w="22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19188E9B" w14:textId="77777777">
                <w:pPr>
                  <w:spacing w:line="257" w:lineRule="auto"/>
                  <w:jc w:val="center"/>
                  <w:rPr>
                    <w:rFonts w:ascii="Nunito Sans" w:hAnsi="Nunito Sans" w:eastAsia="Arial" w:cs="Calibri"/>
                    <w:b/>
                    <w:bCs/>
                    <w:color w:val="FFFFFF" w:themeColor="background1"/>
                    <w:sz w:val="18"/>
                    <w:szCs w:val="18"/>
                    <w:lang w:val="es-ES"/>
                  </w:rPr>
                </w:pPr>
                <w:r w:rsidRPr="005A796E">
                  <w:rPr>
                    <w:rFonts w:ascii="Nunito Sans" w:hAnsi="Nunito Sans" w:eastAsia="Arial" w:cs="Calibri"/>
                    <w:b/>
                    <w:bCs/>
                    <w:color w:val="FFFFFF" w:themeColor="background1"/>
                    <w:sz w:val="18"/>
                    <w:szCs w:val="18"/>
                    <w:lang w:val="es-ES"/>
                  </w:rPr>
                  <w:t>Capacidad Evaluada</w:t>
                </w:r>
              </w:p>
            </w:tc>
            <w:tc>
              <w:tcPr>
                <w:tcW w:w="297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5E238834" w14:textId="77777777">
                <w:pPr>
                  <w:spacing w:line="257" w:lineRule="auto"/>
                  <w:jc w:val="center"/>
                  <w:rPr>
                    <w:rFonts w:ascii="Nunito Sans" w:hAnsi="Nunito Sans" w:eastAsia="Arial" w:cs="Calibri"/>
                    <w:b/>
                    <w:bCs/>
                    <w:color w:val="FFFFFF" w:themeColor="background1"/>
                    <w:sz w:val="18"/>
                    <w:szCs w:val="18"/>
                    <w:lang w:val="es-ES"/>
                  </w:rPr>
                </w:pPr>
                <w:r w:rsidRPr="005A796E">
                  <w:rPr>
                    <w:rFonts w:ascii="Nunito Sans" w:hAnsi="Nunito Sans" w:eastAsia="Arial" w:cs="Calibri"/>
                    <w:b/>
                    <w:bCs/>
                    <w:color w:val="FFFFFF" w:themeColor="background1"/>
                    <w:sz w:val="18"/>
                    <w:szCs w:val="18"/>
                    <w:lang w:val="es-ES"/>
                  </w:rPr>
                  <w:t>Presencia Sectorial</w:t>
                </w:r>
              </w:p>
            </w:tc>
            <w:tc>
              <w:tcPr>
                <w:tcW w:w="255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5A796E" w:rsidR="005E3BD6" w:rsidP="00B4771C" w:rsidRDefault="005E3BD6" w14:paraId="142D2010" w14:textId="77777777">
                <w:pPr>
                  <w:spacing w:line="257" w:lineRule="auto"/>
                  <w:jc w:val="center"/>
                  <w:rPr>
                    <w:rFonts w:ascii="Nunito Sans" w:hAnsi="Nunito Sans" w:eastAsia="Arial" w:cs="Calibri"/>
                    <w:b/>
                    <w:bCs/>
                    <w:color w:val="FFFFFF" w:themeColor="background1"/>
                    <w:sz w:val="18"/>
                    <w:szCs w:val="18"/>
                    <w:lang w:val="es-ES"/>
                  </w:rPr>
                </w:pPr>
                <w:r w:rsidRPr="005A796E">
                  <w:rPr>
                    <w:rFonts w:ascii="Nunito Sans" w:hAnsi="Nunito Sans" w:eastAsia="Arial" w:cs="Calibri"/>
                    <w:b/>
                    <w:bCs/>
                    <w:color w:val="FFFFFF" w:themeColor="background1"/>
                    <w:sz w:val="18"/>
                    <w:szCs w:val="18"/>
                    <w:lang w:val="es-ES"/>
                  </w:rPr>
                  <w:t>Observación</w:t>
                </w:r>
              </w:p>
            </w:tc>
          </w:tr>
          <w:tr w:rsidRPr="00CA4194" w:rsidR="005E3BD6" w:rsidTr="00BE1E98" w14:paraId="39937FFE" w14:textId="77777777">
            <w:trPr>
              <w:trHeight w:val="804"/>
              <w:jc w:val="center"/>
            </w:trPr>
            <w:tc>
              <w:tcPr>
                <w:tcW w:w="2263" w:type="dxa"/>
                <w:tcBorders>
                  <w:top w:val="single" w:color="FFFFFF" w:themeColor="background1" w:sz="4" w:space="0"/>
                </w:tcBorders>
                <w:vAlign w:val="center"/>
                <w:hideMark/>
              </w:tcPr>
              <w:p w:rsidRPr="00BE1E98" w:rsidR="005E3BD6" w:rsidP="00B4771C" w:rsidRDefault="005E3BD6" w14:paraId="3915527D"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Monitoreo básico de infraestructura</w:t>
                </w:r>
              </w:p>
            </w:tc>
            <w:tc>
              <w:tcPr>
                <w:tcW w:w="2977" w:type="dxa"/>
                <w:tcBorders>
                  <w:top w:val="single" w:color="FFFFFF" w:themeColor="background1" w:sz="4" w:space="0"/>
                </w:tcBorders>
                <w:vAlign w:val="center"/>
                <w:hideMark/>
              </w:tcPr>
              <w:p w:rsidRPr="00BE1E98" w:rsidR="005E3BD6" w:rsidP="00B4771C" w:rsidRDefault="005E3BD6" w14:paraId="020A6792"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Todas las entidades</w:t>
                </w:r>
              </w:p>
            </w:tc>
            <w:tc>
              <w:tcPr>
                <w:tcW w:w="2558" w:type="dxa"/>
                <w:tcBorders>
                  <w:top w:val="single" w:color="FFFFFF" w:themeColor="background1" w:sz="4" w:space="0"/>
                </w:tcBorders>
                <w:vAlign w:val="center"/>
                <w:hideMark/>
              </w:tcPr>
              <w:p w:rsidRPr="00BE1E98" w:rsidR="005E3BD6" w:rsidP="00B4771C" w:rsidRDefault="005E3BD6" w14:paraId="6433FD91"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Orientado a disponibilidad.</w:t>
                </w:r>
              </w:p>
            </w:tc>
          </w:tr>
          <w:tr w:rsidRPr="00CA4194" w:rsidR="005E3BD6" w:rsidTr="00BE1E98" w14:paraId="1AFDD4E4" w14:textId="77777777">
            <w:trPr>
              <w:trHeight w:val="390"/>
              <w:jc w:val="center"/>
            </w:trPr>
            <w:tc>
              <w:tcPr>
                <w:tcW w:w="2263" w:type="dxa"/>
                <w:vAlign w:val="center"/>
                <w:hideMark/>
              </w:tcPr>
              <w:p w:rsidRPr="00BE1E98" w:rsidR="005E3BD6" w:rsidP="00B4771C" w:rsidRDefault="005E3BD6" w14:paraId="6AA1F55C"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Registros / Logs</w:t>
                </w:r>
              </w:p>
            </w:tc>
            <w:tc>
              <w:tcPr>
                <w:tcW w:w="2977" w:type="dxa"/>
                <w:vAlign w:val="center"/>
                <w:hideMark/>
              </w:tcPr>
              <w:p w:rsidRPr="00BE1E98" w:rsidR="005E3BD6" w:rsidP="00B4771C" w:rsidRDefault="005E3BD6" w14:paraId="624EAC34"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100%</w:t>
                </w:r>
              </w:p>
            </w:tc>
            <w:tc>
              <w:tcPr>
                <w:tcW w:w="2558" w:type="dxa"/>
                <w:vAlign w:val="center"/>
                <w:hideMark/>
              </w:tcPr>
              <w:p w:rsidRPr="00BE1E98" w:rsidR="005E3BD6" w:rsidP="00B4771C" w:rsidRDefault="005E3BD6" w14:paraId="7F31224D"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Trazabilidad heterogénea.</w:t>
                </w:r>
              </w:p>
            </w:tc>
          </w:tr>
          <w:tr w:rsidRPr="00CA4194" w:rsidR="005E3BD6" w:rsidTr="00BE1E98" w14:paraId="5FAA635D" w14:textId="77777777">
            <w:trPr>
              <w:trHeight w:val="804"/>
              <w:jc w:val="center"/>
            </w:trPr>
            <w:tc>
              <w:tcPr>
                <w:tcW w:w="2263" w:type="dxa"/>
                <w:vAlign w:val="center"/>
                <w:hideMark/>
              </w:tcPr>
              <w:p w:rsidRPr="00BE1E98" w:rsidR="005E3BD6" w:rsidP="00B4771C" w:rsidRDefault="005E3BD6" w14:paraId="16DCFE7B"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SIEM o equivalentes</w:t>
                </w:r>
              </w:p>
            </w:tc>
            <w:tc>
              <w:tcPr>
                <w:tcW w:w="2977" w:type="dxa"/>
                <w:vAlign w:val="center"/>
                <w:hideMark/>
              </w:tcPr>
              <w:p w:rsidRPr="00BE1E98" w:rsidR="005E3BD6" w:rsidP="00B4771C" w:rsidRDefault="005E3BD6" w14:paraId="371B6B62"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(ANH, IPSE, UPME, SGC)</w:t>
                </w:r>
              </w:p>
            </w:tc>
            <w:tc>
              <w:tcPr>
                <w:tcW w:w="2558" w:type="dxa"/>
                <w:vAlign w:val="center"/>
                <w:hideMark/>
              </w:tcPr>
              <w:p w:rsidRPr="00BE1E98" w:rsidR="005E3BD6" w:rsidP="00B4771C" w:rsidRDefault="1F325162" w14:paraId="31F35902" w14:textId="4FE4D541">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 xml:space="preserve">Parcial o </w:t>
                </w:r>
                <w:r w:rsidRPr="00BE1E98" w:rsidR="00A35CA1">
                  <w:rPr>
                    <w:rFonts w:ascii="Nunito Sans" w:hAnsi="Nunito Sans" w:eastAsia="Arial" w:cs="Calibri"/>
                    <w:sz w:val="18"/>
                    <w:szCs w:val="18"/>
                    <w:lang w:val="es-ES"/>
                  </w:rPr>
                  <w:t>servicio u operación tercerizados</w:t>
                </w:r>
                <w:r w:rsidRPr="00BE1E98">
                  <w:rPr>
                    <w:rFonts w:ascii="Nunito Sans" w:hAnsi="Nunito Sans" w:eastAsia="Arial" w:cs="Calibri"/>
                    <w:sz w:val="18"/>
                    <w:szCs w:val="18"/>
                    <w:lang w:val="es-ES"/>
                  </w:rPr>
                  <w:t>.</w:t>
                </w:r>
              </w:p>
            </w:tc>
          </w:tr>
          <w:tr w:rsidRPr="00CA4194" w:rsidR="005E3BD6" w:rsidTr="00BE1E98" w14:paraId="47EACAE4" w14:textId="77777777">
            <w:trPr>
              <w:trHeight w:val="804"/>
              <w:jc w:val="center"/>
            </w:trPr>
            <w:tc>
              <w:tcPr>
                <w:tcW w:w="2263" w:type="dxa"/>
                <w:vAlign w:val="center"/>
                <w:hideMark/>
              </w:tcPr>
              <w:p w:rsidRPr="00BE1E98" w:rsidR="005E3BD6" w:rsidP="00B4771C" w:rsidRDefault="005E3BD6" w14:paraId="26B2C51F"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Inteligencia de amenazas</w:t>
                </w:r>
              </w:p>
            </w:tc>
            <w:tc>
              <w:tcPr>
                <w:tcW w:w="2977" w:type="dxa"/>
                <w:vAlign w:val="center"/>
                <w:hideMark/>
              </w:tcPr>
              <w:p w:rsidRPr="00BE1E98" w:rsidR="005E3BD6" w:rsidP="00B4771C" w:rsidRDefault="005E3BD6" w14:paraId="3341040A"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No sectorial</w:t>
                </w:r>
              </w:p>
            </w:tc>
            <w:tc>
              <w:tcPr>
                <w:tcW w:w="2558" w:type="dxa"/>
                <w:vAlign w:val="center"/>
                <w:hideMark/>
              </w:tcPr>
              <w:p w:rsidRPr="00BE1E98" w:rsidR="005E3BD6" w:rsidP="00B4771C" w:rsidRDefault="005E3BD6" w14:paraId="6044BBF0"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No existe correlación interinstitucional.</w:t>
                </w:r>
              </w:p>
            </w:tc>
          </w:tr>
          <w:tr w:rsidRPr="00CA4194" w:rsidR="005E3BD6" w:rsidTr="00BE1E98" w14:paraId="37B7E1FE" w14:textId="77777777">
            <w:trPr>
              <w:trHeight w:val="390"/>
              <w:jc w:val="center"/>
            </w:trPr>
            <w:tc>
              <w:tcPr>
                <w:tcW w:w="2263" w:type="dxa"/>
                <w:vAlign w:val="center"/>
                <w:hideMark/>
              </w:tcPr>
              <w:p w:rsidRPr="00BE1E98" w:rsidR="005E3BD6" w:rsidP="00B4771C" w:rsidRDefault="005E3BD6" w14:paraId="15766B77"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SOC sectorial</w:t>
                </w:r>
              </w:p>
            </w:tc>
            <w:tc>
              <w:tcPr>
                <w:tcW w:w="2977" w:type="dxa"/>
                <w:vAlign w:val="center"/>
                <w:hideMark/>
              </w:tcPr>
              <w:p w:rsidRPr="00BE1E98" w:rsidR="6CE98859" w:rsidP="4E60D266" w:rsidRDefault="6CE98859" w14:paraId="42977F69" w14:textId="0A69959A">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Soc propio (ANM)</w:t>
                </w:r>
              </w:p>
              <w:p w:rsidRPr="00BE1E98" w:rsidR="005E3BD6" w:rsidP="00B4771C" w:rsidRDefault="1F325162" w14:paraId="159748BD" w14:textId="21499BAB">
                <w:pPr>
                  <w:spacing w:line="257" w:lineRule="auto"/>
                  <w:jc w:val="center"/>
                  <w:rPr>
                    <w:rFonts w:ascii="Nunito Sans" w:hAnsi="Nunito Sans"/>
                  </w:rPr>
                </w:pPr>
                <w:r w:rsidRPr="00BE1E98">
                  <w:rPr>
                    <w:rFonts w:ascii="Nunito Sans" w:hAnsi="Nunito Sans" w:eastAsia="Arial" w:cs="Calibri"/>
                    <w:sz w:val="18"/>
                    <w:szCs w:val="18"/>
                    <w:lang w:val="es-ES"/>
                  </w:rPr>
                  <w:t>No existe</w:t>
                </w:r>
                <w:r w:rsidRPr="00BE1E98" w:rsidR="2435B610">
                  <w:rPr>
                    <w:rFonts w:ascii="Nunito Sans" w:hAnsi="Nunito Sans" w:eastAsia="Arial" w:cs="Calibri"/>
                    <w:sz w:val="18"/>
                    <w:szCs w:val="18"/>
                    <w:lang w:val="es-ES"/>
                  </w:rPr>
                  <w:t xml:space="preserve"> para el sector</w:t>
                </w:r>
              </w:p>
              <w:p w:rsidRPr="00BE1E98" w:rsidR="005E3BD6" w:rsidP="4E60D266" w:rsidRDefault="1185D860" w14:paraId="7B057783" w14:textId="3B502B26">
                <w:pPr>
                  <w:spacing w:line="257" w:lineRule="auto"/>
                  <w:jc w:val="center"/>
                  <w:rPr>
                    <w:rFonts w:ascii="Nunito Sans" w:hAnsi="Nunito Sans" w:eastAsia="Nunito Sans" w:cs="Nunito Sans"/>
                    <w:sz w:val="18"/>
                    <w:szCs w:val="18"/>
                    <w:lang w:val="es-ES"/>
                  </w:rPr>
                </w:pPr>
                <w:r w:rsidRPr="00BE1E98">
                  <w:rPr>
                    <w:rFonts w:ascii="Nunito Sans" w:hAnsi="Nunito Sans" w:eastAsia="Aptos Narrow" w:cs="Aptos Narrow"/>
                    <w:color w:val="000000" w:themeColor="text1"/>
                    <w:sz w:val="18"/>
                    <w:szCs w:val="18"/>
                    <w:lang w:val="es-ES"/>
                  </w:rPr>
                  <w:t>ANH servicio tercerizado de NOC/SOC 24/7</w:t>
                </w:r>
              </w:p>
            </w:tc>
            <w:tc>
              <w:tcPr>
                <w:tcW w:w="2558" w:type="dxa"/>
                <w:vAlign w:val="center"/>
                <w:hideMark/>
              </w:tcPr>
              <w:p w:rsidRPr="00BE1E98" w:rsidR="005E3BD6" w:rsidP="00B4771C" w:rsidRDefault="005E3BD6" w14:paraId="1BC6E124"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Vacío estratégico.</w:t>
                </w:r>
              </w:p>
            </w:tc>
          </w:tr>
          <w:tr w:rsidRPr="00CA4194" w:rsidR="005E3BD6" w:rsidTr="00BE1E98" w14:paraId="296170E2" w14:textId="77777777">
            <w:trPr>
              <w:trHeight w:val="88"/>
              <w:jc w:val="center"/>
            </w:trPr>
            <w:tc>
              <w:tcPr>
                <w:tcW w:w="2263" w:type="dxa"/>
                <w:vAlign w:val="center"/>
                <w:hideMark/>
              </w:tcPr>
              <w:p w:rsidRPr="00BE1E98" w:rsidR="005E3BD6" w:rsidP="00B4771C" w:rsidRDefault="005E3BD6" w14:paraId="2465A4CB"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Monitoreo 24/7</w:t>
                </w:r>
              </w:p>
            </w:tc>
            <w:tc>
              <w:tcPr>
                <w:tcW w:w="2977" w:type="dxa"/>
                <w:vAlign w:val="center"/>
                <w:hideMark/>
              </w:tcPr>
              <w:p w:rsidRPr="00BE1E98" w:rsidR="005E3BD6" w:rsidP="00B4771C" w:rsidRDefault="1F325162" w14:paraId="6A2ED2E7" w14:textId="4BD8EF8B">
                <w:pPr>
                  <w:spacing w:line="257" w:lineRule="auto"/>
                  <w:jc w:val="center"/>
                  <w:rPr>
                    <w:rFonts w:ascii="Nunito Sans" w:hAnsi="Nunito Sans"/>
                  </w:rPr>
                </w:pPr>
                <w:r w:rsidRPr="00BE1E98">
                  <w:rPr>
                    <w:rFonts w:ascii="Nunito Sans" w:hAnsi="Nunito Sans" w:eastAsia="Arial" w:cs="Calibri"/>
                    <w:sz w:val="18"/>
                    <w:szCs w:val="18"/>
                    <w:lang w:val="es-ES"/>
                  </w:rPr>
                  <w:t>Limitado</w:t>
                </w:r>
              </w:p>
              <w:p w:rsidRPr="00BE1E98" w:rsidR="005E3BD6" w:rsidP="4E60D266" w:rsidRDefault="190C6CCD" w14:paraId="6A6FB937" w14:textId="56901B9B">
                <w:pPr>
                  <w:spacing w:line="257" w:lineRule="auto"/>
                  <w:jc w:val="center"/>
                  <w:rPr>
                    <w:rFonts w:ascii="Nunito Sans" w:hAnsi="Nunito Sans" w:eastAsia="Nunito Sans" w:cs="Nunito Sans"/>
                    <w:sz w:val="18"/>
                    <w:szCs w:val="18"/>
                    <w:lang w:val="es-ES"/>
                  </w:rPr>
                </w:pPr>
                <w:r w:rsidRPr="00BE1E98">
                  <w:rPr>
                    <w:rFonts w:ascii="Nunito Sans" w:hAnsi="Nunito Sans" w:eastAsia="Aptos Narrow" w:cs="Aptos Narrow"/>
                    <w:color w:val="000000" w:themeColor="text1"/>
                    <w:sz w:val="18"/>
                    <w:szCs w:val="18"/>
                    <w:lang w:val="es-ES"/>
                  </w:rPr>
                  <w:t>ANH servicio tercerizado de NOC</w:t>
                </w:r>
              </w:p>
            </w:tc>
            <w:tc>
              <w:tcPr>
                <w:tcW w:w="2558" w:type="dxa"/>
                <w:vAlign w:val="center"/>
                <w:hideMark/>
              </w:tcPr>
              <w:p w:rsidRPr="00BE1E98" w:rsidR="005E3BD6" w:rsidP="00B4771C" w:rsidRDefault="005E3BD6" w14:paraId="5B215908" w14:textId="77777777">
                <w:pPr>
                  <w:spacing w:line="257" w:lineRule="auto"/>
                  <w:jc w:val="center"/>
                  <w:rPr>
                    <w:rFonts w:ascii="Nunito Sans" w:hAnsi="Nunito Sans" w:eastAsia="Arial" w:cs="Calibri"/>
                    <w:sz w:val="18"/>
                    <w:szCs w:val="18"/>
                    <w:lang w:val="es-ES"/>
                  </w:rPr>
                </w:pPr>
                <w:r w:rsidRPr="00BE1E98">
                  <w:rPr>
                    <w:rFonts w:ascii="Nunito Sans" w:hAnsi="Nunito Sans" w:eastAsia="Arial" w:cs="Calibri"/>
                    <w:sz w:val="18"/>
                    <w:szCs w:val="18"/>
                    <w:lang w:val="es-ES"/>
                  </w:rPr>
                  <w:t>Dependencia de proveedores.</w:t>
                </w:r>
              </w:p>
            </w:tc>
          </w:tr>
        </w:tbl>
        <w:p w:rsidRPr="00EF5DE4" w:rsidR="005E3BD6" w:rsidP="005E3BD6" w:rsidRDefault="005E3BD6" w14:paraId="1A3453F0"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6484DCC0" w14:textId="77777777">
          <w:pPr>
            <w:spacing w:line="257" w:lineRule="auto"/>
            <w:jc w:val="both"/>
            <w:rPr>
              <w:rFonts w:ascii="Nunito Sans" w:hAnsi="Nunito Sans" w:eastAsia="Arial" w:cs="Calibri"/>
              <w:sz w:val="22"/>
              <w:szCs w:val="22"/>
              <w:lang w:val="es-ES"/>
            </w:rPr>
          </w:pPr>
        </w:p>
        <w:p w:rsidR="005E3BD6" w:rsidP="005E3BD6" w:rsidRDefault="005E3BD6" w14:paraId="5815A54A" w14:textId="77777777">
          <w:pPr>
            <w:jc w:val="both"/>
            <w:rPr>
              <w:rFonts w:ascii="Nunito Sans" w:hAnsi="Nunito Sans" w:eastAsia="Arial" w:cs="Calibri"/>
              <w:sz w:val="22"/>
              <w:szCs w:val="22"/>
            </w:rPr>
          </w:pPr>
          <w:r w:rsidRPr="00CA4194">
            <w:rPr>
              <w:rFonts w:ascii="Nunito Sans" w:hAnsi="Nunito Sans" w:eastAsia="Arial" w:cs="Calibri"/>
              <w:sz w:val="22"/>
              <w:szCs w:val="22"/>
            </w:rPr>
            <w:t>La operación sectorial no cuenta con inteligencia unificada, ni capacidades compartidas de análisis y reacción, lo que limita la protección coordinada frente a amenazas que pueden afectar simultáneamente a varias entidades del sector.</w:t>
          </w:r>
        </w:p>
        <w:p w:rsidRPr="00CA4194" w:rsidR="005E3BD6" w:rsidP="005E3BD6" w:rsidRDefault="005E3BD6" w14:paraId="5172E52B" w14:textId="77777777">
          <w:pPr>
            <w:jc w:val="both"/>
            <w:rPr>
              <w:rFonts w:ascii="Nunito Sans" w:hAnsi="Nunito Sans" w:eastAsia="Arial" w:cs="Calibri"/>
              <w:sz w:val="22"/>
              <w:szCs w:val="22"/>
            </w:rPr>
          </w:pPr>
        </w:p>
        <w:p w:rsidRPr="008D6A79" w:rsidR="005E3BD6" w:rsidRDefault="005E3BD6" w14:paraId="3FCE81EE" w14:textId="0A3414EF">
          <w:pPr>
            <w:pStyle w:val="Ttulo3"/>
            <w:numPr>
              <w:ilvl w:val="2"/>
              <w:numId w:val="35"/>
            </w:numPr>
            <w:rPr>
              <w:rFonts w:eastAsia="Arial" w:cs="Calibri"/>
              <w:b w:val="0"/>
              <w:bCs w:val="0"/>
            </w:rPr>
          </w:pPr>
          <w:bookmarkStart w:name="_Toc234234483" w:id="239"/>
          <w:r w:rsidRPr="008D6A79">
            <w:rPr>
              <w:rFonts w:eastAsia="Arial" w:cs="Calibri"/>
            </w:rPr>
            <w:t>Planes de Seguridad, Riesgos, BIA, BCP y DRP</w:t>
          </w:r>
          <w:bookmarkEnd w:id="239"/>
        </w:p>
        <w:p w:rsidRPr="000735A6" w:rsidR="005E3BD6" w:rsidP="000735A6" w:rsidRDefault="005E3BD6" w14:paraId="7CF5958A" w14:textId="42B4EF1A">
          <w:pPr>
            <w:jc w:val="both"/>
            <w:rPr>
              <w:rFonts w:ascii="Nunito Sans" w:hAnsi="Nunito Sans" w:eastAsia="Arial" w:cs="Calibri"/>
              <w:sz w:val="22"/>
              <w:szCs w:val="22"/>
            </w:rPr>
          </w:pPr>
          <w:r w:rsidRPr="00CA4194">
            <w:rPr>
              <w:rFonts w:ascii="Nunito Sans" w:hAnsi="Nunito Sans" w:eastAsia="Arial" w:cs="Calibri"/>
              <w:sz w:val="22"/>
              <w:szCs w:val="22"/>
            </w:rPr>
            <w:t>Se evidencian políticas, análisis de riesgos y planes de continuidad documentados; no obstante, la ejecución, pruebas y madurez operativa varía entre entidades, con diferentes metodologías, criterios técnicos, estándares de RTO/RPO y exigencias a proveedores.</w:t>
          </w:r>
        </w:p>
        <w:p w:rsidR="009429F4" w:rsidP="005E3BD6" w:rsidRDefault="009429F4" w14:paraId="57C1FC6B" w14:textId="77777777">
          <w:pPr>
            <w:spacing w:line="257" w:lineRule="auto"/>
            <w:jc w:val="both"/>
            <w:rPr>
              <w:rFonts w:ascii="Nunito Sans" w:hAnsi="Nunito Sans" w:eastAsia="Arial" w:cs="Calibri"/>
              <w:sz w:val="22"/>
              <w:szCs w:val="22"/>
              <w:lang w:val="es-ES"/>
            </w:rPr>
          </w:pPr>
        </w:p>
        <w:p w:rsidRPr="00EB43A6" w:rsidR="005E3BD6" w:rsidP="005E3BD6" w:rsidRDefault="00F2742B" w14:paraId="7476B8DB" w14:textId="62703275">
          <w:pPr>
            <w:ind w:left="360" w:hanging="360"/>
            <w:jc w:val="center"/>
            <w:rPr>
              <w:rFonts w:ascii="Nunito Sans" w:hAnsi="Nunito Sans" w:cs="Calibri"/>
              <w:b/>
              <w:bCs/>
              <w:sz w:val="18"/>
              <w:szCs w:val="18"/>
            </w:rPr>
          </w:pPr>
          <w:bookmarkStart w:name="_Toc220664196" w:id="240"/>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25</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B698F" w:rsidR="005E3BD6">
            <w:rPr>
              <w:rFonts w:ascii="Nunito Sans" w:hAnsi="Nunito Sans" w:cs="Calibri"/>
              <w:b/>
              <w:bCs/>
              <w:sz w:val="18"/>
              <w:szCs w:val="18"/>
            </w:rPr>
            <w:t>Estado Sectorial de Capacidades de Seguridad de la Información</w:t>
          </w:r>
          <w:bookmarkEnd w:id="240"/>
          <w:r w:rsidRPr="00FB698F" w:rsidR="005E3BD6">
            <w:rPr>
              <w:rFonts w:ascii="Nunito Sans" w:hAnsi="Nunito Sans" w:cs="Calibri"/>
              <w:b/>
              <w:bCs/>
              <w:sz w:val="18"/>
              <w:szCs w:val="18"/>
            </w:rPr>
            <w:t xml:space="preserve"> </w:t>
          </w:r>
        </w:p>
        <w:tbl>
          <w:tblPr>
            <w:tblStyle w:val="Tablaconcuadrcula"/>
            <w:tblW w:w="7762"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3163"/>
            <w:gridCol w:w="1801"/>
            <w:gridCol w:w="2798"/>
          </w:tblGrid>
          <w:tr w:rsidRPr="00CA4194" w:rsidR="005E3BD6" w:rsidTr="00B4771C" w14:paraId="6427CF56" w14:textId="77777777">
            <w:trPr>
              <w:trHeight w:val="407"/>
              <w:jc w:val="center"/>
            </w:trPr>
            <w:tc>
              <w:tcPr>
                <w:tcW w:w="0" w:type="auto"/>
                <w:shd w:val="clear" w:color="auto" w:fill="E1AF3B"/>
                <w:vAlign w:val="center"/>
                <w:hideMark/>
              </w:tcPr>
              <w:p w:rsidRPr="00625395" w:rsidR="005E3BD6" w:rsidP="009429F4" w:rsidRDefault="004C4135" w14:paraId="22D89E25" w14:textId="21AF2F13">
                <w:pPr>
                  <w:jc w:val="center"/>
                  <w:rPr>
                    <w:rFonts w:ascii="Nunito Sans" w:hAnsi="Nunito Sans" w:eastAsia="Arial" w:cs="Calibri"/>
                    <w:b/>
                    <w:bCs/>
                    <w:color w:val="FFFFFF" w:themeColor="background1"/>
                    <w:sz w:val="18"/>
                    <w:szCs w:val="18"/>
                  </w:rPr>
                </w:pPr>
                <w:r w:rsidRPr="00625395">
                  <w:rPr>
                    <w:rFonts w:ascii="Nunito Sans" w:hAnsi="Nunito Sans" w:eastAsia="Arial" w:cs="Calibri"/>
                    <w:b/>
                    <w:bCs/>
                    <w:color w:val="FFFFFF" w:themeColor="background1"/>
                    <w:sz w:val="18"/>
                    <w:szCs w:val="18"/>
                  </w:rPr>
                  <w:t>Elemento</w:t>
                </w:r>
                <w:r w:rsidR="009429F4">
                  <w:rPr>
                    <w:rFonts w:ascii="Nunito Sans" w:hAnsi="Nunito Sans" w:eastAsia="Arial" w:cs="Calibri"/>
                    <w:b/>
                    <w:bCs/>
                    <w:color w:val="FFFFFF" w:themeColor="background1"/>
                    <w:sz w:val="18"/>
                    <w:szCs w:val="18"/>
                  </w:rPr>
                  <w:t xml:space="preserve"> </w:t>
                </w:r>
                <w:r w:rsidRPr="00625395">
                  <w:rPr>
                    <w:rFonts w:ascii="Nunito Sans" w:hAnsi="Nunito Sans" w:eastAsia="Arial" w:cs="Calibri"/>
                    <w:b/>
                    <w:bCs/>
                    <w:color w:val="FFFFFF" w:themeColor="background1"/>
                    <w:sz w:val="18"/>
                    <w:szCs w:val="18"/>
                  </w:rPr>
                  <w:t>Evaluado</w:t>
                </w:r>
              </w:p>
            </w:tc>
            <w:tc>
              <w:tcPr>
                <w:tcW w:w="0" w:type="auto"/>
                <w:shd w:val="clear" w:color="auto" w:fill="E1AF3B"/>
                <w:vAlign w:val="center"/>
                <w:hideMark/>
              </w:tcPr>
              <w:p w:rsidRPr="00625395" w:rsidR="005E3BD6" w:rsidP="00B4771C" w:rsidRDefault="004C4135" w14:paraId="6B37C535" w14:textId="2C0E28A5">
                <w:pPr>
                  <w:jc w:val="center"/>
                  <w:rPr>
                    <w:rFonts w:ascii="Nunito Sans" w:hAnsi="Nunito Sans" w:eastAsia="Arial" w:cs="Calibri"/>
                    <w:b/>
                    <w:bCs/>
                    <w:color w:val="FFFFFF" w:themeColor="background1"/>
                    <w:sz w:val="18"/>
                    <w:szCs w:val="18"/>
                  </w:rPr>
                </w:pPr>
                <w:r w:rsidRPr="00625395">
                  <w:rPr>
                    <w:rFonts w:ascii="Nunito Sans" w:hAnsi="Nunito Sans" w:eastAsia="Arial" w:cs="Calibri"/>
                    <w:b/>
                    <w:bCs/>
                    <w:color w:val="FFFFFF" w:themeColor="background1"/>
                    <w:sz w:val="18"/>
                    <w:szCs w:val="18"/>
                  </w:rPr>
                  <w:t xml:space="preserve">Estado </w:t>
                </w:r>
                <w:r w:rsidR="009429F4">
                  <w:rPr>
                    <w:rFonts w:ascii="Nunito Sans" w:hAnsi="Nunito Sans" w:eastAsia="Arial" w:cs="Calibri"/>
                    <w:b/>
                    <w:bCs/>
                    <w:color w:val="FFFFFF" w:themeColor="background1"/>
                    <w:sz w:val="18"/>
                    <w:szCs w:val="18"/>
                  </w:rPr>
                  <w:t>S</w:t>
                </w:r>
                <w:r w:rsidRPr="00625395">
                  <w:rPr>
                    <w:rFonts w:ascii="Nunito Sans" w:hAnsi="Nunito Sans" w:eastAsia="Arial" w:cs="Calibri"/>
                    <w:b/>
                    <w:bCs/>
                    <w:color w:val="FFFFFF" w:themeColor="background1"/>
                    <w:sz w:val="18"/>
                    <w:szCs w:val="18"/>
                  </w:rPr>
                  <w:t>ectorial</w:t>
                </w:r>
              </w:p>
            </w:tc>
            <w:tc>
              <w:tcPr>
                <w:tcW w:w="2798" w:type="dxa"/>
                <w:shd w:val="clear" w:color="auto" w:fill="E1AF3B"/>
                <w:vAlign w:val="center"/>
                <w:hideMark/>
              </w:tcPr>
              <w:p w:rsidRPr="00625395" w:rsidR="005E3BD6" w:rsidP="00B4771C" w:rsidRDefault="004C4135" w14:paraId="5595854D" w14:textId="4973145D">
                <w:pPr>
                  <w:jc w:val="center"/>
                  <w:rPr>
                    <w:rFonts w:ascii="Nunito Sans" w:hAnsi="Nunito Sans" w:eastAsia="Arial" w:cs="Calibri"/>
                    <w:b/>
                    <w:bCs/>
                    <w:color w:val="FFFFFF" w:themeColor="background1"/>
                    <w:sz w:val="18"/>
                    <w:szCs w:val="18"/>
                  </w:rPr>
                </w:pPr>
                <w:r w:rsidRPr="00625395">
                  <w:rPr>
                    <w:rFonts w:ascii="Nunito Sans" w:hAnsi="Nunito Sans" w:eastAsia="Arial" w:cs="Calibri"/>
                    <w:b/>
                    <w:bCs/>
                    <w:color w:val="FFFFFF" w:themeColor="background1"/>
                    <w:sz w:val="18"/>
                    <w:szCs w:val="18"/>
                  </w:rPr>
                  <w:t>Observación</w:t>
                </w:r>
              </w:p>
            </w:tc>
          </w:tr>
          <w:tr w:rsidRPr="00CA4194" w:rsidR="005E3BD6" w:rsidTr="00B4771C" w14:paraId="0AE86D23" w14:textId="77777777">
            <w:trPr>
              <w:trHeight w:val="407"/>
              <w:jc w:val="center"/>
            </w:trPr>
            <w:tc>
              <w:tcPr>
                <w:tcW w:w="0" w:type="auto"/>
                <w:vAlign w:val="center"/>
                <w:hideMark/>
              </w:tcPr>
              <w:p w:rsidRPr="00625395" w:rsidR="005E3BD6" w:rsidP="00B4771C" w:rsidRDefault="005E3BD6" w14:paraId="6649F373" w14:textId="77777777">
                <w:pPr>
                  <w:jc w:val="center"/>
                  <w:rPr>
                    <w:rFonts w:ascii="Nunito Sans" w:hAnsi="Nunito Sans" w:eastAsia="Arial" w:cs="Calibri"/>
                    <w:sz w:val="18"/>
                    <w:szCs w:val="18"/>
                  </w:rPr>
                </w:pPr>
                <w:r w:rsidRPr="00625395">
                  <w:rPr>
                    <w:rFonts w:ascii="Nunito Sans" w:hAnsi="Nunito Sans" w:eastAsia="Arial" w:cs="Calibri"/>
                    <w:sz w:val="18"/>
                    <w:szCs w:val="18"/>
                  </w:rPr>
                  <w:t>Políticas de Seguridad</w:t>
                </w:r>
              </w:p>
            </w:tc>
            <w:tc>
              <w:tcPr>
                <w:tcW w:w="0" w:type="auto"/>
                <w:vAlign w:val="center"/>
                <w:hideMark/>
              </w:tcPr>
              <w:p w:rsidRPr="00625395" w:rsidR="005E3BD6" w:rsidP="00B4771C" w:rsidRDefault="005E3BD6" w14:paraId="3E0D817B" w14:textId="77777777">
                <w:pPr>
                  <w:jc w:val="center"/>
                  <w:rPr>
                    <w:rFonts w:ascii="Nunito Sans" w:hAnsi="Nunito Sans" w:eastAsia="Arial" w:cs="Calibri"/>
                    <w:sz w:val="18"/>
                    <w:szCs w:val="18"/>
                  </w:rPr>
                </w:pPr>
                <w:r w:rsidRPr="00625395">
                  <w:rPr>
                    <w:rFonts w:ascii="Nunito Sans" w:hAnsi="Nunito Sans" w:eastAsia="Arial" w:cs="Calibri"/>
                    <w:sz w:val="18"/>
                    <w:szCs w:val="18"/>
                  </w:rPr>
                  <w:t>100%</w:t>
                </w:r>
              </w:p>
            </w:tc>
            <w:tc>
              <w:tcPr>
                <w:tcW w:w="2798" w:type="dxa"/>
                <w:vAlign w:val="center"/>
                <w:hideMark/>
              </w:tcPr>
              <w:p w:rsidRPr="00625395" w:rsidR="005E3BD6" w:rsidP="00B4771C" w:rsidRDefault="005E3BD6" w14:paraId="272D2B72" w14:textId="77777777">
                <w:pPr>
                  <w:jc w:val="center"/>
                  <w:rPr>
                    <w:rFonts w:ascii="Nunito Sans" w:hAnsi="Nunito Sans" w:eastAsia="Arial" w:cs="Calibri"/>
                    <w:sz w:val="18"/>
                    <w:szCs w:val="18"/>
                  </w:rPr>
                </w:pPr>
                <w:r w:rsidRPr="00625395">
                  <w:rPr>
                    <w:rFonts w:ascii="Nunito Sans" w:hAnsi="Nunito Sans" w:eastAsia="Arial" w:cs="Calibri"/>
                    <w:sz w:val="18"/>
                    <w:szCs w:val="18"/>
                  </w:rPr>
                  <w:t>Madurez documental.</w:t>
                </w:r>
              </w:p>
            </w:tc>
          </w:tr>
          <w:tr w:rsidRPr="00CA4194" w:rsidR="005E3BD6" w:rsidTr="00B4771C" w14:paraId="2858BFAB" w14:textId="77777777">
            <w:trPr>
              <w:trHeight w:val="407"/>
              <w:jc w:val="center"/>
            </w:trPr>
            <w:tc>
              <w:tcPr>
                <w:tcW w:w="0" w:type="auto"/>
                <w:vAlign w:val="center"/>
                <w:hideMark/>
              </w:tcPr>
              <w:p w:rsidRPr="00625395" w:rsidR="005E3BD6" w:rsidP="00B4771C" w:rsidRDefault="005E3BD6" w14:paraId="11AF9E73" w14:textId="77777777">
                <w:pPr>
                  <w:jc w:val="center"/>
                  <w:rPr>
                    <w:rFonts w:ascii="Nunito Sans" w:hAnsi="Nunito Sans" w:eastAsia="Arial" w:cs="Calibri"/>
                    <w:sz w:val="18"/>
                    <w:szCs w:val="18"/>
                  </w:rPr>
                </w:pPr>
                <w:r w:rsidRPr="00625395">
                  <w:rPr>
                    <w:rFonts w:ascii="Nunito Sans" w:hAnsi="Nunito Sans" w:eastAsia="Arial" w:cs="Calibri"/>
                    <w:sz w:val="18"/>
                    <w:szCs w:val="18"/>
                  </w:rPr>
                  <w:t>Matriz de Riesgos</w:t>
                </w:r>
              </w:p>
            </w:tc>
            <w:tc>
              <w:tcPr>
                <w:tcW w:w="0" w:type="auto"/>
                <w:vAlign w:val="center"/>
                <w:hideMark/>
              </w:tcPr>
              <w:p w:rsidRPr="00625395" w:rsidR="005E3BD6" w:rsidP="00B4771C" w:rsidRDefault="005E3BD6" w14:paraId="195E673D" w14:textId="77777777">
                <w:pPr>
                  <w:jc w:val="center"/>
                  <w:rPr>
                    <w:rFonts w:ascii="Nunito Sans" w:hAnsi="Nunito Sans" w:eastAsia="Arial" w:cs="Calibri"/>
                    <w:sz w:val="18"/>
                    <w:szCs w:val="18"/>
                  </w:rPr>
                </w:pPr>
                <w:r w:rsidRPr="00625395">
                  <w:rPr>
                    <w:rFonts w:ascii="Nunito Sans" w:hAnsi="Nunito Sans" w:eastAsia="Arial" w:cs="Calibri"/>
                    <w:sz w:val="18"/>
                    <w:szCs w:val="18"/>
                  </w:rPr>
                  <w:t>100%</w:t>
                </w:r>
              </w:p>
            </w:tc>
            <w:tc>
              <w:tcPr>
                <w:tcW w:w="2798" w:type="dxa"/>
                <w:vAlign w:val="center"/>
                <w:hideMark/>
              </w:tcPr>
              <w:p w:rsidRPr="00625395" w:rsidR="005E3BD6" w:rsidP="00B4771C" w:rsidRDefault="005E3BD6" w14:paraId="55AB513F" w14:textId="77777777">
                <w:pPr>
                  <w:jc w:val="center"/>
                  <w:rPr>
                    <w:rFonts w:ascii="Nunito Sans" w:hAnsi="Nunito Sans" w:eastAsia="Arial" w:cs="Calibri"/>
                    <w:sz w:val="18"/>
                    <w:szCs w:val="18"/>
                  </w:rPr>
                </w:pPr>
                <w:r w:rsidRPr="00625395">
                  <w:rPr>
                    <w:rFonts w:ascii="Nunito Sans" w:hAnsi="Nunito Sans" w:eastAsia="Arial" w:cs="Calibri"/>
                    <w:sz w:val="18"/>
                    <w:szCs w:val="18"/>
                  </w:rPr>
                  <w:t>Metodologías diferentes.</w:t>
                </w:r>
              </w:p>
            </w:tc>
          </w:tr>
          <w:tr w:rsidRPr="00CA4194" w:rsidR="005E3BD6" w:rsidTr="00B4771C" w14:paraId="458A3089" w14:textId="77777777">
            <w:trPr>
              <w:trHeight w:val="407"/>
              <w:jc w:val="center"/>
            </w:trPr>
            <w:tc>
              <w:tcPr>
                <w:tcW w:w="0" w:type="auto"/>
                <w:vAlign w:val="center"/>
                <w:hideMark/>
              </w:tcPr>
              <w:p w:rsidRPr="00625395" w:rsidR="005E3BD6" w:rsidP="00B4771C" w:rsidRDefault="005E3BD6" w14:paraId="6FBDDE88" w14:textId="77777777">
                <w:pPr>
                  <w:jc w:val="center"/>
                  <w:rPr>
                    <w:rFonts w:ascii="Nunito Sans" w:hAnsi="Nunito Sans" w:eastAsia="Arial" w:cs="Calibri"/>
                    <w:sz w:val="18"/>
                    <w:szCs w:val="18"/>
                  </w:rPr>
                </w:pPr>
                <w:r w:rsidRPr="00625395">
                  <w:rPr>
                    <w:rFonts w:ascii="Nunito Sans" w:hAnsi="Nunito Sans" w:eastAsia="Arial" w:cs="Calibri"/>
                    <w:sz w:val="18"/>
                    <w:szCs w:val="18"/>
                  </w:rPr>
                  <w:t>BIA</w:t>
                </w:r>
              </w:p>
            </w:tc>
            <w:tc>
              <w:tcPr>
                <w:tcW w:w="0" w:type="auto"/>
                <w:vAlign w:val="center"/>
                <w:hideMark/>
              </w:tcPr>
              <w:p w:rsidRPr="00625395" w:rsidR="005E3BD6" w:rsidP="00B4771C" w:rsidRDefault="005E3BD6" w14:paraId="620EF852" w14:textId="77777777">
                <w:pPr>
                  <w:jc w:val="center"/>
                  <w:rPr>
                    <w:rFonts w:ascii="Nunito Sans" w:hAnsi="Nunito Sans" w:eastAsia="Arial" w:cs="Calibri"/>
                    <w:sz w:val="18"/>
                    <w:szCs w:val="18"/>
                  </w:rPr>
                </w:pPr>
                <w:r w:rsidRPr="00625395">
                  <w:rPr>
                    <w:rFonts w:ascii="Nunito Sans" w:hAnsi="Nunito Sans" w:eastAsia="Arial" w:cs="Calibri"/>
                    <w:sz w:val="18"/>
                    <w:szCs w:val="18"/>
                  </w:rPr>
                  <w:t>Parcial</w:t>
                </w:r>
              </w:p>
            </w:tc>
            <w:tc>
              <w:tcPr>
                <w:tcW w:w="2798" w:type="dxa"/>
                <w:vAlign w:val="center"/>
                <w:hideMark/>
              </w:tcPr>
              <w:p w:rsidRPr="00625395" w:rsidR="005E3BD6" w:rsidP="00B4771C" w:rsidRDefault="005E3BD6" w14:paraId="735957CC" w14:textId="77777777">
                <w:pPr>
                  <w:jc w:val="center"/>
                  <w:rPr>
                    <w:rFonts w:ascii="Nunito Sans" w:hAnsi="Nunito Sans" w:eastAsia="Arial" w:cs="Calibri"/>
                    <w:sz w:val="18"/>
                    <w:szCs w:val="18"/>
                  </w:rPr>
                </w:pPr>
                <w:r w:rsidRPr="00625395">
                  <w:rPr>
                    <w:rFonts w:ascii="Nunito Sans" w:hAnsi="Nunito Sans" w:eastAsia="Arial" w:cs="Calibri"/>
                    <w:sz w:val="18"/>
                    <w:szCs w:val="18"/>
                  </w:rPr>
                  <w:t>Sin priorización sectorial.</w:t>
                </w:r>
              </w:p>
            </w:tc>
          </w:tr>
          <w:tr w:rsidRPr="00CA4194" w:rsidR="005E3BD6" w:rsidTr="00B4771C" w14:paraId="73FB4A48" w14:textId="77777777">
            <w:trPr>
              <w:trHeight w:val="407"/>
              <w:jc w:val="center"/>
            </w:trPr>
            <w:tc>
              <w:tcPr>
                <w:tcW w:w="0" w:type="auto"/>
                <w:vAlign w:val="center"/>
                <w:hideMark/>
              </w:tcPr>
              <w:p w:rsidRPr="00625395" w:rsidR="005E3BD6" w:rsidP="00B4771C" w:rsidRDefault="005E3BD6" w14:paraId="6174C252" w14:textId="77777777">
                <w:pPr>
                  <w:jc w:val="center"/>
                  <w:rPr>
                    <w:rFonts w:ascii="Nunito Sans" w:hAnsi="Nunito Sans" w:eastAsia="Arial" w:cs="Calibri"/>
                    <w:sz w:val="18"/>
                    <w:szCs w:val="18"/>
                  </w:rPr>
                </w:pPr>
                <w:r w:rsidRPr="00625395">
                  <w:rPr>
                    <w:rFonts w:ascii="Nunito Sans" w:hAnsi="Nunito Sans" w:eastAsia="Arial" w:cs="Calibri"/>
                    <w:sz w:val="18"/>
                    <w:szCs w:val="18"/>
                  </w:rPr>
                  <w:t>BCP/DRP</w:t>
                </w:r>
              </w:p>
            </w:tc>
            <w:tc>
              <w:tcPr>
                <w:tcW w:w="0" w:type="auto"/>
                <w:vAlign w:val="center"/>
                <w:hideMark/>
              </w:tcPr>
              <w:p w:rsidRPr="00625395" w:rsidR="005E3BD6" w:rsidP="00B4771C" w:rsidRDefault="005E3BD6" w14:paraId="574FB9BA" w14:textId="77777777">
                <w:pPr>
                  <w:jc w:val="center"/>
                  <w:rPr>
                    <w:rFonts w:ascii="Nunito Sans" w:hAnsi="Nunito Sans" w:eastAsia="Arial" w:cs="Calibri"/>
                    <w:sz w:val="18"/>
                    <w:szCs w:val="18"/>
                  </w:rPr>
                </w:pPr>
                <w:r w:rsidRPr="00625395">
                  <w:rPr>
                    <w:rFonts w:ascii="Nunito Sans" w:hAnsi="Nunito Sans" w:eastAsia="Arial" w:cs="Calibri"/>
                    <w:sz w:val="18"/>
                    <w:szCs w:val="18"/>
                  </w:rPr>
                  <w:t>Documentado</w:t>
                </w:r>
              </w:p>
            </w:tc>
            <w:tc>
              <w:tcPr>
                <w:tcW w:w="2798" w:type="dxa"/>
                <w:vAlign w:val="center"/>
                <w:hideMark/>
              </w:tcPr>
              <w:p w:rsidRPr="00625395" w:rsidR="005E3BD6" w:rsidP="00B4771C" w:rsidRDefault="005E3BD6" w14:paraId="2894EAAA" w14:textId="77777777">
                <w:pPr>
                  <w:jc w:val="center"/>
                  <w:rPr>
                    <w:rFonts w:ascii="Nunito Sans" w:hAnsi="Nunito Sans" w:eastAsia="Arial" w:cs="Calibri"/>
                    <w:sz w:val="18"/>
                    <w:szCs w:val="18"/>
                  </w:rPr>
                </w:pPr>
                <w:r w:rsidRPr="00625395">
                  <w:rPr>
                    <w:rFonts w:ascii="Nunito Sans" w:hAnsi="Nunito Sans" w:eastAsia="Arial" w:cs="Calibri"/>
                    <w:sz w:val="18"/>
                    <w:szCs w:val="18"/>
                  </w:rPr>
                  <w:t>Pocas pruebas reales.</w:t>
                </w:r>
              </w:p>
            </w:tc>
          </w:tr>
          <w:tr w:rsidRPr="00CA4194" w:rsidR="005E3BD6" w:rsidTr="00B4771C" w14:paraId="4CFD20C8" w14:textId="77777777">
            <w:trPr>
              <w:trHeight w:val="407"/>
              <w:jc w:val="center"/>
            </w:trPr>
            <w:tc>
              <w:tcPr>
                <w:tcW w:w="0" w:type="auto"/>
                <w:vAlign w:val="center"/>
                <w:hideMark/>
              </w:tcPr>
              <w:p w:rsidRPr="00625395" w:rsidR="005E3BD6" w:rsidP="00B4771C" w:rsidRDefault="005E3BD6" w14:paraId="0A5D93C9" w14:textId="77777777">
                <w:pPr>
                  <w:jc w:val="center"/>
                  <w:rPr>
                    <w:rFonts w:ascii="Nunito Sans" w:hAnsi="Nunito Sans" w:eastAsia="Arial" w:cs="Calibri"/>
                    <w:sz w:val="18"/>
                    <w:szCs w:val="18"/>
                  </w:rPr>
                </w:pPr>
                <w:r w:rsidRPr="00625395">
                  <w:rPr>
                    <w:rFonts w:ascii="Nunito Sans" w:hAnsi="Nunito Sans" w:eastAsia="Arial" w:cs="Calibri"/>
                    <w:sz w:val="18"/>
                    <w:szCs w:val="18"/>
                  </w:rPr>
                  <w:t>RTO / RPO</w:t>
                </w:r>
              </w:p>
            </w:tc>
            <w:tc>
              <w:tcPr>
                <w:tcW w:w="0" w:type="auto"/>
                <w:vAlign w:val="center"/>
                <w:hideMark/>
              </w:tcPr>
              <w:p w:rsidRPr="00625395" w:rsidR="005E3BD6" w:rsidP="00B4771C" w:rsidRDefault="005E3BD6" w14:paraId="42FB4196" w14:textId="77777777">
                <w:pPr>
                  <w:jc w:val="center"/>
                  <w:rPr>
                    <w:rFonts w:ascii="Nunito Sans" w:hAnsi="Nunito Sans" w:eastAsia="Arial" w:cs="Calibri"/>
                    <w:sz w:val="18"/>
                    <w:szCs w:val="18"/>
                  </w:rPr>
                </w:pPr>
                <w:r w:rsidRPr="00625395">
                  <w:rPr>
                    <w:rFonts w:ascii="Nunito Sans" w:hAnsi="Nunito Sans" w:eastAsia="Arial" w:cs="Calibri"/>
                    <w:sz w:val="18"/>
                    <w:szCs w:val="18"/>
                  </w:rPr>
                  <w:t>Parcial</w:t>
                </w:r>
              </w:p>
            </w:tc>
            <w:tc>
              <w:tcPr>
                <w:tcW w:w="2798" w:type="dxa"/>
                <w:vAlign w:val="center"/>
                <w:hideMark/>
              </w:tcPr>
              <w:p w:rsidRPr="00625395" w:rsidR="005E3BD6" w:rsidP="00B4771C" w:rsidRDefault="005E3BD6" w14:paraId="3C1000D8" w14:textId="77777777">
                <w:pPr>
                  <w:jc w:val="center"/>
                  <w:rPr>
                    <w:rFonts w:ascii="Nunito Sans" w:hAnsi="Nunito Sans" w:eastAsia="Arial" w:cs="Calibri"/>
                    <w:sz w:val="18"/>
                    <w:szCs w:val="18"/>
                  </w:rPr>
                </w:pPr>
                <w:r w:rsidRPr="00625395">
                  <w:rPr>
                    <w:rFonts w:ascii="Nunito Sans" w:hAnsi="Nunito Sans" w:eastAsia="Arial" w:cs="Calibri"/>
                    <w:sz w:val="18"/>
                    <w:szCs w:val="18"/>
                  </w:rPr>
                  <w:t>Sin estándares sectoriales.</w:t>
                </w:r>
              </w:p>
            </w:tc>
          </w:tr>
          <w:tr w:rsidRPr="00CA4194" w:rsidR="005E3BD6" w:rsidTr="00B4771C" w14:paraId="54CEE654" w14:textId="77777777">
            <w:trPr>
              <w:trHeight w:val="407"/>
              <w:jc w:val="center"/>
            </w:trPr>
            <w:tc>
              <w:tcPr>
                <w:tcW w:w="0" w:type="auto"/>
                <w:vAlign w:val="center"/>
                <w:hideMark/>
              </w:tcPr>
              <w:p w:rsidRPr="00625395" w:rsidR="005E3BD6" w:rsidP="00B4771C" w:rsidRDefault="005E3BD6" w14:paraId="25DF68FB" w14:textId="77777777">
                <w:pPr>
                  <w:jc w:val="center"/>
                  <w:rPr>
                    <w:rFonts w:ascii="Nunito Sans" w:hAnsi="Nunito Sans" w:eastAsia="Arial" w:cs="Calibri"/>
                    <w:sz w:val="18"/>
                    <w:szCs w:val="18"/>
                  </w:rPr>
                </w:pPr>
                <w:r w:rsidRPr="00625395">
                  <w:rPr>
                    <w:rFonts w:ascii="Nunito Sans" w:hAnsi="Nunito Sans" w:eastAsia="Arial" w:cs="Calibri"/>
                    <w:sz w:val="18"/>
                    <w:szCs w:val="18"/>
                  </w:rPr>
                  <w:t>Protección de Datos Personales</w:t>
                </w:r>
              </w:p>
            </w:tc>
            <w:tc>
              <w:tcPr>
                <w:tcW w:w="0" w:type="auto"/>
                <w:vAlign w:val="center"/>
                <w:hideMark/>
              </w:tcPr>
              <w:p w:rsidRPr="00625395" w:rsidR="005E3BD6" w:rsidP="00B4771C" w:rsidRDefault="005E3BD6" w14:paraId="06CB343D" w14:textId="77777777">
                <w:pPr>
                  <w:jc w:val="center"/>
                  <w:rPr>
                    <w:rFonts w:ascii="Nunito Sans" w:hAnsi="Nunito Sans" w:eastAsia="Arial" w:cs="Calibri"/>
                    <w:sz w:val="18"/>
                    <w:szCs w:val="18"/>
                  </w:rPr>
                </w:pPr>
                <w:r w:rsidRPr="00625395">
                  <w:rPr>
                    <w:rFonts w:ascii="Nunito Sans" w:hAnsi="Nunito Sans" w:eastAsia="Arial" w:cs="Calibri"/>
                    <w:sz w:val="18"/>
                    <w:szCs w:val="18"/>
                  </w:rPr>
                  <w:t>100%</w:t>
                </w:r>
              </w:p>
            </w:tc>
            <w:tc>
              <w:tcPr>
                <w:tcW w:w="2798" w:type="dxa"/>
                <w:vAlign w:val="center"/>
                <w:hideMark/>
              </w:tcPr>
              <w:p w:rsidRPr="00625395" w:rsidR="005E3BD6" w:rsidP="00B4771C" w:rsidRDefault="005E3BD6" w14:paraId="3C9FAD7A" w14:textId="77777777">
                <w:pPr>
                  <w:jc w:val="center"/>
                  <w:rPr>
                    <w:rFonts w:ascii="Nunito Sans" w:hAnsi="Nunito Sans" w:eastAsia="Arial" w:cs="Calibri"/>
                    <w:sz w:val="18"/>
                    <w:szCs w:val="18"/>
                  </w:rPr>
                </w:pPr>
                <w:r w:rsidRPr="00625395">
                  <w:rPr>
                    <w:rFonts w:ascii="Nunito Sans" w:hAnsi="Nunito Sans" w:eastAsia="Arial" w:cs="Calibri"/>
                    <w:sz w:val="18"/>
                    <w:szCs w:val="18"/>
                  </w:rPr>
                  <w:t>Controles técnicos desiguales.</w:t>
                </w:r>
              </w:p>
            </w:tc>
          </w:tr>
        </w:tbl>
        <w:p w:rsidRPr="00EF5DE4" w:rsidR="005E3BD6" w:rsidP="005E3BD6" w:rsidRDefault="005E3BD6" w14:paraId="2067098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2BE50776" w14:textId="77777777">
          <w:pPr>
            <w:rPr>
              <w:rFonts w:ascii="Nunito Sans" w:hAnsi="Nunito Sans" w:cs="Calibri" w:eastAsiaTheme="minorEastAsia"/>
              <w:sz w:val="22"/>
              <w:szCs w:val="22"/>
            </w:rPr>
          </w:pPr>
        </w:p>
        <w:p w:rsidRPr="00CA4194" w:rsidR="005E3BD6" w:rsidP="005E3BD6" w:rsidRDefault="005E3BD6" w14:paraId="0C5C1309" w14:textId="77777777">
          <w:pPr>
            <w:rPr>
              <w:rFonts w:ascii="Nunito Sans" w:hAnsi="Nunito Sans" w:eastAsia="Arial" w:cs="Calibri"/>
              <w:sz w:val="22"/>
              <w:szCs w:val="22"/>
            </w:rPr>
          </w:pPr>
          <w:r w:rsidRPr="00CA4194">
            <w:rPr>
              <w:rFonts w:ascii="Nunito Sans" w:hAnsi="Nunito Sans" w:eastAsia="Arial" w:cs="Calibri"/>
              <w:sz w:val="22"/>
              <w:szCs w:val="22"/>
            </w:rPr>
            <w:t>El sector presenta madurez documental, pero sin madurez operativa estandarizada, lo que limita la capacidad de resiliencia sectorial frente a incidentes de disponibilidad, ciberataques o fallas tecnológicas de gran impacto.</w:t>
          </w:r>
        </w:p>
        <w:p w:rsidRPr="00CA4194" w:rsidR="005E3BD6" w:rsidP="005E3BD6" w:rsidRDefault="005E3BD6" w14:paraId="4352F997" w14:textId="77777777">
          <w:pPr>
            <w:rPr>
              <w:rFonts w:ascii="Nunito Sans" w:hAnsi="Nunito Sans" w:cs="Calibri" w:eastAsiaTheme="minorEastAsia"/>
              <w:sz w:val="22"/>
              <w:szCs w:val="22"/>
            </w:rPr>
          </w:pPr>
        </w:p>
        <w:p w:rsidR="005E3BD6" w:rsidRDefault="005E3BD6" w14:paraId="613DEDF8" w14:textId="4F457F38">
          <w:pPr>
            <w:pStyle w:val="Ttulo3"/>
            <w:numPr>
              <w:ilvl w:val="2"/>
              <w:numId w:val="35"/>
            </w:numPr>
          </w:pPr>
          <w:bookmarkStart w:name="_Toc234234484" w:id="241"/>
          <w:r w:rsidRPr="00D934EE">
            <w:t>Controles Implementados (MSPI A.5–A.18)</w:t>
          </w:r>
          <w:bookmarkEnd w:id="241"/>
        </w:p>
        <w:p w:rsidRPr="00DF354F" w:rsidR="00DF354F" w:rsidP="00DF354F" w:rsidRDefault="00DF354F" w14:paraId="5F04203B" w14:textId="77777777">
          <w:pPr>
            <w:rPr>
              <w:lang w:val="es-ES"/>
            </w:rPr>
          </w:pPr>
        </w:p>
        <w:p w:rsidR="005E3BD6" w:rsidP="005E3BD6" w:rsidRDefault="005E3BD6" w14:paraId="1FDF3450" w14:textId="77777777">
          <w:pPr>
            <w:jc w:val="both"/>
            <w:rPr>
              <w:rFonts w:ascii="Nunito Sans" w:hAnsi="Nunito Sans" w:eastAsia="Arial" w:cs="Calibri"/>
              <w:sz w:val="22"/>
              <w:szCs w:val="22"/>
            </w:rPr>
          </w:pPr>
          <w:r w:rsidRPr="00CA4194">
            <w:rPr>
              <w:rFonts w:ascii="Nunito Sans" w:hAnsi="Nunito Sans" w:eastAsia="Arial" w:cs="Calibri"/>
              <w:sz w:val="22"/>
              <w:szCs w:val="22"/>
            </w:rPr>
            <w:t>Los dominios asociados a infraestructura, comunicaciones, control de acceso, políticas y seguridad física presentan un nivel maduro en la mayoría de las entidades. Las brechas relevantes se concentran en: desarrollo seguro, gestión de incidentes, continuidad y gestión de proveedores.</w:t>
          </w:r>
        </w:p>
        <w:p w:rsidRPr="00CA4194" w:rsidR="005E3BD6" w:rsidP="005E3BD6" w:rsidRDefault="005E3BD6" w14:paraId="50E6A625" w14:textId="77777777">
          <w:pPr>
            <w:jc w:val="both"/>
            <w:rPr>
              <w:rFonts w:ascii="Nunito Sans" w:hAnsi="Nunito Sans" w:eastAsia="Arial" w:cs="Calibri"/>
              <w:sz w:val="22"/>
              <w:szCs w:val="22"/>
            </w:rPr>
          </w:pPr>
        </w:p>
        <w:p w:rsidRPr="00EB43A6" w:rsidR="005E3BD6" w:rsidP="005E3BD6" w:rsidRDefault="00F2742B" w14:paraId="3B80C56A" w14:textId="7AA4EEE2">
          <w:pPr>
            <w:ind w:left="360" w:hanging="360"/>
            <w:jc w:val="center"/>
            <w:rPr>
              <w:rFonts w:ascii="Nunito Sans" w:hAnsi="Nunito Sans" w:cs="Calibri"/>
              <w:b/>
              <w:bCs/>
              <w:sz w:val="18"/>
              <w:szCs w:val="18"/>
            </w:rPr>
          </w:pPr>
          <w:bookmarkStart w:name="_Toc220664197" w:id="242"/>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26</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B698F" w:rsidR="005E3BD6">
            <w:rPr>
              <w:rFonts w:ascii="Nunito Sans" w:hAnsi="Nunito Sans" w:cs="Calibri"/>
              <w:b/>
              <w:bCs/>
              <w:sz w:val="18"/>
              <w:szCs w:val="18"/>
            </w:rPr>
            <w:t>Madurez Sectorial por Dominios del MSPI</w:t>
          </w:r>
          <w:bookmarkEnd w:id="242"/>
        </w:p>
        <w:tbl>
          <w:tblPr>
            <w:tblStyle w:val="Tablaconcuadrcula"/>
            <w:tblW w:w="8255"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932"/>
            <w:gridCol w:w="1920"/>
            <w:gridCol w:w="3403"/>
          </w:tblGrid>
          <w:tr w:rsidRPr="005A796E" w:rsidR="005E3BD6" w:rsidTr="00B4771C" w14:paraId="0D943BEE" w14:textId="77777777">
            <w:trPr>
              <w:trHeight w:val="421"/>
              <w:jc w:val="center"/>
            </w:trPr>
            <w:tc>
              <w:tcPr>
                <w:tcW w:w="2932" w:type="dxa"/>
                <w:shd w:val="clear" w:color="auto" w:fill="E1AF3B"/>
                <w:vAlign w:val="center"/>
                <w:hideMark/>
              </w:tcPr>
              <w:p w:rsidRPr="005A796E" w:rsidR="005E3BD6" w:rsidP="00B4771C" w:rsidRDefault="005E3BD6" w14:paraId="56224388" w14:textId="77777777">
                <w:pPr>
                  <w:jc w:val="center"/>
                  <w:rPr>
                    <w:rFonts w:ascii="Nunito Sans" w:hAnsi="Nunito Sans" w:eastAsia="Arial" w:cs="Calibri"/>
                    <w:b/>
                    <w:bCs/>
                    <w:color w:val="FFFFFF" w:themeColor="background1"/>
                    <w:sz w:val="18"/>
                    <w:szCs w:val="18"/>
                  </w:rPr>
                </w:pPr>
                <w:r w:rsidRPr="005A796E">
                  <w:rPr>
                    <w:rFonts w:ascii="Nunito Sans" w:hAnsi="Nunito Sans" w:eastAsia="Arial" w:cs="Calibri"/>
                    <w:b/>
                    <w:bCs/>
                    <w:color w:val="FFFFFF" w:themeColor="background1"/>
                    <w:sz w:val="18"/>
                    <w:szCs w:val="18"/>
                  </w:rPr>
                  <w:t>Dominio MSPI</w:t>
                </w:r>
              </w:p>
            </w:tc>
            <w:tc>
              <w:tcPr>
                <w:tcW w:w="1920" w:type="dxa"/>
                <w:shd w:val="clear" w:color="auto" w:fill="E1AF3B"/>
                <w:vAlign w:val="center"/>
                <w:hideMark/>
              </w:tcPr>
              <w:p w:rsidRPr="005A796E" w:rsidR="005E3BD6" w:rsidP="00B4771C" w:rsidRDefault="005E3BD6" w14:paraId="7B8591F1" w14:textId="77777777">
                <w:pPr>
                  <w:jc w:val="center"/>
                  <w:rPr>
                    <w:rFonts w:ascii="Nunito Sans" w:hAnsi="Nunito Sans" w:eastAsia="Arial" w:cs="Calibri"/>
                    <w:b/>
                    <w:bCs/>
                    <w:color w:val="FFFFFF" w:themeColor="background1"/>
                    <w:sz w:val="18"/>
                    <w:szCs w:val="18"/>
                  </w:rPr>
                </w:pPr>
                <w:r w:rsidRPr="005A796E">
                  <w:rPr>
                    <w:rFonts w:ascii="Nunito Sans" w:hAnsi="Nunito Sans" w:eastAsia="Arial" w:cs="Calibri"/>
                    <w:b/>
                    <w:bCs/>
                    <w:color w:val="FFFFFF" w:themeColor="background1"/>
                    <w:sz w:val="18"/>
                    <w:szCs w:val="18"/>
                  </w:rPr>
                  <w:t>Fortaleza Sectorial</w:t>
                </w:r>
              </w:p>
            </w:tc>
            <w:tc>
              <w:tcPr>
                <w:tcW w:w="3403" w:type="dxa"/>
                <w:shd w:val="clear" w:color="auto" w:fill="E1AF3B"/>
                <w:vAlign w:val="center"/>
                <w:hideMark/>
              </w:tcPr>
              <w:p w:rsidRPr="005A796E" w:rsidR="005E3BD6" w:rsidP="00B4771C" w:rsidRDefault="005E3BD6" w14:paraId="4E3CCD13" w14:textId="77777777">
                <w:pPr>
                  <w:jc w:val="center"/>
                  <w:rPr>
                    <w:rFonts w:ascii="Nunito Sans" w:hAnsi="Nunito Sans" w:eastAsia="Arial" w:cs="Calibri"/>
                    <w:b/>
                    <w:bCs/>
                    <w:color w:val="FFFFFF" w:themeColor="background1"/>
                    <w:sz w:val="18"/>
                    <w:szCs w:val="18"/>
                  </w:rPr>
                </w:pPr>
                <w:r w:rsidRPr="005A796E">
                  <w:rPr>
                    <w:rFonts w:ascii="Nunito Sans" w:hAnsi="Nunito Sans" w:eastAsia="Arial" w:cs="Calibri"/>
                    <w:b/>
                    <w:bCs/>
                    <w:color w:val="FFFFFF" w:themeColor="background1"/>
                    <w:sz w:val="18"/>
                    <w:szCs w:val="18"/>
                  </w:rPr>
                  <w:t>Estado</w:t>
                </w:r>
              </w:p>
            </w:tc>
          </w:tr>
          <w:tr w:rsidRPr="005A796E" w:rsidR="005E3BD6" w:rsidTr="00B4771C" w14:paraId="125B2E85" w14:textId="77777777">
            <w:trPr>
              <w:trHeight w:val="421"/>
              <w:jc w:val="center"/>
            </w:trPr>
            <w:tc>
              <w:tcPr>
                <w:tcW w:w="2932" w:type="dxa"/>
                <w:vAlign w:val="center"/>
                <w:hideMark/>
              </w:tcPr>
              <w:p w:rsidRPr="005A796E" w:rsidR="005E3BD6" w:rsidP="00B4771C" w:rsidRDefault="005E3BD6" w14:paraId="0ACBCDC4" w14:textId="77777777">
                <w:pPr>
                  <w:jc w:val="center"/>
                  <w:rPr>
                    <w:rFonts w:ascii="Nunito Sans" w:hAnsi="Nunito Sans" w:eastAsia="Arial" w:cs="Calibri"/>
                    <w:sz w:val="18"/>
                    <w:szCs w:val="18"/>
                  </w:rPr>
                </w:pPr>
                <w:r w:rsidRPr="005A796E">
                  <w:rPr>
                    <w:rFonts w:ascii="Nunito Sans" w:hAnsi="Nunito Sans" w:eastAsia="Arial" w:cs="Calibri"/>
                    <w:sz w:val="18"/>
                    <w:szCs w:val="18"/>
                  </w:rPr>
                  <w:t>A.5 Políticas de Seguridad</w:t>
                </w:r>
              </w:p>
            </w:tc>
            <w:tc>
              <w:tcPr>
                <w:tcW w:w="1920" w:type="dxa"/>
                <w:vAlign w:val="center"/>
                <w:hideMark/>
              </w:tcPr>
              <w:p w:rsidRPr="005A796E" w:rsidR="005E3BD6" w:rsidP="00B4771C" w:rsidRDefault="005E3BD6" w14:paraId="47A18370" w14:textId="77777777">
                <w:pPr>
                  <w:jc w:val="center"/>
                  <w:rPr>
                    <w:rFonts w:ascii="Nunito Sans" w:hAnsi="Nunito Sans" w:eastAsia="Arial" w:cs="Calibri"/>
                    <w:sz w:val="18"/>
                    <w:szCs w:val="18"/>
                  </w:rPr>
                </w:pPr>
                <w:r w:rsidRPr="005A796E">
                  <w:rPr>
                    <w:rFonts w:ascii="Nunito Sans" w:hAnsi="Nunito Sans" w:eastAsia="Arial" w:cs="Calibri"/>
                    <w:sz w:val="18"/>
                    <w:szCs w:val="18"/>
                  </w:rPr>
                  <w:t>Sí</w:t>
                </w:r>
              </w:p>
            </w:tc>
            <w:tc>
              <w:tcPr>
                <w:tcW w:w="3403" w:type="dxa"/>
                <w:vAlign w:val="center"/>
                <w:hideMark/>
              </w:tcPr>
              <w:p w:rsidRPr="005A796E" w:rsidR="005E3BD6" w:rsidP="00B4771C" w:rsidRDefault="005E3BD6" w14:paraId="1A3C321C" w14:textId="77777777">
                <w:pPr>
                  <w:jc w:val="center"/>
                  <w:rPr>
                    <w:rFonts w:ascii="Nunito Sans" w:hAnsi="Nunito Sans" w:eastAsia="Arial" w:cs="Calibri"/>
                    <w:sz w:val="18"/>
                    <w:szCs w:val="18"/>
                  </w:rPr>
                </w:pPr>
                <w:r w:rsidRPr="005A796E">
                  <w:rPr>
                    <w:rFonts w:ascii="Nunito Sans" w:hAnsi="Nunito Sans" w:eastAsia="Arial" w:cs="Calibri"/>
                    <w:sz w:val="18"/>
                    <w:szCs w:val="18"/>
                  </w:rPr>
                  <w:t>Maduro</w:t>
                </w:r>
              </w:p>
            </w:tc>
          </w:tr>
          <w:tr w:rsidRPr="005A796E" w:rsidR="005E3BD6" w:rsidTr="00B4771C" w14:paraId="42927B3F" w14:textId="77777777">
            <w:trPr>
              <w:trHeight w:val="421"/>
              <w:jc w:val="center"/>
            </w:trPr>
            <w:tc>
              <w:tcPr>
                <w:tcW w:w="2932" w:type="dxa"/>
                <w:vAlign w:val="center"/>
                <w:hideMark/>
              </w:tcPr>
              <w:p w:rsidRPr="005A796E" w:rsidR="005E3BD6" w:rsidP="00B4771C" w:rsidRDefault="005E3BD6" w14:paraId="4F146FB2" w14:textId="77777777">
                <w:pPr>
                  <w:jc w:val="center"/>
                  <w:rPr>
                    <w:rFonts w:ascii="Nunito Sans" w:hAnsi="Nunito Sans" w:eastAsia="Arial" w:cs="Calibri"/>
                    <w:sz w:val="18"/>
                    <w:szCs w:val="18"/>
                  </w:rPr>
                </w:pPr>
                <w:r w:rsidRPr="005A796E">
                  <w:rPr>
                    <w:rFonts w:ascii="Nunito Sans" w:hAnsi="Nunito Sans" w:eastAsia="Arial" w:cs="Calibri"/>
                    <w:sz w:val="18"/>
                    <w:szCs w:val="18"/>
                  </w:rPr>
                  <w:t>A.6 Organización de Seguridad</w:t>
                </w:r>
              </w:p>
            </w:tc>
            <w:tc>
              <w:tcPr>
                <w:tcW w:w="1920" w:type="dxa"/>
                <w:vAlign w:val="center"/>
                <w:hideMark/>
              </w:tcPr>
              <w:p w:rsidRPr="005A796E" w:rsidR="005E3BD6" w:rsidP="00B4771C" w:rsidRDefault="005E3BD6" w14:paraId="5E0DCF29" w14:textId="77777777">
                <w:pPr>
                  <w:jc w:val="center"/>
                  <w:rPr>
                    <w:rFonts w:ascii="Nunito Sans" w:hAnsi="Nunito Sans" w:eastAsia="Arial" w:cs="Calibri"/>
                    <w:sz w:val="18"/>
                    <w:szCs w:val="18"/>
                  </w:rPr>
                </w:pPr>
                <w:r w:rsidRPr="005A796E">
                  <w:rPr>
                    <w:rFonts w:ascii="Nunito Sans" w:hAnsi="Nunito Sans" w:eastAsia="Arial" w:cs="Calibri"/>
                    <w:sz w:val="18"/>
                    <w:szCs w:val="18"/>
                  </w:rPr>
                  <w:t>Sí</w:t>
                </w:r>
              </w:p>
            </w:tc>
            <w:tc>
              <w:tcPr>
                <w:tcW w:w="3403" w:type="dxa"/>
                <w:vAlign w:val="center"/>
                <w:hideMark/>
              </w:tcPr>
              <w:p w:rsidRPr="005A796E" w:rsidR="005E3BD6" w:rsidP="00B4771C" w:rsidRDefault="005E3BD6" w14:paraId="52D14D62" w14:textId="77777777">
                <w:pPr>
                  <w:jc w:val="center"/>
                  <w:rPr>
                    <w:rFonts w:ascii="Nunito Sans" w:hAnsi="Nunito Sans" w:eastAsia="Arial" w:cs="Calibri"/>
                    <w:sz w:val="18"/>
                    <w:szCs w:val="18"/>
                  </w:rPr>
                </w:pPr>
                <w:r w:rsidRPr="005A796E">
                  <w:rPr>
                    <w:rFonts w:ascii="Nunito Sans" w:hAnsi="Nunito Sans" w:eastAsia="Arial" w:cs="Calibri"/>
                    <w:sz w:val="18"/>
                    <w:szCs w:val="18"/>
                  </w:rPr>
                  <w:t>Intermedio/Maduro</w:t>
                </w:r>
              </w:p>
            </w:tc>
          </w:tr>
          <w:tr w:rsidRPr="005A796E" w:rsidR="005E3BD6" w:rsidTr="00B4771C" w14:paraId="0EBB8088" w14:textId="77777777">
            <w:trPr>
              <w:trHeight w:val="421"/>
              <w:jc w:val="center"/>
            </w:trPr>
            <w:tc>
              <w:tcPr>
                <w:tcW w:w="2932" w:type="dxa"/>
                <w:vAlign w:val="center"/>
                <w:hideMark/>
              </w:tcPr>
              <w:p w:rsidRPr="005A796E" w:rsidR="005E3BD6" w:rsidP="00B4771C" w:rsidRDefault="005E3BD6" w14:paraId="088F0724" w14:textId="77777777">
                <w:pPr>
                  <w:jc w:val="center"/>
                  <w:rPr>
                    <w:rFonts w:ascii="Nunito Sans" w:hAnsi="Nunito Sans" w:eastAsia="Arial" w:cs="Calibri"/>
                    <w:sz w:val="18"/>
                    <w:szCs w:val="18"/>
                  </w:rPr>
                </w:pPr>
                <w:r w:rsidRPr="005A796E">
                  <w:rPr>
                    <w:rFonts w:ascii="Nunito Sans" w:hAnsi="Nunito Sans" w:eastAsia="Arial" w:cs="Calibri"/>
                    <w:sz w:val="18"/>
                    <w:szCs w:val="18"/>
                  </w:rPr>
                  <w:t>A.7 RRHH</w:t>
                </w:r>
              </w:p>
            </w:tc>
            <w:tc>
              <w:tcPr>
                <w:tcW w:w="1920" w:type="dxa"/>
                <w:vAlign w:val="center"/>
                <w:hideMark/>
              </w:tcPr>
              <w:p w:rsidRPr="005A796E" w:rsidR="005E3BD6" w:rsidP="00B4771C" w:rsidRDefault="005E3BD6" w14:paraId="7211AF17" w14:textId="77777777">
                <w:pPr>
                  <w:jc w:val="center"/>
                  <w:rPr>
                    <w:rFonts w:ascii="Nunito Sans" w:hAnsi="Nunito Sans" w:eastAsia="Arial" w:cs="Calibri"/>
                    <w:sz w:val="18"/>
                    <w:szCs w:val="18"/>
                  </w:rPr>
                </w:pPr>
                <w:r w:rsidRPr="005A796E">
                  <w:rPr>
                    <w:rFonts w:ascii="Nunito Sans" w:hAnsi="Nunito Sans" w:eastAsia="Arial" w:cs="Calibri"/>
                    <w:sz w:val="18"/>
                    <w:szCs w:val="18"/>
                  </w:rPr>
                  <w:t>Sí</w:t>
                </w:r>
              </w:p>
            </w:tc>
            <w:tc>
              <w:tcPr>
                <w:tcW w:w="3403" w:type="dxa"/>
                <w:vAlign w:val="center"/>
                <w:hideMark/>
              </w:tcPr>
              <w:p w:rsidRPr="005A796E" w:rsidR="005E3BD6" w:rsidP="00B4771C" w:rsidRDefault="005E3BD6" w14:paraId="2B76FC58" w14:textId="77777777">
                <w:pPr>
                  <w:jc w:val="center"/>
                  <w:rPr>
                    <w:rFonts w:ascii="Nunito Sans" w:hAnsi="Nunito Sans" w:eastAsia="Arial" w:cs="Calibri"/>
                    <w:sz w:val="18"/>
                    <w:szCs w:val="18"/>
                  </w:rPr>
                </w:pPr>
                <w:r w:rsidRPr="005A796E">
                  <w:rPr>
                    <w:rFonts w:ascii="Nunito Sans" w:hAnsi="Nunito Sans" w:eastAsia="Arial" w:cs="Calibri"/>
                    <w:sz w:val="18"/>
                    <w:szCs w:val="18"/>
                  </w:rPr>
                  <w:t>Intermedio</w:t>
                </w:r>
              </w:p>
            </w:tc>
          </w:tr>
          <w:tr w:rsidRPr="005A796E" w:rsidR="005E3BD6" w:rsidTr="00B4771C" w14:paraId="4FB0F8E6" w14:textId="77777777">
            <w:trPr>
              <w:trHeight w:val="421"/>
              <w:jc w:val="center"/>
            </w:trPr>
            <w:tc>
              <w:tcPr>
                <w:tcW w:w="2932" w:type="dxa"/>
                <w:vAlign w:val="center"/>
                <w:hideMark/>
              </w:tcPr>
              <w:p w:rsidRPr="005A796E" w:rsidR="005E3BD6" w:rsidP="00B4771C" w:rsidRDefault="005E3BD6" w14:paraId="4A3E9C99" w14:textId="77777777">
                <w:pPr>
                  <w:jc w:val="center"/>
                  <w:rPr>
                    <w:rFonts w:ascii="Nunito Sans" w:hAnsi="Nunito Sans" w:eastAsia="Arial" w:cs="Calibri"/>
                    <w:sz w:val="18"/>
                    <w:szCs w:val="18"/>
                  </w:rPr>
                </w:pPr>
                <w:r w:rsidRPr="005A796E">
                  <w:rPr>
                    <w:rFonts w:ascii="Nunito Sans" w:hAnsi="Nunito Sans" w:eastAsia="Arial" w:cs="Calibri"/>
                    <w:sz w:val="18"/>
                    <w:szCs w:val="18"/>
                  </w:rPr>
                  <w:t>A.8 Gestión de Activos</w:t>
                </w:r>
              </w:p>
            </w:tc>
            <w:tc>
              <w:tcPr>
                <w:tcW w:w="1920" w:type="dxa"/>
                <w:vAlign w:val="center"/>
                <w:hideMark/>
              </w:tcPr>
              <w:p w:rsidRPr="005A796E" w:rsidR="005E3BD6" w:rsidP="00B4771C" w:rsidRDefault="005E3BD6" w14:paraId="5F0A8674" w14:textId="77777777">
                <w:pPr>
                  <w:jc w:val="center"/>
                  <w:rPr>
                    <w:rFonts w:ascii="Nunito Sans" w:hAnsi="Nunito Sans" w:eastAsia="Arial" w:cs="Calibri"/>
                    <w:sz w:val="18"/>
                    <w:szCs w:val="18"/>
                  </w:rPr>
                </w:pPr>
                <w:r w:rsidRPr="005A796E">
                  <w:rPr>
                    <w:rFonts w:ascii="Nunito Sans" w:hAnsi="Nunito Sans" w:eastAsia="Arial" w:cs="Calibri"/>
                    <w:sz w:val="18"/>
                    <w:szCs w:val="18"/>
                  </w:rPr>
                  <w:t>Parcial</w:t>
                </w:r>
              </w:p>
            </w:tc>
            <w:tc>
              <w:tcPr>
                <w:tcW w:w="3403" w:type="dxa"/>
                <w:vAlign w:val="center"/>
                <w:hideMark/>
              </w:tcPr>
              <w:p w:rsidRPr="005A796E" w:rsidR="005E3BD6" w:rsidP="00B4771C" w:rsidRDefault="005E3BD6" w14:paraId="31D4E70F" w14:textId="77777777">
                <w:pPr>
                  <w:jc w:val="center"/>
                  <w:rPr>
                    <w:rFonts w:ascii="Nunito Sans" w:hAnsi="Nunito Sans" w:eastAsia="Arial" w:cs="Calibri"/>
                    <w:sz w:val="18"/>
                    <w:szCs w:val="18"/>
                  </w:rPr>
                </w:pPr>
                <w:r w:rsidRPr="005A796E">
                  <w:rPr>
                    <w:rFonts w:ascii="Nunito Sans" w:hAnsi="Nunito Sans" w:eastAsia="Arial" w:cs="Calibri"/>
                    <w:sz w:val="18"/>
                    <w:szCs w:val="18"/>
                  </w:rPr>
                  <w:t>Clasificación desigual</w:t>
                </w:r>
              </w:p>
            </w:tc>
          </w:tr>
          <w:tr w:rsidRPr="005A796E" w:rsidR="005E3BD6" w:rsidTr="00B4771C" w14:paraId="1752B507" w14:textId="77777777">
            <w:trPr>
              <w:trHeight w:val="421"/>
              <w:jc w:val="center"/>
            </w:trPr>
            <w:tc>
              <w:tcPr>
                <w:tcW w:w="2932" w:type="dxa"/>
                <w:vAlign w:val="center"/>
                <w:hideMark/>
              </w:tcPr>
              <w:p w:rsidRPr="005A796E" w:rsidR="005E3BD6" w:rsidP="00B4771C" w:rsidRDefault="005E3BD6" w14:paraId="53497036" w14:textId="77777777">
                <w:pPr>
                  <w:jc w:val="center"/>
                  <w:rPr>
                    <w:rFonts w:ascii="Nunito Sans" w:hAnsi="Nunito Sans" w:eastAsia="Arial" w:cs="Calibri"/>
                    <w:sz w:val="18"/>
                    <w:szCs w:val="18"/>
                  </w:rPr>
                </w:pPr>
                <w:r w:rsidRPr="005A796E">
                  <w:rPr>
                    <w:rFonts w:ascii="Nunito Sans" w:hAnsi="Nunito Sans" w:eastAsia="Arial" w:cs="Calibri"/>
                    <w:sz w:val="18"/>
                    <w:szCs w:val="18"/>
                  </w:rPr>
                  <w:t>A.9 Control de Acceso</w:t>
                </w:r>
              </w:p>
            </w:tc>
            <w:tc>
              <w:tcPr>
                <w:tcW w:w="1920" w:type="dxa"/>
                <w:vAlign w:val="center"/>
                <w:hideMark/>
              </w:tcPr>
              <w:p w:rsidRPr="005A796E" w:rsidR="005E3BD6" w:rsidP="00B4771C" w:rsidRDefault="005E3BD6" w14:paraId="4362AD98" w14:textId="77777777">
                <w:pPr>
                  <w:jc w:val="center"/>
                  <w:rPr>
                    <w:rFonts w:ascii="Nunito Sans" w:hAnsi="Nunito Sans" w:eastAsia="Arial" w:cs="Calibri"/>
                    <w:sz w:val="18"/>
                    <w:szCs w:val="18"/>
                  </w:rPr>
                </w:pPr>
                <w:r w:rsidRPr="005A796E">
                  <w:rPr>
                    <w:rFonts w:ascii="Nunito Sans" w:hAnsi="Nunito Sans" w:eastAsia="Arial" w:cs="Calibri"/>
                    <w:sz w:val="18"/>
                    <w:szCs w:val="18"/>
                  </w:rPr>
                  <w:t>Fuerte</w:t>
                </w:r>
              </w:p>
            </w:tc>
            <w:tc>
              <w:tcPr>
                <w:tcW w:w="3403" w:type="dxa"/>
                <w:vAlign w:val="center"/>
                <w:hideMark/>
              </w:tcPr>
              <w:p w:rsidRPr="005A796E" w:rsidR="005E3BD6" w:rsidP="00B4771C" w:rsidRDefault="005E3BD6" w14:paraId="3BAA823A" w14:textId="77777777">
                <w:pPr>
                  <w:jc w:val="center"/>
                  <w:rPr>
                    <w:rFonts w:ascii="Nunito Sans" w:hAnsi="Nunito Sans" w:eastAsia="Arial" w:cs="Calibri"/>
                    <w:sz w:val="18"/>
                    <w:szCs w:val="18"/>
                  </w:rPr>
                </w:pPr>
                <w:r w:rsidRPr="005A796E">
                  <w:rPr>
                    <w:rFonts w:ascii="Nunito Sans" w:hAnsi="Nunito Sans" w:eastAsia="Arial" w:cs="Calibri"/>
                    <w:sz w:val="18"/>
                    <w:szCs w:val="18"/>
                  </w:rPr>
                  <w:t>MFA generalizada</w:t>
                </w:r>
              </w:p>
            </w:tc>
          </w:tr>
          <w:tr w:rsidRPr="005A796E" w:rsidR="005E3BD6" w:rsidTr="00B4771C" w14:paraId="648E75B1" w14:textId="77777777">
            <w:trPr>
              <w:trHeight w:val="421"/>
              <w:jc w:val="center"/>
            </w:trPr>
            <w:tc>
              <w:tcPr>
                <w:tcW w:w="2932" w:type="dxa"/>
                <w:vAlign w:val="center"/>
                <w:hideMark/>
              </w:tcPr>
              <w:p w:rsidRPr="005A796E" w:rsidR="005E3BD6" w:rsidP="00B4771C" w:rsidRDefault="005E3BD6" w14:paraId="5AF78BBB" w14:textId="77777777">
                <w:pPr>
                  <w:jc w:val="center"/>
                  <w:rPr>
                    <w:rFonts w:ascii="Nunito Sans" w:hAnsi="Nunito Sans" w:eastAsia="Arial" w:cs="Calibri"/>
                    <w:sz w:val="18"/>
                    <w:szCs w:val="18"/>
                  </w:rPr>
                </w:pPr>
                <w:r w:rsidRPr="005A796E">
                  <w:rPr>
                    <w:rFonts w:ascii="Nunito Sans" w:hAnsi="Nunito Sans" w:eastAsia="Arial" w:cs="Calibri"/>
                    <w:sz w:val="18"/>
                    <w:szCs w:val="18"/>
                  </w:rPr>
                  <w:t>A.10 Criptografía</w:t>
                </w:r>
              </w:p>
            </w:tc>
            <w:tc>
              <w:tcPr>
                <w:tcW w:w="1920" w:type="dxa"/>
                <w:vAlign w:val="center"/>
                <w:hideMark/>
              </w:tcPr>
              <w:p w:rsidRPr="005A796E" w:rsidR="005E3BD6" w:rsidP="00B4771C" w:rsidRDefault="005E3BD6" w14:paraId="65B87BFE" w14:textId="77777777">
                <w:pPr>
                  <w:jc w:val="center"/>
                  <w:rPr>
                    <w:rFonts w:ascii="Nunito Sans" w:hAnsi="Nunito Sans" w:eastAsia="Arial" w:cs="Calibri"/>
                    <w:sz w:val="18"/>
                    <w:szCs w:val="18"/>
                  </w:rPr>
                </w:pPr>
                <w:r w:rsidRPr="005A796E">
                  <w:rPr>
                    <w:rFonts w:ascii="Nunito Sans" w:hAnsi="Nunito Sans" w:eastAsia="Arial" w:cs="Calibri"/>
                    <w:sz w:val="18"/>
                    <w:szCs w:val="18"/>
                  </w:rPr>
                  <w:t>Fuerte</w:t>
                </w:r>
              </w:p>
            </w:tc>
            <w:tc>
              <w:tcPr>
                <w:tcW w:w="3403" w:type="dxa"/>
                <w:vAlign w:val="center"/>
                <w:hideMark/>
              </w:tcPr>
              <w:p w:rsidRPr="005A796E" w:rsidR="005E3BD6" w:rsidP="00B4771C" w:rsidRDefault="005E3BD6" w14:paraId="7179B129" w14:textId="77777777">
                <w:pPr>
                  <w:jc w:val="center"/>
                  <w:rPr>
                    <w:rFonts w:ascii="Nunito Sans" w:hAnsi="Nunito Sans" w:eastAsia="Arial" w:cs="Calibri"/>
                    <w:sz w:val="18"/>
                    <w:szCs w:val="18"/>
                  </w:rPr>
                </w:pPr>
                <w:r w:rsidRPr="005A796E">
                  <w:rPr>
                    <w:rFonts w:ascii="Nunito Sans" w:hAnsi="Nunito Sans" w:eastAsia="Arial" w:cs="Calibri"/>
                    <w:sz w:val="18"/>
                    <w:szCs w:val="18"/>
                  </w:rPr>
                  <w:t>Cifrado en tránsito general</w:t>
                </w:r>
              </w:p>
            </w:tc>
          </w:tr>
          <w:tr w:rsidRPr="005A796E" w:rsidR="005E3BD6" w:rsidTr="00B4771C" w14:paraId="719C3605" w14:textId="77777777">
            <w:trPr>
              <w:trHeight w:val="421"/>
              <w:jc w:val="center"/>
            </w:trPr>
            <w:tc>
              <w:tcPr>
                <w:tcW w:w="2932" w:type="dxa"/>
                <w:vAlign w:val="center"/>
                <w:hideMark/>
              </w:tcPr>
              <w:p w:rsidRPr="005A796E" w:rsidR="005E3BD6" w:rsidP="00B4771C" w:rsidRDefault="005E3BD6" w14:paraId="4845F49F" w14:textId="77777777">
                <w:pPr>
                  <w:jc w:val="center"/>
                  <w:rPr>
                    <w:rFonts w:ascii="Nunito Sans" w:hAnsi="Nunito Sans" w:eastAsia="Arial" w:cs="Calibri"/>
                    <w:sz w:val="18"/>
                    <w:szCs w:val="18"/>
                  </w:rPr>
                </w:pPr>
                <w:r w:rsidRPr="005A796E">
                  <w:rPr>
                    <w:rFonts w:ascii="Nunito Sans" w:hAnsi="Nunito Sans" w:eastAsia="Arial" w:cs="Calibri"/>
                    <w:sz w:val="18"/>
                    <w:szCs w:val="18"/>
                  </w:rPr>
                  <w:t>A.11 Seguridad Física</w:t>
                </w:r>
              </w:p>
            </w:tc>
            <w:tc>
              <w:tcPr>
                <w:tcW w:w="1920" w:type="dxa"/>
                <w:vAlign w:val="center"/>
                <w:hideMark/>
              </w:tcPr>
              <w:p w:rsidRPr="005A796E" w:rsidR="005E3BD6" w:rsidP="00B4771C" w:rsidRDefault="005E3BD6" w14:paraId="3EC65220" w14:textId="77777777">
                <w:pPr>
                  <w:jc w:val="center"/>
                  <w:rPr>
                    <w:rFonts w:ascii="Nunito Sans" w:hAnsi="Nunito Sans" w:eastAsia="Arial" w:cs="Calibri"/>
                    <w:sz w:val="18"/>
                    <w:szCs w:val="18"/>
                  </w:rPr>
                </w:pPr>
                <w:r w:rsidRPr="005A796E">
                  <w:rPr>
                    <w:rFonts w:ascii="Nunito Sans" w:hAnsi="Nunito Sans" w:eastAsia="Arial" w:cs="Calibri"/>
                    <w:sz w:val="18"/>
                    <w:szCs w:val="18"/>
                  </w:rPr>
                  <w:t>Sí</w:t>
                </w:r>
              </w:p>
            </w:tc>
            <w:tc>
              <w:tcPr>
                <w:tcW w:w="3403" w:type="dxa"/>
                <w:vAlign w:val="center"/>
                <w:hideMark/>
              </w:tcPr>
              <w:p w:rsidRPr="005A796E" w:rsidR="005E3BD6" w:rsidP="00B4771C" w:rsidRDefault="005E3BD6" w14:paraId="594971B6" w14:textId="77777777">
                <w:pPr>
                  <w:jc w:val="center"/>
                  <w:rPr>
                    <w:rFonts w:ascii="Nunito Sans" w:hAnsi="Nunito Sans" w:eastAsia="Arial" w:cs="Calibri"/>
                    <w:sz w:val="18"/>
                    <w:szCs w:val="18"/>
                  </w:rPr>
                </w:pPr>
                <w:r w:rsidRPr="005A796E">
                  <w:rPr>
                    <w:rFonts w:ascii="Nunito Sans" w:hAnsi="Nunito Sans" w:eastAsia="Arial" w:cs="Calibri"/>
                    <w:sz w:val="18"/>
                    <w:szCs w:val="18"/>
                  </w:rPr>
                  <w:t>Maduro</w:t>
                </w:r>
              </w:p>
            </w:tc>
          </w:tr>
          <w:tr w:rsidRPr="005A796E" w:rsidR="005E3BD6" w:rsidTr="00B4771C" w14:paraId="5857CB41" w14:textId="77777777">
            <w:trPr>
              <w:trHeight w:val="421"/>
              <w:jc w:val="center"/>
            </w:trPr>
            <w:tc>
              <w:tcPr>
                <w:tcW w:w="2932" w:type="dxa"/>
                <w:vAlign w:val="center"/>
                <w:hideMark/>
              </w:tcPr>
              <w:p w:rsidRPr="005A796E" w:rsidR="005E3BD6" w:rsidP="00B4771C" w:rsidRDefault="005E3BD6" w14:paraId="10D15508" w14:textId="77777777">
                <w:pPr>
                  <w:jc w:val="center"/>
                  <w:rPr>
                    <w:rFonts w:ascii="Nunito Sans" w:hAnsi="Nunito Sans" w:eastAsia="Arial" w:cs="Calibri"/>
                    <w:sz w:val="18"/>
                    <w:szCs w:val="18"/>
                  </w:rPr>
                </w:pPr>
                <w:r w:rsidRPr="005A796E">
                  <w:rPr>
                    <w:rFonts w:ascii="Nunito Sans" w:hAnsi="Nunito Sans" w:eastAsia="Arial" w:cs="Calibri"/>
                    <w:sz w:val="18"/>
                    <w:szCs w:val="18"/>
                  </w:rPr>
                  <w:t>A.12 Seguridad de Operaciones</w:t>
                </w:r>
              </w:p>
            </w:tc>
            <w:tc>
              <w:tcPr>
                <w:tcW w:w="1920" w:type="dxa"/>
                <w:vAlign w:val="center"/>
                <w:hideMark/>
              </w:tcPr>
              <w:p w:rsidRPr="005A796E" w:rsidR="005E3BD6" w:rsidP="00B4771C" w:rsidRDefault="005E3BD6" w14:paraId="49B7C715" w14:textId="77777777">
                <w:pPr>
                  <w:jc w:val="center"/>
                  <w:rPr>
                    <w:rFonts w:ascii="Nunito Sans" w:hAnsi="Nunito Sans" w:eastAsia="Arial" w:cs="Calibri"/>
                    <w:sz w:val="18"/>
                    <w:szCs w:val="18"/>
                  </w:rPr>
                </w:pPr>
                <w:r w:rsidRPr="005A796E">
                  <w:rPr>
                    <w:rFonts w:ascii="Nunito Sans" w:hAnsi="Nunito Sans" w:eastAsia="Arial" w:cs="Calibri"/>
                    <w:sz w:val="18"/>
                    <w:szCs w:val="18"/>
                  </w:rPr>
                  <w:t>Fuerte</w:t>
                </w:r>
              </w:p>
            </w:tc>
            <w:tc>
              <w:tcPr>
                <w:tcW w:w="3403" w:type="dxa"/>
                <w:vAlign w:val="center"/>
                <w:hideMark/>
              </w:tcPr>
              <w:p w:rsidRPr="005A796E" w:rsidR="005E3BD6" w:rsidP="00B4771C" w:rsidRDefault="005E3BD6" w14:paraId="2A5D4CCB" w14:textId="77777777">
                <w:pPr>
                  <w:jc w:val="center"/>
                  <w:rPr>
                    <w:rFonts w:ascii="Nunito Sans" w:hAnsi="Nunito Sans" w:eastAsia="Arial" w:cs="Calibri"/>
                    <w:sz w:val="18"/>
                    <w:szCs w:val="18"/>
                  </w:rPr>
                </w:pPr>
                <w:r w:rsidRPr="005A796E">
                  <w:rPr>
                    <w:rFonts w:ascii="Nunito Sans" w:hAnsi="Nunito Sans" w:eastAsia="Arial" w:cs="Calibri"/>
                    <w:sz w:val="18"/>
                    <w:szCs w:val="18"/>
                  </w:rPr>
                  <w:t>Automatización desigual</w:t>
                </w:r>
              </w:p>
            </w:tc>
          </w:tr>
          <w:tr w:rsidRPr="005A796E" w:rsidR="005E3BD6" w:rsidTr="00B4771C" w14:paraId="725C2058" w14:textId="77777777">
            <w:trPr>
              <w:trHeight w:val="421"/>
              <w:jc w:val="center"/>
            </w:trPr>
            <w:tc>
              <w:tcPr>
                <w:tcW w:w="2932" w:type="dxa"/>
                <w:vAlign w:val="center"/>
                <w:hideMark/>
              </w:tcPr>
              <w:p w:rsidRPr="005A796E" w:rsidR="005E3BD6" w:rsidP="00B4771C" w:rsidRDefault="005E3BD6" w14:paraId="3B1D6FB4" w14:textId="77777777">
                <w:pPr>
                  <w:jc w:val="center"/>
                  <w:rPr>
                    <w:rFonts w:ascii="Nunito Sans" w:hAnsi="Nunito Sans" w:eastAsia="Arial" w:cs="Calibri"/>
                    <w:sz w:val="18"/>
                    <w:szCs w:val="18"/>
                  </w:rPr>
                </w:pPr>
                <w:r w:rsidRPr="005A796E">
                  <w:rPr>
                    <w:rFonts w:ascii="Nunito Sans" w:hAnsi="Nunito Sans" w:eastAsia="Arial" w:cs="Calibri"/>
                    <w:sz w:val="18"/>
                    <w:szCs w:val="18"/>
                  </w:rPr>
                  <w:t>A.13 Comunicaciones</w:t>
                </w:r>
              </w:p>
            </w:tc>
            <w:tc>
              <w:tcPr>
                <w:tcW w:w="1920" w:type="dxa"/>
                <w:vAlign w:val="center"/>
                <w:hideMark/>
              </w:tcPr>
              <w:p w:rsidRPr="005A796E" w:rsidR="005E3BD6" w:rsidP="00B4771C" w:rsidRDefault="005E3BD6" w14:paraId="7353263A" w14:textId="77777777">
                <w:pPr>
                  <w:jc w:val="center"/>
                  <w:rPr>
                    <w:rFonts w:ascii="Nunito Sans" w:hAnsi="Nunito Sans" w:eastAsia="Arial" w:cs="Calibri"/>
                    <w:sz w:val="18"/>
                    <w:szCs w:val="18"/>
                  </w:rPr>
                </w:pPr>
                <w:r w:rsidRPr="005A796E">
                  <w:rPr>
                    <w:rFonts w:ascii="Nunito Sans" w:hAnsi="Nunito Sans" w:eastAsia="Arial" w:cs="Calibri"/>
                    <w:sz w:val="18"/>
                    <w:szCs w:val="18"/>
                  </w:rPr>
                  <w:t>Fuerte</w:t>
                </w:r>
              </w:p>
            </w:tc>
            <w:tc>
              <w:tcPr>
                <w:tcW w:w="3403" w:type="dxa"/>
                <w:vAlign w:val="center"/>
                <w:hideMark/>
              </w:tcPr>
              <w:p w:rsidRPr="005A796E" w:rsidR="005E3BD6" w:rsidP="00B4771C" w:rsidRDefault="005E3BD6" w14:paraId="57EE771B" w14:textId="77777777">
                <w:pPr>
                  <w:jc w:val="center"/>
                  <w:rPr>
                    <w:rFonts w:ascii="Nunito Sans" w:hAnsi="Nunito Sans" w:eastAsia="Arial" w:cs="Calibri"/>
                    <w:sz w:val="18"/>
                    <w:szCs w:val="18"/>
                  </w:rPr>
                </w:pPr>
                <w:r w:rsidRPr="005A796E">
                  <w:rPr>
                    <w:rFonts w:ascii="Nunito Sans" w:hAnsi="Nunito Sans" w:eastAsia="Arial" w:cs="Calibri"/>
                    <w:sz w:val="18"/>
                    <w:szCs w:val="18"/>
                  </w:rPr>
                  <w:t>Estable y protegido</w:t>
                </w:r>
              </w:p>
            </w:tc>
          </w:tr>
          <w:tr w:rsidRPr="005A796E" w:rsidR="005E3BD6" w:rsidTr="00B4771C" w14:paraId="48773687" w14:textId="77777777">
            <w:trPr>
              <w:trHeight w:val="421"/>
              <w:jc w:val="center"/>
            </w:trPr>
            <w:tc>
              <w:tcPr>
                <w:tcW w:w="2932" w:type="dxa"/>
                <w:vAlign w:val="center"/>
                <w:hideMark/>
              </w:tcPr>
              <w:p w:rsidRPr="005A796E" w:rsidR="005E3BD6" w:rsidP="00B4771C" w:rsidRDefault="005E3BD6" w14:paraId="5351D27E" w14:textId="77777777">
                <w:pPr>
                  <w:jc w:val="center"/>
                  <w:rPr>
                    <w:rFonts w:ascii="Nunito Sans" w:hAnsi="Nunito Sans" w:eastAsia="Arial" w:cs="Calibri"/>
                    <w:sz w:val="18"/>
                    <w:szCs w:val="18"/>
                  </w:rPr>
                </w:pPr>
                <w:r w:rsidRPr="005A796E">
                  <w:rPr>
                    <w:rFonts w:ascii="Nunito Sans" w:hAnsi="Nunito Sans" w:eastAsia="Arial" w:cs="Calibri"/>
                    <w:sz w:val="18"/>
                    <w:szCs w:val="18"/>
                  </w:rPr>
                  <w:t>A.14 Desarrollo Seguro</w:t>
                </w:r>
              </w:p>
            </w:tc>
            <w:tc>
              <w:tcPr>
                <w:tcW w:w="1920" w:type="dxa"/>
                <w:vAlign w:val="center"/>
                <w:hideMark/>
              </w:tcPr>
              <w:p w:rsidRPr="005A796E" w:rsidR="005E3BD6" w:rsidP="00B4771C" w:rsidRDefault="005E3BD6" w14:paraId="050515CD" w14:textId="77777777">
                <w:pPr>
                  <w:jc w:val="center"/>
                  <w:rPr>
                    <w:rFonts w:ascii="Nunito Sans" w:hAnsi="Nunito Sans" w:eastAsia="Arial" w:cs="Calibri"/>
                    <w:sz w:val="18"/>
                    <w:szCs w:val="18"/>
                  </w:rPr>
                </w:pPr>
                <w:r w:rsidRPr="005A796E">
                  <w:rPr>
                    <w:rFonts w:ascii="Nunito Sans" w:hAnsi="Nunito Sans" w:eastAsia="Arial" w:cs="Calibri"/>
                    <w:sz w:val="18"/>
                    <w:szCs w:val="18"/>
                  </w:rPr>
                  <w:t>Parcial</w:t>
                </w:r>
              </w:p>
            </w:tc>
            <w:tc>
              <w:tcPr>
                <w:tcW w:w="3403" w:type="dxa"/>
                <w:vAlign w:val="center"/>
                <w:hideMark/>
              </w:tcPr>
              <w:p w:rsidRPr="005A796E" w:rsidR="005E3BD6" w:rsidP="00B4771C" w:rsidRDefault="005E3BD6" w14:paraId="2F220DC6" w14:textId="77777777">
                <w:pPr>
                  <w:jc w:val="center"/>
                  <w:rPr>
                    <w:rFonts w:ascii="Nunito Sans" w:hAnsi="Nunito Sans" w:eastAsia="Arial" w:cs="Calibri"/>
                    <w:sz w:val="18"/>
                    <w:szCs w:val="18"/>
                  </w:rPr>
                </w:pPr>
                <w:r w:rsidRPr="005A796E">
                  <w:rPr>
                    <w:rFonts w:ascii="Nunito Sans" w:hAnsi="Nunito Sans" w:eastAsia="Arial" w:cs="Calibri"/>
                    <w:sz w:val="18"/>
                    <w:szCs w:val="18"/>
                  </w:rPr>
                  <w:t>DevSecOps no homogéneo</w:t>
                </w:r>
              </w:p>
            </w:tc>
          </w:tr>
          <w:tr w:rsidRPr="005A796E" w:rsidR="005E3BD6" w:rsidTr="00B4771C" w14:paraId="1DF345F1" w14:textId="77777777">
            <w:trPr>
              <w:trHeight w:val="421"/>
              <w:jc w:val="center"/>
            </w:trPr>
            <w:tc>
              <w:tcPr>
                <w:tcW w:w="2932" w:type="dxa"/>
                <w:vAlign w:val="center"/>
                <w:hideMark/>
              </w:tcPr>
              <w:p w:rsidRPr="005A796E" w:rsidR="005E3BD6" w:rsidP="00B4771C" w:rsidRDefault="005E3BD6" w14:paraId="2073AB77" w14:textId="77777777">
                <w:pPr>
                  <w:jc w:val="center"/>
                  <w:rPr>
                    <w:rFonts w:ascii="Nunito Sans" w:hAnsi="Nunito Sans" w:eastAsia="Arial" w:cs="Calibri"/>
                    <w:sz w:val="18"/>
                    <w:szCs w:val="18"/>
                  </w:rPr>
                </w:pPr>
                <w:r w:rsidRPr="005A796E">
                  <w:rPr>
                    <w:rFonts w:ascii="Nunito Sans" w:hAnsi="Nunito Sans" w:eastAsia="Arial" w:cs="Calibri"/>
                    <w:sz w:val="18"/>
                    <w:szCs w:val="18"/>
                  </w:rPr>
                  <w:t>A.15 Proveedores</w:t>
                </w:r>
              </w:p>
            </w:tc>
            <w:tc>
              <w:tcPr>
                <w:tcW w:w="1920" w:type="dxa"/>
                <w:vAlign w:val="center"/>
                <w:hideMark/>
              </w:tcPr>
              <w:p w:rsidRPr="005A796E" w:rsidR="005E3BD6" w:rsidP="00B4771C" w:rsidRDefault="005E3BD6" w14:paraId="1085C694" w14:textId="77777777">
                <w:pPr>
                  <w:jc w:val="center"/>
                  <w:rPr>
                    <w:rFonts w:ascii="Nunito Sans" w:hAnsi="Nunito Sans" w:eastAsia="Arial" w:cs="Calibri"/>
                    <w:sz w:val="18"/>
                    <w:szCs w:val="18"/>
                  </w:rPr>
                </w:pPr>
                <w:r w:rsidRPr="005A796E">
                  <w:rPr>
                    <w:rFonts w:ascii="Nunito Sans" w:hAnsi="Nunito Sans" w:eastAsia="Arial" w:cs="Calibri"/>
                    <w:sz w:val="18"/>
                    <w:szCs w:val="18"/>
                  </w:rPr>
                  <w:t>Parcial</w:t>
                </w:r>
              </w:p>
            </w:tc>
            <w:tc>
              <w:tcPr>
                <w:tcW w:w="3403" w:type="dxa"/>
                <w:vAlign w:val="center"/>
                <w:hideMark/>
              </w:tcPr>
              <w:p w:rsidRPr="005A796E" w:rsidR="005E3BD6" w:rsidP="00B4771C" w:rsidRDefault="005E3BD6" w14:paraId="771FE724" w14:textId="77777777">
                <w:pPr>
                  <w:jc w:val="center"/>
                  <w:rPr>
                    <w:rFonts w:ascii="Nunito Sans" w:hAnsi="Nunito Sans" w:eastAsia="Arial" w:cs="Calibri"/>
                    <w:sz w:val="18"/>
                    <w:szCs w:val="18"/>
                  </w:rPr>
                </w:pPr>
                <w:r w:rsidRPr="005A796E">
                  <w:rPr>
                    <w:rFonts w:ascii="Nunito Sans" w:hAnsi="Nunito Sans" w:eastAsia="Arial" w:cs="Calibri"/>
                    <w:sz w:val="18"/>
                    <w:szCs w:val="18"/>
                  </w:rPr>
                  <w:t>Dependencia no auditada sectorialmente</w:t>
                </w:r>
              </w:p>
            </w:tc>
          </w:tr>
          <w:tr w:rsidRPr="005A796E" w:rsidR="005E3BD6" w:rsidTr="00B4771C" w14:paraId="56DE08C2" w14:textId="77777777">
            <w:trPr>
              <w:trHeight w:val="421"/>
              <w:jc w:val="center"/>
            </w:trPr>
            <w:tc>
              <w:tcPr>
                <w:tcW w:w="2932" w:type="dxa"/>
                <w:vAlign w:val="center"/>
                <w:hideMark/>
              </w:tcPr>
              <w:p w:rsidRPr="005A796E" w:rsidR="005E3BD6" w:rsidP="00B4771C" w:rsidRDefault="005E3BD6" w14:paraId="18CEFDC1" w14:textId="77777777">
                <w:pPr>
                  <w:jc w:val="center"/>
                  <w:rPr>
                    <w:rFonts w:ascii="Nunito Sans" w:hAnsi="Nunito Sans" w:eastAsia="Arial" w:cs="Calibri"/>
                    <w:sz w:val="18"/>
                    <w:szCs w:val="18"/>
                  </w:rPr>
                </w:pPr>
                <w:r w:rsidRPr="005A796E">
                  <w:rPr>
                    <w:rFonts w:ascii="Nunito Sans" w:hAnsi="Nunito Sans" w:eastAsia="Arial" w:cs="Calibri"/>
                    <w:sz w:val="18"/>
                    <w:szCs w:val="18"/>
                  </w:rPr>
                  <w:t>A.16 Gestión de Incidentes</w:t>
                </w:r>
              </w:p>
            </w:tc>
            <w:tc>
              <w:tcPr>
                <w:tcW w:w="1920" w:type="dxa"/>
                <w:vAlign w:val="center"/>
                <w:hideMark/>
              </w:tcPr>
              <w:p w:rsidRPr="005A796E" w:rsidR="005E3BD6" w:rsidP="00B4771C" w:rsidRDefault="005E3BD6" w14:paraId="57E9885D" w14:textId="77777777">
                <w:pPr>
                  <w:jc w:val="center"/>
                  <w:rPr>
                    <w:rFonts w:ascii="Nunito Sans" w:hAnsi="Nunito Sans" w:eastAsia="Arial" w:cs="Calibri"/>
                    <w:sz w:val="18"/>
                    <w:szCs w:val="18"/>
                  </w:rPr>
                </w:pPr>
                <w:r w:rsidRPr="005A796E">
                  <w:rPr>
                    <w:rFonts w:ascii="Nunito Sans" w:hAnsi="Nunito Sans" w:eastAsia="Arial" w:cs="Calibri"/>
                    <w:sz w:val="18"/>
                    <w:szCs w:val="18"/>
                  </w:rPr>
                  <w:t>Débil</w:t>
                </w:r>
              </w:p>
            </w:tc>
            <w:tc>
              <w:tcPr>
                <w:tcW w:w="3403" w:type="dxa"/>
                <w:vAlign w:val="center"/>
                <w:hideMark/>
              </w:tcPr>
              <w:p w:rsidRPr="005A796E" w:rsidR="005E3BD6" w:rsidP="00B4771C" w:rsidRDefault="005E3BD6" w14:paraId="35213AEB" w14:textId="77777777">
                <w:pPr>
                  <w:jc w:val="center"/>
                  <w:rPr>
                    <w:rFonts w:ascii="Nunito Sans" w:hAnsi="Nunito Sans" w:eastAsia="Arial" w:cs="Calibri"/>
                    <w:sz w:val="18"/>
                    <w:szCs w:val="18"/>
                  </w:rPr>
                </w:pPr>
                <w:r w:rsidRPr="005A796E">
                  <w:rPr>
                    <w:rFonts w:ascii="Nunito Sans" w:hAnsi="Nunito Sans" w:eastAsia="Arial" w:cs="Calibri"/>
                    <w:sz w:val="18"/>
                    <w:szCs w:val="18"/>
                  </w:rPr>
                  <w:t>Reactiva sin CSIRT</w:t>
                </w:r>
              </w:p>
            </w:tc>
          </w:tr>
          <w:tr w:rsidRPr="005A796E" w:rsidR="005E3BD6" w:rsidTr="00B4771C" w14:paraId="59D0CE87" w14:textId="77777777">
            <w:trPr>
              <w:trHeight w:val="421"/>
              <w:jc w:val="center"/>
            </w:trPr>
            <w:tc>
              <w:tcPr>
                <w:tcW w:w="2932" w:type="dxa"/>
                <w:vAlign w:val="center"/>
                <w:hideMark/>
              </w:tcPr>
              <w:p w:rsidRPr="005A796E" w:rsidR="005E3BD6" w:rsidP="00B4771C" w:rsidRDefault="005E3BD6" w14:paraId="1F02EDF2" w14:textId="77777777">
                <w:pPr>
                  <w:jc w:val="center"/>
                  <w:rPr>
                    <w:rFonts w:ascii="Nunito Sans" w:hAnsi="Nunito Sans" w:eastAsia="Arial" w:cs="Calibri"/>
                    <w:sz w:val="18"/>
                    <w:szCs w:val="18"/>
                  </w:rPr>
                </w:pPr>
                <w:r w:rsidRPr="005A796E">
                  <w:rPr>
                    <w:rFonts w:ascii="Nunito Sans" w:hAnsi="Nunito Sans" w:eastAsia="Arial" w:cs="Calibri"/>
                    <w:sz w:val="18"/>
                    <w:szCs w:val="18"/>
                  </w:rPr>
                  <w:t>A.17 Continuidad</w:t>
                </w:r>
              </w:p>
            </w:tc>
            <w:tc>
              <w:tcPr>
                <w:tcW w:w="1920" w:type="dxa"/>
                <w:vAlign w:val="center"/>
                <w:hideMark/>
              </w:tcPr>
              <w:p w:rsidRPr="005A796E" w:rsidR="005E3BD6" w:rsidP="00B4771C" w:rsidRDefault="005E3BD6" w14:paraId="4E6F0CDE" w14:textId="77777777">
                <w:pPr>
                  <w:jc w:val="center"/>
                  <w:rPr>
                    <w:rFonts w:ascii="Nunito Sans" w:hAnsi="Nunito Sans" w:eastAsia="Arial" w:cs="Calibri"/>
                    <w:sz w:val="18"/>
                    <w:szCs w:val="18"/>
                  </w:rPr>
                </w:pPr>
                <w:r w:rsidRPr="005A796E">
                  <w:rPr>
                    <w:rFonts w:ascii="Nunito Sans" w:hAnsi="Nunito Sans" w:eastAsia="Arial" w:cs="Calibri"/>
                    <w:sz w:val="18"/>
                    <w:szCs w:val="18"/>
                  </w:rPr>
                  <w:t>Débil</w:t>
                </w:r>
              </w:p>
            </w:tc>
            <w:tc>
              <w:tcPr>
                <w:tcW w:w="3403" w:type="dxa"/>
                <w:vAlign w:val="center"/>
                <w:hideMark/>
              </w:tcPr>
              <w:p w:rsidRPr="005A796E" w:rsidR="005E3BD6" w:rsidP="00B4771C" w:rsidRDefault="005E3BD6" w14:paraId="154D8415" w14:textId="77777777">
                <w:pPr>
                  <w:jc w:val="center"/>
                  <w:rPr>
                    <w:rFonts w:ascii="Nunito Sans" w:hAnsi="Nunito Sans" w:eastAsia="Arial" w:cs="Calibri"/>
                    <w:sz w:val="18"/>
                    <w:szCs w:val="18"/>
                  </w:rPr>
                </w:pPr>
                <w:r w:rsidRPr="005A796E">
                  <w:rPr>
                    <w:rFonts w:ascii="Nunito Sans" w:hAnsi="Nunito Sans" w:eastAsia="Arial" w:cs="Calibri"/>
                    <w:sz w:val="18"/>
                    <w:szCs w:val="18"/>
                  </w:rPr>
                  <w:t>Pocas pruebas reales</w:t>
                </w:r>
              </w:p>
            </w:tc>
          </w:tr>
          <w:tr w:rsidRPr="005A796E" w:rsidR="005E3BD6" w:rsidTr="00B4771C" w14:paraId="2D219AC1" w14:textId="77777777">
            <w:trPr>
              <w:trHeight w:val="421"/>
              <w:jc w:val="center"/>
            </w:trPr>
            <w:tc>
              <w:tcPr>
                <w:tcW w:w="2932" w:type="dxa"/>
                <w:vAlign w:val="center"/>
                <w:hideMark/>
              </w:tcPr>
              <w:p w:rsidRPr="005A796E" w:rsidR="005E3BD6" w:rsidP="00B4771C" w:rsidRDefault="005E3BD6" w14:paraId="3A8FF406" w14:textId="77777777">
                <w:pPr>
                  <w:jc w:val="center"/>
                  <w:rPr>
                    <w:rFonts w:ascii="Nunito Sans" w:hAnsi="Nunito Sans" w:eastAsia="Arial" w:cs="Calibri"/>
                    <w:sz w:val="18"/>
                    <w:szCs w:val="18"/>
                  </w:rPr>
                </w:pPr>
                <w:r w:rsidRPr="005A796E">
                  <w:rPr>
                    <w:rFonts w:ascii="Nunito Sans" w:hAnsi="Nunito Sans" w:eastAsia="Arial" w:cs="Calibri"/>
                    <w:sz w:val="18"/>
                    <w:szCs w:val="18"/>
                  </w:rPr>
                  <w:t>A.18 Cumplimiento</w:t>
                </w:r>
              </w:p>
            </w:tc>
            <w:tc>
              <w:tcPr>
                <w:tcW w:w="1920" w:type="dxa"/>
                <w:vAlign w:val="center"/>
                <w:hideMark/>
              </w:tcPr>
              <w:p w:rsidRPr="005A796E" w:rsidR="005E3BD6" w:rsidP="00B4771C" w:rsidRDefault="005E3BD6" w14:paraId="3F9161FF" w14:textId="77777777">
                <w:pPr>
                  <w:jc w:val="center"/>
                  <w:rPr>
                    <w:rFonts w:ascii="Nunito Sans" w:hAnsi="Nunito Sans" w:eastAsia="Arial" w:cs="Calibri"/>
                    <w:sz w:val="18"/>
                    <w:szCs w:val="18"/>
                  </w:rPr>
                </w:pPr>
                <w:r w:rsidRPr="005A796E">
                  <w:rPr>
                    <w:rFonts w:ascii="Nunito Sans" w:hAnsi="Nunito Sans" w:eastAsia="Arial" w:cs="Calibri"/>
                    <w:sz w:val="18"/>
                    <w:szCs w:val="18"/>
                  </w:rPr>
                  <w:t>Intermedio</w:t>
                </w:r>
              </w:p>
            </w:tc>
            <w:tc>
              <w:tcPr>
                <w:tcW w:w="3403" w:type="dxa"/>
                <w:vAlign w:val="center"/>
                <w:hideMark/>
              </w:tcPr>
              <w:p w:rsidRPr="005A796E" w:rsidR="005E3BD6" w:rsidP="00B4771C" w:rsidRDefault="005E3BD6" w14:paraId="476948FB" w14:textId="77777777">
                <w:pPr>
                  <w:jc w:val="center"/>
                  <w:rPr>
                    <w:rFonts w:ascii="Nunito Sans" w:hAnsi="Nunito Sans" w:eastAsia="Arial" w:cs="Calibri"/>
                    <w:sz w:val="18"/>
                    <w:szCs w:val="18"/>
                  </w:rPr>
                </w:pPr>
                <w:r w:rsidRPr="005A796E">
                  <w:rPr>
                    <w:rFonts w:ascii="Nunito Sans" w:hAnsi="Nunito Sans" w:eastAsia="Arial" w:cs="Calibri"/>
                    <w:sz w:val="18"/>
                    <w:szCs w:val="18"/>
                  </w:rPr>
                  <w:t>Protección de datos variable</w:t>
                </w:r>
              </w:p>
            </w:tc>
          </w:tr>
        </w:tbl>
        <w:p w:rsidRPr="00EF5DE4" w:rsidR="005E3BD6" w:rsidP="005E3BD6" w:rsidRDefault="005E3BD6" w14:paraId="7D3AA23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4D6E42D1" w14:textId="77777777">
          <w:pPr>
            <w:rPr>
              <w:rFonts w:ascii="Nunito Sans" w:hAnsi="Nunito Sans" w:cs="Calibri" w:eastAsiaTheme="minorEastAsia"/>
              <w:sz w:val="22"/>
              <w:szCs w:val="22"/>
            </w:rPr>
          </w:pPr>
        </w:p>
        <w:p w:rsidRPr="00CA4194" w:rsidR="005E3BD6" w:rsidP="005E3BD6" w:rsidRDefault="005E3BD6" w14:paraId="1A062B2A" w14:textId="77777777">
          <w:pPr>
            <w:jc w:val="both"/>
            <w:rPr>
              <w:rFonts w:ascii="Nunito Sans" w:hAnsi="Nunito Sans" w:eastAsia="Arial" w:cs="Calibri"/>
              <w:sz w:val="22"/>
              <w:szCs w:val="22"/>
            </w:rPr>
          </w:pPr>
          <w:r w:rsidRPr="00CA4194">
            <w:rPr>
              <w:rFonts w:ascii="Nunito Sans" w:hAnsi="Nunito Sans" w:eastAsia="Arial" w:cs="Calibri"/>
              <w:sz w:val="22"/>
              <w:szCs w:val="22"/>
            </w:rPr>
            <w:t>El sector protege adecuadamente su infraestructura y comunicaciones, pero la seguridad operacional estratégica requiere fortalecimiento para soportar su criticidad nacional.</w:t>
          </w:r>
        </w:p>
        <w:p w:rsidRPr="00CA4194" w:rsidR="005E3BD6" w:rsidP="005E3BD6" w:rsidRDefault="005E3BD6" w14:paraId="79B2988F" w14:textId="77777777">
          <w:pPr>
            <w:rPr>
              <w:rFonts w:ascii="Nunito Sans" w:hAnsi="Nunito Sans" w:cs="Calibri" w:eastAsiaTheme="minorEastAsia"/>
              <w:sz w:val="22"/>
              <w:szCs w:val="22"/>
            </w:rPr>
          </w:pPr>
        </w:p>
        <w:p w:rsidR="005E3BD6" w:rsidRDefault="005E3BD6" w14:paraId="5393AFE4" w14:textId="2B417EE4">
          <w:pPr>
            <w:pStyle w:val="Ttulo3"/>
            <w:numPr>
              <w:ilvl w:val="2"/>
              <w:numId w:val="35"/>
            </w:numPr>
            <w:rPr>
              <w:rFonts w:cs="Calibri" w:eastAsiaTheme="minorEastAsia"/>
            </w:rPr>
          </w:pPr>
          <w:bookmarkStart w:name="_Toc234234485" w:id="243"/>
          <w:r w:rsidRPr="008D6A79">
            <w:rPr>
              <w:rFonts w:cs="Calibri" w:eastAsiaTheme="minorEastAsia"/>
            </w:rPr>
            <w:t>Mecanismos de Respuesta a Incidentes (CSIRT) y Capacidad Forense</w:t>
          </w:r>
          <w:bookmarkEnd w:id="243"/>
        </w:p>
        <w:p w:rsidRPr="00DF354F" w:rsidR="00DF354F" w:rsidP="00DF354F" w:rsidRDefault="00DF354F" w14:paraId="337CF52D" w14:textId="77777777">
          <w:pPr>
            <w:rPr>
              <w:lang w:val="es-ES"/>
            </w:rPr>
          </w:pPr>
        </w:p>
        <w:p w:rsidR="15BA1A8E" w:rsidP="4E60D266" w:rsidRDefault="15BA1A8E" w14:paraId="125E246D" w14:textId="565ECE69">
          <w:pPr>
            <w:jc w:val="both"/>
          </w:pPr>
          <w:r w:rsidRPr="4E60D266">
            <w:rPr>
              <w:rFonts w:ascii="Nunito Sans" w:hAnsi="Nunito Sans" w:eastAsia="Nunito Sans" w:cs="Nunito Sans"/>
              <w:sz w:val="22"/>
              <w:szCs w:val="22"/>
            </w:rPr>
            <w:t>Aunque existe tratamiento de incidentes documentado en cada entidad, la respuesta es aislada, con capacidades forenses limitadas y alta dependencia de proveedores TIC para la recolección de evidencia, el análisis forense y las actividades de contención. Actualmente no existe un CSIRT sectorial especializado para el sector minero-energético, lo cual afecta la capacidad de anticipación, coordinación, contención y recuperación ante incidentes que puedan impactar de manera transversal a las entidades del sector.</w:t>
          </w:r>
        </w:p>
        <w:p w:rsidRPr="00CA4194" w:rsidR="005E3BD6" w:rsidP="005E3BD6" w:rsidRDefault="005E3BD6" w14:paraId="304A7227" w14:textId="77777777">
          <w:pPr>
            <w:jc w:val="both"/>
            <w:rPr>
              <w:rFonts w:ascii="Nunito Sans" w:hAnsi="Nunito Sans" w:eastAsia="Arial" w:cs="Calibri"/>
              <w:sz w:val="22"/>
              <w:szCs w:val="22"/>
            </w:rPr>
          </w:pPr>
        </w:p>
        <w:p w:rsidR="15BA1A8E" w:rsidP="4E60D266" w:rsidRDefault="15BA1A8E" w14:paraId="1E47D43E" w14:textId="4887DE55">
          <w:pPr>
            <w:jc w:val="both"/>
            <w:rPr>
              <w:rFonts w:ascii="Nunito Sans" w:hAnsi="Nunito Sans" w:eastAsia="Nunito Sans" w:cs="Nunito Sans"/>
              <w:sz w:val="22"/>
              <w:szCs w:val="22"/>
            </w:rPr>
          </w:pPr>
          <w:r w:rsidRPr="4E60D266">
            <w:rPr>
              <w:rFonts w:ascii="Nunito Sans" w:hAnsi="Nunito Sans" w:eastAsia="Nunito Sans" w:cs="Nunito Sans"/>
              <w:sz w:val="22"/>
              <w:szCs w:val="22"/>
            </w:rPr>
            <w:t>Si bien el país cuenta con capacidades nacionales de respuesta a incidentes de seguridad digital a través del CSIRT Gobierno, el alcance y volumen de entidades públicas que atiende este equipo hacen recomendable el fortalecimiento de capacidades especializadas para sectores estratégicos. En este contexto, la creación de un CSIRT sectorial permitiría desarrollar conocimiento específico sobre los riesgos, activos críticos, tecnologías operacionales y procesos misionales propios del sector minero-energético, complementando las capacidades nacionales existentes.</w:t>
          </w:r>
        </w:p>
        <w:p w:rsidR="00BE1E98" w:rsidP="4E60D266" w:rsidRDefault="00BE1E98" w14:paraId="7D148604" w14:textId="77777777">
          <w:pPr>
            <w:jc w:val="both"/>
          </w:pPr>
        </w:p>
        <w:p w:rsidR="15BA1A8E" w:rsidP="4E60D266" w:rsidRDefault="15BA1A8E" w14:paraId="2F22F7E2" w14:textId="5E7089CD">
          <w:pPr>
            <w:jc w:val="both"/>
          </w:pPr>
          <w:r w:rsidRPr="4E60D266">
            <w:rPr>
              <w:rFonts w:ascii="Nunito Sans" w:hAnsi="Nunito Sans" w:eastAsia="Nunito Sans" w:cs="Nunito Sans"/>
              <w:sz w:val="22"/>
              <w:szCs w:val="22"/>
            </w:rPr>
            <w:t>La ausencia de una coordinación sectorial limita la consolidación de capacidades conjuntas para la investigación, trazabilidad y gestión de incidentes multi-entidad, dificultando el intercambio oportuno de información, la generación de inteligencia de amenazas y el aprendizaje colectivo frente a eventos que puedan comprometer simultáneamente la seguridad de los servicios, infraestructuras y operaciones estratégicas del sector energético y minero.</w:t>
          </w:r>
        </w:p>
        <w:p w:rsidR="4E60D266" w:rsidP="4E60D266" w:rsidRDefault="4E60D266" w14:paraId="3C802662" w14:textId="5E209299">
          <w:pPr>
            <w:jc w:val="both"/>
            <w:rPr>
              <w:rFonts w:ascii="Nunito Sans" w:hAnsi="Nunito Sans" w:eastAsia="Arial" w:cs="Calibri"/>
              <w:sz w:val="22"/>
              <w:szCs w:val="22"/>
            </w:rPr>
          </w:pPr>
        </w:p>
        <w:p w:rsidRPr="00CA4194" w:rsidR="005E3BD6" w:rsidP="005E3BD6" w:rsidRDefault="005E3BD6" w14:paraId="251253B6" w14:textId="77777777">
          <w:pPr>
            <w:rPr>
              <w:rFonts w:ascii="Nunito Sans" w:hAnsi="Nunito Sans" w:cs="Calibri" w:eastAsiaTheme="minorEastAsia"/>
              <w:sz w:val="22"/>
              <w:szCs w:val="22"/>
            </w:rPr>
          </w:pPr>
        </w:p>
        <w:p w:rsidR="005E3BD6" w:rsidRDefault="005E3BD6" w14:paraId="4B223C51" w14:textId="4C4DBC23">
          <w:pPr>
            <w:pStyle w:val="Ttulo3"/>
            <w:numPr>
              <w:ilvl w:val="2"/>
              <w:numId w:val="35"/>
            </w:numPr>
            <w:rPr>
              <w:rFonts w:cs="Calibri" w:eastAsiaTheme="minorEastAsia"/>
            </w:rPr>
          </w:pPr>
          <w:bookmarkStart w:name="_Toc234234486" w:id="244"/>
          <w:r w:rsidRPr="008D6A79">
            <w:rPr>
              <w:rFonts w:cs="Calibri" w:eastAsiaTheme="minorEastAsia"/>
            </w:rPr>
            <w:t>Protección de Datos Personales (Ley 1581 de 2012) en el Sector</w:t>
          </w:r>
          <w:bookmarkEnd w:id="244"/>
        </w:p>
        <w:p w:rsidRPr="00DF354F" w:rsidR="00DF354F" w:rsidP="00DF354F" w:rsidRDefault="00DF354F" w14:paraId="50C2CF00" w14:textId="77777777">
          <w:pPr>
            <w:rPr>
              <w:lang w:val="es-ES"/>
            </w:rPr>
          </w:pPr>
        </w:p>
        <w:p w:rsidRPr="00CA4194" w:rsidR="005E3BD6" w:rsidP="005E3BD6" w:rsidRDefault="005E3BD6" w14:paraId="7B70C909" w14:textId="77777777">
          <w:pPr>
            <w:jc w:val="both"/>
            <w:rPr>
              <w:rFonts w:ascii="Nunito Sans" w:hAnsi="Nunito Sans" w:eastAsia="Arial" w:cs="Calibri"/>
              <w:sz w:val="22"/>
              <w:szCs w:val="22"/>
            </w:rPr>
          </w:pPr>
          <w:r w:rsidRPr="00CA4194">
            <w:rPr>
              <w:rFonts w:ascii="Nunito Sans" w:hAnsi="Nunito Sans" w:eastAsia="Arial" w:cs="Calibri"/>
              <w:sz w:val="22"/>
              <w:szCs w:val="22"/>
            </w:rPr>
            <w:t>El sector evidencia cumplimiento transversal en políticas, responsables designados y procedimientos de tratamiento de datos personales. No obstante, la protección técnica es desigual en controles de privacidad aplicados a datos sensibles, trazabilidad de accesos, prevención de fuga de información (DLP) y registro de incidentes en materia de protección de datos personales.</w:t>
          </w:r>
        </w:p>
        <w:p w:rsidR="005E3BD6" w:rsidP="005E3BD6" w:rsidRDefault="005E3BD6" w14:paraId="30DD67C4" w14:textId="77777777">
          <w:pPr>
            <w:rPr>
              <w:rFonts w:ascii="Nunito Sans" w:hAnsi="Nunito Sans" w:eastAsia="Arial" w:cs="Calibri"/>
              <w:b/>
              <w:color w:val="E1AF3B"/>
              <w:sz w:val="22"/>
              <w:szCs w:val="22"/>
            </w:rPr>
          </w:pPr>
        </w:p>
        <w:p w:rsidRPr="00EB43A6" w:rsidR="005E3BD6" w:rsidP="005E3BD6" w:rsidRDefault="00F2742B" w14:paraId="38E289AB" w14:textId="56A45010">
          <w:pPr>
            <w:ind w:left="360" w:hanging="360"/>
            <w:jc w:val="center"/>
            <w:rPr>
              <w:rFonts w:ascii="Nunito Sans" w:hAnsi="Nunito Sans" w:cs="Calibri"/>
              <w:b/>
              <w:bCs/>
              <w:sz w:val="18"/>
              <w:szCs w:val="18"/>
            </w:rPr>
          </w:pPr>
          <w:bookmarkStart w:name="_Toc220664198" w:id="245"/>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27</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FB698F" w:rsidR="005E3BD6">
            <w:rPr>
              <w:rFonts w:ascii="Nunito Sans" w:hAnsi="Nunito Sans" w:cs="Calibri"/>
              <w:b/>
              <w:bCs/>
              <w:sz w:val="18"/>
              <w:szCs w:val="18"/>
            </w:rPr>
            <w:t>Estado Sectorial de Protección de Datos Personales</w:t>
          </w:r>
          <w:bookmarkEnd w:id="245"/>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3852"/>
            <w:gridCol w:w="3453"/>
          </w:tblGrid>
          <w:tr w:rsidRPr="00B34900" w:rsidR="005E3BD6" w:rsidTr="00B4771C" w14:paraId="32E5C071" w14:textId="77777777">
            <w:trPr>
              <w:jc w:val="center"/>
            </w:trPr>
            <w:tc>
              <w:tcPr>
                <w:tcW w:w="0" w:type="auto"/>
                <w:shd w:val="clear" w:color="auto" w:fill="E1AF3B"/>
                <w:vAlign w:val="center"/>
                <w:hideMark/>
              </w:tcPr>
              <w:p w:rsidRPr="00B34900" w:rsidR="005E3BD6" w:rsidP="00B4771C" w:rsidRDefault="005E3BD6" w14:paraId="65C83930" w14:textId="77777777">
                <w:pPr>
                  <w:jc w:val="center"/>
                  <w:rPr>
                    <w:rFonts w:ascii="Nunito Sans" w:hAnsi="Nunito Sans" w:eastAsia="Arial" w:cs="Calibri"/>
                    <w:b/>
                    <w:bCs/>
                    <w:color w:val="FFFFFF" w:themeColor="background1"/>
                    <w:sz w:val="18"/>
                    <w:szCs w:val="18"/>
                  </w:rPr>
                </w:pPr>
                <w:r w:rsidRPr="00B34900">
                  <w:rPr>
                    <w:rFonts w:ascii="Nunito Sans" w:hAnsi="Nunito Sans" w:eastAsia="Arial" w:cs="Calibri"/>
                    <w:b/>
                    <w:bCs/>
                    <w:color w:val="FFFFFF" w:themeColor="background1"/>
                    <w:sz w:val="18"/>
                    <w:szCs w:val="18"/>
                  </w:rPr>
                  <w:t>Elemento Evaluado</w:t>
                </w:r>
              </w:p>
            </w:tc>
            <w:tc>
              <w:tcPr>
                <w:tcW w:w="0" w:type="auto"/>
                <w:shd w:val="clear" w:color="auto" w:fill="E1AF3B"/>
                <w:vAlign w:val="center"/>
                <w:hideMark/>
              </w:tcPr>
              <w:p w:rsidRPr="00B34900" w:rsidR="005E3BD6" w:rsidP="00B4771C" w:rsidRDefault="005E3BD6" w14:paraId="4D46DEFF" w14:textId="77777777">
                <w:pPr>
                  <w:jc w:val="center"/>
                  <w:rPr>
                    <w:rFonts w:ascii="Nunito Sans" w:hAnsi="Nunito Sans" w:eastAsia="Arial" w:cs="Calibri"/>
                    <w:b/>
                    <w:bCs/>
                    <w:color w:val="FFFFFF" w:themeColor="background1"/>
                    <w:sz w:val="18"/>
                    <w:szCs w:val="18"/>
                  </w:rPr>
                </w:pPr>
                <w:r w:rsidRPr="00B34900">
                  <w:rPr>
                    <w:rFonts w:ascii="Nunito Sans" w:hAnsi="Nunito Sans" w:eastAsia="Arial" w:cs="Calibri"/>
                    <w:b/>
                    <w:bCs/>
                    <w:color w:val="FFFFFF" w:themeColor="background1"/>
                    <w:sz w:val="18"/>
                    <w:szCs w:val="18"/>
                  </w:rPr>
                  <w:t>Estado Sectorial</w:t>
                </w:r>
              </w:p>
            </w:tc>
          </w:tr>
          <w:tr w:rsidRPr="00B34900" w:rsidR="005E3BD6" w:rsidTr="00ED5474" w14:paraId="206CC6F4" w14:textId="77777777">
            <w:trPr>
              <w:trHeight w:val="463"/>
              <w:jc w:val="center"/>
            </w:trPr>
            <w:tc>
              <w:tcPr>
                <w:tcW w:w="0" w:type="auto"/>
                <w:vAlign w:val="center"/>
                <w:hideMark/>
              </w:tcPr>
              <w:p w:rsidRPr="00B34900" w:rsidR="005E3BD6" w:rsidP="00B4771C" w:rsidRDefault="005E3BD6" w14:paraId="331486CB" w14:textId="77777777">
                <w:pPr>
                  <w:jc w:val="center"/>
                  <w:rPr>
                    <w:rFonts w:ascii="Nunito Sans" w:hAnsi="Nunito Sans" w:eastAsia="Arial" w:cs="Calibri"/>
                    <w:sz w:val="18"/>
                    <w:szCs w:val="18"/>
                  </w:rPr>
                </w:pPr>
                <w:r w:rsidRPr="00B34900">
                  <w:rPr>
                    <w:rFonts w:ascii="Nunito Sans" w:hAnsi="Nunito Sans" w:eastAsia="Arial" w:cs="Calibri"/>
                    <w:sz w:val="18"/>
                    <w:szCs w:val="18"/>
                  </w:rPr>
                  <w:t>Políticas de privacidad</w:t>
                </w:r>
              </w:p>
            </w:tc>
            <w:tc>
              <w:tcPr>
                <w:tcW w:w="0" w:type="auto"/>
                <w:vAlign w:val="center"/>
                <w:hideMark/>
              </w:tcPr>
              <w:p w:rsidRPr="00B34900" w:rsidR="005E3BD6" w:rsidP="00B4771C" w:rsidRDefault="005E3BD6" w14:paraId="3583E81F" w14:textId="77777777">
                <w:pPr>
                  <w:jc w:val="center"/>
                  <w:rPr>
                    <w:rFonts w:ascii="Nunito Sans" w:hAnsi="Nunito Sans" w:eastAsia="Arial" w:cs="Calibri"/>
                    <w:sz w:val="18"/>
                    <w:szCs w:val="18"/>
                  </w:rPr>
                </w:pPr>
                <w:r w:rsidRPr="00B34900">
                  <w:rPr>
                    <w:rFonts w:ascii="Nunito Sans" w:hAnsi="Nunito Sans" w:eastAsia="Arial" w:cs="Calibri"/>
                    <w:sz w:val="18"/>
                    <w:szCs w:val="18"/>
                  </w:rPr>
                  <w:t>100% del sector</w:t>
                </w:r>
              </w:p>
            </w:tc>
          </w:tr>
          <w:tr w:rsidRPr="00B34900" w:rsidR="005E3BD6" w:rsidTr="00ED5474" w14:paraId="3FAECEB4" w14:textId="77777777">
            <w:trPr>
              <w:trHeight w:val="425"/>
              <w:jc w:val="center"/>
            </w:trPr>
            <w:tc>
              <w:tcPr>
                <w:tcW w:w="0" w:type="auto"/>
                <w:vAlign w:val="center"/>
                <w:hideMark/>
              </w:tcPr>
              <w:p w:rsidRPr="00B34900" w:rsidR="005E3BD6" w:rsidP="00B4771C" w:rsidRDefault="005E3BD6" w14:paraId="08194261" w14:textId="77777777">
                <w:pPr>
                  <w:jc w:val="center"/>
                  <w:rPr>
                    <w:rFonts w:ascii="Nunito Sans" w:hAnsi="Nunito Sans" w:eastAsia="Arial" w:cs="Calibri"/>
                    <w:sz w:val="18"/>
                    <w:szCs w:val="18"/>
                  </w:rPr>
                </w:pPr>
                <w:r w:rsidRPr="00B34900">
                  <w:rPr>
                    <w:rFonts w:ascii="Nunito Sans" w:hAnsi="Nunito Sans" w:eastAsia="Arial" w:cs="Calibri"/>
                    <w:sz w:val="18"/>
                    <w:szCs w:val="18"/>
                  </w:rPr>
                  <w:t>Oficial o responsable designado</w:t>
                </w:r>
              </w:p>
            </w:tc>
            <w:tc>
              <w:tcPr>
                <w:tcW w:w="0" w:type="auto"/>
                <w:vAlign w:val="center"/>
                <w:hideMark/>
              </w:tcPr>
              <w:p w:rsidRPr="00B34900" w:rsidR="005E3BD6" w:rsidP="00B4771C" w:rsidRDefault="005E3BD6" w14:paraId="4C143E82" w14:textId="77777777">
                <w:pPr>
                  <w:jc w:val="center"/>
                  <w:rPr>
                    <w:rFonts w:ascii="Nunito Sans" w:hAnsi="Nunito Sans" w:eastAsia="Arial" w:cs="Calibri"/>
                    <w:sz w:val="18"/>
                    <w:szCs w:val="18"/>
                  </w:rPr>
                </w:pPr>
                <w:r w:rsidRPr="00B34900">
                  <w:rPr>
                    <w:rFonts w:ascii="Nunito Sans" w:hAnsi="Nunito Sans" w:eastAsia="Arial" w:cs="Calibri"/>
                    <w:sz w:val="18"/>
                    <w:szCs w:val="18"/>
                  </w:rPr>
                  <w:t>Sí (en todas las entidades)</w:t>
                </w:r>
              </w:p>
            </w:tc>
          </w:tr>
          <w:tr w:rsidRPr="00B34900" w:rsidR="005E3BD6" w:rsidTr="00ED5474" w14:paraId="6A901979" w14:textId="77777777">
            <w:trPr>
              <w:trHeight w:val="405"/>
              <w:jc w:val="center"/>
            </w:trPr>
            <w:tc>
              <w:tcPr>
                <w:tcW w:w="0" w:type="auto"/>
                <w:vAlign w:val="center"/>
                <w:hideMark/>
              </w:tcPr>
              <w:p w:rsidRPr="00B34900" w:rsidR="005E3BD6" w:rsidP="00B4771C" w:rsidRDefault="005E3BD6" w14:paraId="303CA230" w14:textId="77777777">
                <w:pPr>
                  <w:jc w:val="center"/>
                  <w:rPr>
                    <w:rFonts w:ascii="Nunito Sans" w:hAnsi="Nunito Sans" w:eastAsia="Arial" w:cs="Calibri"/>
                    <w:sz w:val="18"/>
                    <w:szCs w:val="18"/>
                  </w:rPr>
                </w:pPr>
                <w:r w:rsidRPr="00B34900">
                  <w:rPr>
                    <w:rFonts w:ascii="Nunito Sans" w:hAnsi="Nunito Sans" w:eastAsia="Arial" w:cs="Calibri"/>
                    <w:sz w:val="18"/>
                    <w:szCs w:val="18"/>
                  </w:rPr>
                  <w:t>Procedimientos de tratamiento y autorización</w:t>
                </w:r>
              </w:p>
            </w:tc>
            <w:tc>
              <w:tcPr>
                <w:tcW w:w="0" w:type="auto"/>
                <w:vAlign w:val="center"/>
                <w:hideMark/>
              </w:tcPr>
              <w:p w:rsidRPr="00B34900" w:rsidR="005E3BD6" w:rsidP="00B4771C" w:rsidRDefault="005E3BD6" w14:paraId="2126DA44" w14:textId="77777777">
                <w:pPr>
                  <w:jc w:val="center"/>
                  <w:rPr>
                    <w:rFonts w:ascii="Nunito Sans" w:hAnsi="Nunito Sans" w:eastAsia="Arial" w:cs="Calibri"/>
                    <w:sz w:val="18"/>
                    <w:szCs w:val="18"/>
                  </w:rPr>
                </w:pPr>
                <w:r w:rsidRPr="00B34900">
                  <w:rPr>
                    <w:rFonts w:ascii="Nunito Sans" w:hAnsi="Nunito Sans" w:eastAsia="Arial" w:cs="Calibri"/>
                    <w:sz w:val="18"/>
                    <w:szCs w:val="18"/>
                  </w:rPr>
                  <w:t>Sí (documentados y vigentes)</w:t>
                </w:r>
              </w:p>
            </w:tc>
          </w:tr>
          <w:tr w:rsidRPr="00B34900" w:rsidR="005E3BD6" w:rsidTr="00ED5474" w14:paraId="7D59636B" w14:textId="77777777">
            <w:trPr>
              <w:trHeight w:val="425"/>
              <w:jc w:val="center"/>
            </w:trPr>
            <w:tc>
              <w:tcPr>
                <w:tcW w:w="0" w:type="auto"/>
                <w:vAlign w:val="center"/>
                <w:hideMark/>
              </w:tcPr>
              <w:p w:rsidRPr="00B34900" w:rsidR="005E3BD6" w:rsidP="00B4771C" w:rsidRDefault="005E3BD6" w14:paraId="352E2EB2" w14:textId="77777777">
                <w:pPr>
                  <w:jc w:val="center"/>
                  <w:rPr>
                    <w:rFonts w:ascii="Nunito Sans" w:hAnsi="Nunito Sans" w:eastAsia="Arial" w:cs="Calibri"/>
                    <w:sz w:val="18"/>
                    <w:szCs w:val="18"/>
                  </w:rPr>
                </w:pPr>
                <w:r w:rsidRPr="00B34900">
                  <w:rPr>
                    <w:rFonts w:ascii="Nunito Sans" w:hAnsi="Nunito Sans" w:eastAsia="Arial" w:cs="Calibri"/>
                    <w:sz w:val="18"/>
                    <w:szCs w:val="18"/>
                  </w:rPr>
                  <w:t>Incidentes de datos personales</w:t>
                </w:r>
              </w:p>
            </w:tc>
            <w:tc>
              <w:tcPr>
                <w:tcW w:w="0" w:type="auto"/>
                <w:vAlign w:val="center"/>
                <w:hideMark/>
              </w:tcPr>
              <w:p w:rsidRPr="00B34900" w:rsidR="005E3BD6" w:rsidP="00B4771C" w:rsidRDefault="005E3BD6" w14:paraId="47C2202E" w14:textId="77777777">
                <w:pPr>
                  <w:jc w:val="center"/>
                  <w:rPr>
                    <w:rFonts w:ascii="Nunito Sans" w:hAnsi="Nunito Sans" w:eastAsia="Arial" w:cs="Calibri"/>
                    <w:sz w:val="18"/>
                    <w:szCs w:val="18"/>
                  </w:rPr>
                </w:pPr>
                <w:r w:rsidRPr="00B34900">
                  <w:rPr>
                    <w:rFonts w:ascii="Nunito Sans" w:hAnsi="Nunito Sans" w:eastAsia="Arial" w:cs="Calibri"/>
                    <w:sz w:val="18"/>
                    <w:szCs w:val="18"/>
                  </w:rPr>
                  <w:t>Pocos detectados y sin registro sectorial</w:t>
                </w:r>
              </w:p>
            </w:tc>
          </w:tr>
          <w:tr w:rsidRPr="00B34900" w:rsidR="005E3BD6" w:rsidTr="00ED5474" w14:paraId="7B647967" w14:textId="77777777">
            <w:trPr>
              <w:trHeight w:val="417"/>
              <w:jc w:val="center"/>
            </w:trPr>
            <w:tc>
              <w:tcPr>
                <w:tcW w:w="0" w:type="auto"/>
                <w:vAlign w:val="center"/>
                <w:hideMark/>
              </w:tcPr>
              <w:p w:rsidRPr="00B34900" w:rsidR="005E3BD6" w:rsidP="00B4771C" w:rsidRDefault="005E3BD6" w14:paraId="6947F07C" w14:textId="77777777">
                <w:pPr>
                  <w:jc w:val="center"/>
                  <w:rPr>
                    <w:rFonts w:ascii="Nunito Sans" w:hAnsi="Nunito Sans" w:eastAsia="Arial" w:cs="Calibri"/>
                    <w:sz w:val="18"/>
                    <w:szCs w:val="18"/>
                  </w:rPr>
                </w:pPr>
                <w:r w:rsidRPr="00B34900">
                  <w:rPr>
                    <w:rFonts w:ascii="Nunito Sans" w:hAnsi="Nunito Sans" w:eastAsia="Arial" w:cs="Calibri"/>
                    <w:sz w:val="18"/>
                    <w:szCs w:val="18"/>
                  </w:rPr>
                  <w:t>Clasificación de datos sensibles</w:t>
                </w:r>
              </w:p>
            </w:tc>
            <w:tc>
              <w:tcPr>
                <w:tcW w:w="0" w:type="auto"/>
                <w:vAlign w:val="center"/>
                <w:hideMark/>
              </w:tcPr>
              <w:p w:rsidRPr="00B34900" w:rsidR="005E3BD6" w:rsidP="00B4771C" w:rsidRDefault="005E3BD6" w14:paraId="07E1C58D" w14:textId="77777777">
                <w:pPr>
                  <w:jc w:val="center"/>
                  <w:rPr>
                    <w:rFonts w:ascii="Nunito Sans" w:hAnsi="Nunito Sans" w:eastAsia="Arial" w:cs="Calibri"/>
                    <w:sz w:val="18"/>
                    <w:szCs w:val="18"/>
                  </w:rPr>
                </w:pPr>
                <w:r w:rsidRPr="00B34900">
                  <w:rPr>
                    <w:rFonts w:ascii="Nunito Sans" w:hAnsi="Nunito Sans" w:eastAsia="Arial" w:cs="Calibri"/>
                    <w:sz w:val="18"/>
                    <w:szCs w:val="18"/>
                  </w:rPr>
                  <w:t>Parcial / Desigual</w:t>
                </w:r>
              </w:p>
            </w:tc>
          </w:tr>
          <w:tr w:rsidRPr="00B34900" w:rsidR="005E3BD6" w:rsidTr="00ED5474" w14:paraId="4889554B" w14:textId="77777777">
            <w:trPr>
              <w:trHeight w:val="551"/>
              <w:jc w:val="center"/>
            </w:trPr>
            <w:tc>
              <w:tcPr>
                <w:tcW w:w="0" w:type="auto"/>
                <w:vAlign w:val="center"/>
                <w:hideMark/>
              </w:tcPr>
              <w:p w:rsidRPr="00B34900" w:rsidR="005E3BD6" w:rsidP="00B4771C" w:rsidRDefault="005E3BD6" w14:paraId="589253AF" w14:textId="77777777">
                <w:pPr>
                  <w:jc w:val="center"/>
                  <w:rPr>
                    <w:rFonts w:ascii="Nunito Sans" w:hAnsi="Nunito Sans" w:eastAsia="Arial" w:cs="Calibri"/>
                    <w:sz w:val="18"/>
                    <w:szCs w:val="18"/>
                  </w:rPr>
                </w:pPr>
                <w:r w:rsidRPr="00B34900">
                  <w:rPr>
                    <w:rFonts w:ascii="Nunito Sans" w:hAnsi="Nunito Sans" w:eastAsia="Arial" w:cs="Calibri"/>
                    <w:sz w:val="18"/>
                    <w:szCs w:val="18"/>
                  </w:rPr>
                  <w:t>Trazabilidad y DLP (Data Loss Prevention)</w:t>
                </w:r>
              </w:p>
            </w:tc>
            <w:tc>
              <w:tcPr>
                <w:tcW w:w="0" w:type="auto"/>
                <w:vAlign w:val="center"/>
                <w:hideMark/>
              </w:tcPr>
              <w:p w:rsidRPr="00B34900" w:rsidR="005E3BD6" w:rsidP="00B4771C" w:rsidRDefault="005E3BD6" w14:paraId="00A156BE" w14:textId="77777777">
                <w:pPr>
                  <w:jc w:val="center"/>
                  <w:rPr>
                    <w:rFonts w:ascii="Nunito Sans" w:hAnsi="Nunito Sans" w:eastAsia="Arial" w:cs="Calibri"/>
                    <w:sz w:val="18"/>
                    <w:szCs w:val="18"/>
                  </w:rPr>
                </w:pPr>
                <w:r w:rsidRPr="00B34900">
                  <w:rPr>
                    <w:rFonts w:ascii="Nunito Sans" w:hAnsi="Nunito Sans" w:eastAsia="Arial" w:cs="Calibri"/>
                    <w:sz w:val="18"/>
                    <w:szCs w:val="18"/>
                  </w:rPr>
                  <w:t>Inicial o inexistente en varias entidades</w:t>
                </w:r>
              </w:p>
            </w:tc>
          </w:tr>
        </w:tbl>
        <w:p w:rsidRPr="00EF5DE4" w:rsidR="005E3BD6" w:rsidP="005E3BD6" w:rsidRDefault="005E3BD6" w14:paraId="579A06C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4B02A7C8" w14:textId="77777777">
          <w:pPr>
            <w:rPr>
              <w:rFonts w:ascii="Nunito Sans" w:hAnsi="Nunito Sans" w:eastAsia="Arial" w:cs="Calibri"/>
              <w:sz w:val="22"/>
              <w:szCs w:val="22"/>
            </w:rPr>
          </w:pPr>
        </w:p>
        <w:p w:rsidRPr="00CA4194" w:rsidR="005E3BD6" w:rsidP="005E3BD6" w:rsidRDefault="005E3BD6" w14:paraId="3FEB72EE" w14:textId="77777777">
          <w:pPr>
            <w:jc w:val="both"/>
            <w:rPr>
              <w:rFonts w:ascii="Nunito Sans" w:hAnsi="Nunito Sans" w:eastAsia="Arial" w:cs="Calibri"/>
              <w:sz w:val="22"/>
              <w:szCs w:val="22"/>
            </w:rPr>
          </w:pPr>
          <w:r w:rsidRPr="0E79E4E6">
            <w:rPr>
              <w:rFonts w:ascii="Nunito Sans" w:hAnsi="Nunito Sans" w:eastAsia="Arial" w:cs="Calibri"/>
              <w:sz w:val="22"/>
              <w:szCs w:val="22"/>
            </w:rPr>
            <w:t>La actividad de cumplimiento se concentra en lo normativo, mientras que los controles técnicos presentan madurez heterogénea entre entidades, lo que representa riesgo legal y reputacional sectorial frente a el tratamiento de información sensible asociada a gestión ambiental, comunidades, licencias, asignación de áreas estratégicas, titularidad minera y proyectos energéticos en el país.</w:t>
          </w:r>
        </w:p>
        <w:p w:rsidR="005E3BD6" w:rsidP="005E3BD6" w:rsidRDefault="005E3BD6" w14:paraId="46A4F50B" w14:textId="77777777">
          <w:pPr>
            <w:jc w:val="both"/>
            <w:rPr>
              <w:rFonts w:ascii="Nunito Sans" w:hAnsi="Nunito Sans" w:eastAsia="Arial" w:cs="Calibri"/>
              <w:sz w:val="22"/>
              <w:szCs w:val="22"/>
            </w:rPr>
          </w:pPr>
        </w:p>
        <w:p w:rsidR="005E3BD6" w:rsidRDefault="005E3BD6" w14:paraId="41598601" w14:textId="072BEEC4">
          <w:pPr>
            <w:pStyle w:val="Ttulo3"/>
            <w:numPr>
              <w:ilvl w:val="2"/>
              <w:numId w:val="35"/>
            </w:numPr>
          </w:pPr>
          <w:bookmarkStart w:name="_Toc1006998559" w:id="246"/>
          <w:bookmarkStart w:name="_Toc234234487" w:id="247"/>
          <w:bookmarkStart w:name="_Hlk213797749" w:id="248"/>
          <w:r w:rsidRPr="0E79E4E6">
            <w:t>Debilidades y Fortalezas</w:t>
          </w:r>
          <w:bookmarkEnd w:id="246"/>
          <w:bookmarkEnd w:id="247"/>
        </w:p>
        <w:p w:rsidRPr="00DF354F" w:rsidR="00DF354F" w:rsidP="00DF354F" w:rsidRDefault="00DF354F" w14:paraId="03D845A7" w14:textId="77777777">
          <w:pPr>
            <w:rPr>
              <w:lang w:val="es-ES"/>
            </w:rPr>
          </w:pPr>
        </w:p>
        <w:p w:rsidRPr="00957895" w:rsidR="005E3BD6" w:rsidP="005E3BD6" w:rsidRDefault="005E3BD6" w14:paraId="2276BA7E" w14:textId="77777777">
          <w:pPr>
            <w:rPr>
              <w:rFonts w:ascii="Nunito Sans" w:hAnsi="Nunito Sans" w:eastAsiaTheme="minorEastAsia"/>
              <w:b/>
              <w:bCs/>
              <w:sz w:val="22"/>
              <w:szCs w:val="22"/>
            </w:rPr>
          </w:pPr>
          <w:r w:rsidRPr="00957895">
            <w:rPr>
              <w:rFonts w:ascii="Nunito Sans" w:hAnsi="Nunito Sans" w:eastAsiaTheme="minorEastAsia"/>
              <w:b/>
              <w:bCs/>
              <w:sz w:val="22"/>
              <w:szCs w:val="22"/>
            </w:rPr>
            <w:t>Debilidades</w:t>
          </w:r>
        </w:p>
        <w:p w:rsidRPr="0087533D" w:rsidR="005E3BD6" w:rsidRDefault="005E3BD6" w14:paraId="3FDD3D5A" w14:textId="77777777">
          <w:pPr>
            <w:numPr>
              <w:ilvl w:val="0"/>
              <w:numId w:val="15"/>
            </w:numPr>
            <w:rPr>
              <w:rFonts w:ascii="Nunito Sans" w:hAnsi="Nunito Sans" w:eastAsiaTheme="minorEastAsia"/>
              <w:sz w:val="22"/>
              <w:szCs w:val="22"/>
            </w:rPr>
          </w:pPr>
          <w:r w:rsidRPr="0087533D">
            <w:rPr>
              <w:rFonts w:ascii="Nunito Sans" w:hAnsi="Nunito Sans" w:eastAsiaTheme="minorEastAsia"/>
              <w:sz w:val="22"/>
              <w:szCs w:val="22"/>
            </w:rPr>
            <w:t>Ausencia de coordinación operativa de la seguridad a nivel sectorial, sin SOC o CSIRT sectorial.</w:t>
          </w:r>
        </w:p>
        <w:p w:rsidRPr="0087533D" w:rsidR="005E3BD6" w:rsidRDefault="005E3BD6" w14:paraId="25878DC6" w14:textId="77777777">
          <w:pPr>
            <w:numPr>
              <w:ilvl w:val="0"/>
              <w:numId w:val="15"/>
            </w:numPr>
            <w:rPr>
              <w:rFonts w:ascii="Nunito Sans" w:hAnsi="Nunito Sans" w:eastAsiaTheme="minorEastAsia"/>
              <w:sz w:val="22"/>
              <w:szCs w:val="22"/>
            </w:rPr>
          </w:pPr>
          <w:r w:rsidRPr="0087533D">
            <w:rPr>
              <w:rFonts w:ascii="Nunito Sans" w:hAnsi="Nunito Sans" w:eastAsiaTheme="minorEastAsia"/>
              <w:sz w:val="22"/>
              <w:szCs w:val="22"/>
            </w:rPr>
            <w:t>Controles de continuidad con bajo nivel de pruebas y criterios no unificados de RTO y RPO.</w:t>
          </w:r>
        </w:p>
        <w:p w:rsidRPr="0087533D" w:rsidR="005E3BD6" w:rsidRDefault="005E3BD6" w14:paraId="5C56A3DE" w14:textId="77777777">
          <w:pPr>
            <w:numPr>
              <w:ilvl w:val="0"/>
              <w:numId w:val="15"/>
            </w:numPr>
            <w:rPr>
              <w:rFonts w:ascii="Nunito Sans" w:hAnsi="Nunito Sans" w:eastAsiaTheme="minorEastAsia"/>
              <w:sz w:val="22"/>
              <w:szCs w:val="22"/>
            </w:rPr>
          </w:pPr>
          <w:r w:rsidRPr="0087533D">
            <w:rPr>
              <w:rFonts w:ascii="Nunito Sans" w:hAnsi="Nunito Sans" w:eastAsiaTheme="minorEastAsia"/>
              <w:sz w:val="22"/>
              <w:szCs w:val="22"/>
            </w:rPr>
            <w:t>Protección técnica desigual de datos personales, sin trazabilidad sectorial ni controles DLP compartidos.</w:t>
          </w:r>
        </w:p>
        <w:p w:rsidRPr="0087533D" w:rsidR="005E3BD6" w:rsidRDefault="005E3BD6" w14:paraId="02D96BAC" w14:textId="77777777">
          <w:pPr>
            <w:numPr>
              <w:ilvl w:val="0"/>
              <w:numId w:val="15"/>
            </w:numPr>
            <w:rPr>
              <w:rFonts w:ascii="Nunito Sans" w:hAnsi="Nunito Sans" w:eastAsiaTheme="minorEastAsia"/>
              <w:sz w:val="22"/>
              <w:szCs w:val="22"/>
            </w:rPr>
          </w:pPr>
          <w:r w:rsidRPr="0087533D">
            <w:rPr>
              <w:rFonts w:ascii="Nunito Sans" w:hAnsi="Nunito Sans" w:eastAsiaTheme="minorEastAsia"/>
              <w:sz w:val="22"/>
              <w:szCs w:val="22"/>
            </w:rPr>
            <w:t>Dependencia crítica de proveedores sin supervisión técnica uniforme ni requisitos mínimos obligatorios.</w:t>
          </w:r>
        </w:p>
        <w:p w:rsidR="00BE1E98" w:rsidRDefault="005E3BD6" w14:paraId="37E50483" w14:textId="77777777">
          <w:pPr>
            <w:numPr>
              <w:ilvl w:val="0"/>
              <w:numId w:val="15"/>
            </w:numPr>
            <w:rPr>
              <w:rFonts w:ascii="Nunito Sans" w:hAnsi="Nunito Sans" w:eastAsiaTheme="minorEastAsia"/>
              <w:sz w:val="22"/>
              <w:szCs w:val="22"/>
            </w:rPr>
          </w:pPr>
          <w:r w:rsidRPr="0087533D">
            <w:rPr>
              <w:rFonts w:ascii="Nunito Sans" w:hAnsi="Nunito Sans" w:eastAsiaTheme="minorEastAsia"/>
              <w:sz w:val="22"/>
              <w:szCs w:val="22"/>
            </w:rPr>
            <w:t>Brechas en desarrollo seguro, auditoría técnica de código y control de la cadena de suministro de software.</w:t>
          </w:r>
        </w:p>
        <w:p w:rsidRPr="00BE1E98" w:rsidR="005E3BD6" w:rsidRDefault="005E3BD6" w14:paraId="414364A8" w14:textId="3F0EDA99">
          <w:pPr>
            <w:numPr>
              <w:ilvl w:val="0"/>
              <w:numId w:val="15"/>
            </w:numPr>
            <w:rPr>
              <w:rFonts w:ascii="Nunito Sans" w:hAnsi="Nunito Sans" w:eastAsiaTheme="minorEastAsia"/>
              <w:sz w:val="22"/>
              <w:szCs w:val="22"/>
            </w:rPr>
          </w:pPr>
          <w:r w:rsidRPr="00BE1E98">
            <w:rPr>
              <w:rFonts w:ascii="Nunito Sans" w:hAnsi="Nunito Sans" w:eastAsiaTheme="minorEastAsia"/>
              <w:sz w:val="22"/>
              <w:szCs w:val="22"/>
            </w:rPr>
            <w:t>Capacidades limitadas y reactivas en inteligencia de amenazas, análisis forense y respuesta a incidentes</w:t>
          </w:r>
        </w:p>
        <w:p w:rsidRPr="00CA4194" w:rsidR="005E3BD6" w:rsidP="005E3BD6" w:rsidRDefault="005E3BD6" w14:paraId="51796210" w14:textId="77777777">
          <w:pPr>
            <w:rPr>
              <w:rFonts w:ascii="Nunito Sans" w:hAnsi="Nunito Sans" w:eastAsiaTheme="minorEastAsia"/>
              <w:sz w:val="22"/>
              <w:szCs w:val="22"/>
            </w:rPr>
          </w:pPr>
        </w:p>
        <w:p w:rsidRPr="00957895" w:rsidR="005E3BD6" w:rsidP="005E3BD6" w:rsidRDefault="005E3BD6" w14:paraId="38B3E245" w14:textId="77777777">
          <w:pPr>
            <w:rPr>
              <w:rFonts w:ascii="Nunito Sans" w:hAnsi="Nunito Sans" w:eastAsiaTheme="minorEastAsia"/>
              <w:b/>
              <w:bCs/>
              <w:sz w:val="22"/>
              <w:szCs w:val="22"/>
            </w:rPr>
          </w:pPr>
          <w:r w:rsidRPr="00957895">
            <w:rPr>
              <w:rFonts w:ascii="Nunito Sans" w:hAnsi="Nunito Sans" w:eastAsiaTheme="minorEastAsia"/>
              <w:b/>
              <w:bCs/>
              <w:sz w:val="22"/>
              <w:szCs w:val="22"/>
            </w:rPr>
            <w:t>Fortalezas</w:t>
          </w:r>
        </w:p>
        <w:p w:rsidRPr="0087533D" w:rsidR="005E3BD6" w:rsidRDefault="005E3BD6" w14:paraId="67FC3E77" w14:textId="77777777">
          <w:pPr>
            <w:numPr>
              <w:ilvl w:val="0"/>
              <w:numId w:val="14"/>
            </w:numPr>
            <w:rPr>
              <w:rFonts w:ascii="Nunito Sans" w:hAnsi="Nunito Sans" w:eastAsiaTheme="minorEastAsia"/>
              <w:sz w:val="22"/>
              <w:szCs w:val="22"/>
            </w:rPr>
          </w:pPr>
          <w:r w:rsidRPr="0087533D">
            <w:rPr>
              <w:rFonts w:ascii="Nunito Sans" w:hAnsi="Nunito Sans" w:eastAsiaTheme="minorEastAsia"/>
              <w:sz w:val="22"/>
              <w:szCs w:val="22"/>
            </w:rPr>
            <w:t>Diversas entidades cuentan con políticas y procedimientos de seguridad de la información formalmente implementados.</w:t>
          </w:r>
        </w:p>
        <w:p w:rsidRPr="0087533D" w:rsidR="005E3BD6" w:rsidRDefault="005E3BD6" w14:paraId="52F54D6C" w14:textId="77777777">
          <w:pPr>
            <w:numPr>
              <w:ilvl w:val="0"/>
              <w:numId w:val="14"/>
            </w:numPr>
            <w:rPr>
              <w:rFonts w:ascii="Nunito Sans" w:hAnsi="Nunito Sans" w:eastAsiaTheme="minorEastAsia"/>
              <w:sz w:val="22"/>
              <w:szCs w:val="22"/>
            </w:rPr>
          </w:pPr>
          <w:r w:rsidRPr="0087533D">
            <w:rPr>
              <w:rFonts w:ascii="Nunito Sans" w:hAnsi="Nunito Sans" w:eastAsiaTheme="minorEastAsia"/>
              <w:sz w:val="22"/>
              <w:szCs w:val="22"/>
            </w:rPr>
            <w:t>En gran parte del sector se ha establecido un inventario de activos de información.</w:t>
          </w:r>
        </w:p>
        <w:p w:rsidRPr="0087533D" w:rsidR="005E3BD6" w:rsidRDefault="005E3BD6" w14:paraId="27A7FB2F" w14:textId="77777777">
          <w:pPr>
            <w:numPr>
              <w:ilvl w:val="0"/>
              <w:numId w:val="14"/>
            </w:numPr>
            <w:rPr>
              <w:rFonts w:ascii="Nunito Sans" w:hAnsi="Nunito Sans" w:eastAsiaTheme="minorEastAsia"/>
              <w:sz w:val="22"/>
              <w:szCs w:val="22"/>
            </w:rPr>
          </w:pPr>
          <w:r w:rsidRPr="0087533D">
            <w:rPr>
              <w:rFonts w:ascii="Nunito Sans" w:hAnsi="Nunito Sans" w:eastAsiaTheme="minorEastAsia"/>
              <w:sz w:val="22"/>
              <w:szCs w:val="22"/>
            </w:rPr>
            <w:t>Ciertas entidades presentan alta madurez en controles de acceso, seguridad de redes, comunicaciones y criptografía.</w:t>
          </w:r>
        </w:p>
        <w:p w:rsidRPr="0087533D" w:rsidR="005E3BD6" w:rsidRDefault="005E3BD6" w14:paraId="725BF078" w14:textId="77777777">
          <w:pPr>
            <w:numPr>
              <w:ilvl w:val="0"/>
              <w:numId w:val="14"/>
            </w:numPr>
            <w:rPr>
              <w:rFonts w:ascii="Nunito Sans" w:hAnsi="Nunito Sans" w:eastAsiaTheme="minorEastAsia"/>
              <w:sz w:val="22"/>
              <w:szCs w:val="22"/>
            </w:rPr>
          </w:pPr>
          <w:r w:rsidRPr="0087533D">
            <w:rPr>
              <w:rFonts w:ascii="Nunito Sans" w:hAnsi="Nunito Sans" w:eastAsiaTheme="minorEastAsia"/>
              <w:sz w:val="22"/>
              <w:szCs w:val="22"/>
            </w:rPr>
            <w:t>Algunas organizaciones núcleo disponen de medidas robustas de seguridad física e infraestructura perimetral.</w:t>
          </w:r>
        </w:p>
        <w:p w:rsidRPr="0087533D" w:rsidR="005E3BD6" w:rsidRDefault="005E3BD6" w14:paraId="4C2526DA" w14:textId="77777777">
          <w:pPr>
            <w:numPr>
              <w:ilvl w:val="0"/>
              <w:numId w:val="14"/>
            </w:numPr>
            <w:rPr>
              <w:rFonts w:ascii="Nunito Sans" w:hAnsi="Nunito Sans" w:eastAsiaTheme="minorEastAsia"/>
              <w:sz w:val="22"/>
              <w:szCs w:val="22"/>
            </w:rPr>
          </w:pPr>
          <w:r w:rsidRPr="0087533D">
            <w:rPr>
              <w:rFonts w:ascii="Nunito Sans" w:hAnsi="Nunito Sans" w:eastAsiaTheme="minorEastAsia"/>
              <w:sz w:val="22"/>
              <w:szCs w:val="22"/>
            </w:rPr>
            <w:t>Convergencia normativa sectorial en cumplimiento de la Ley 1581 de 2012 y el MSPI.</w:t>
          </w:r>
        </w:p>
        <w:p w:rsidRPr="0087533D" w:rsidR="005E3BD6" w:rsidP="005E3BD6" w:rsidRDefault="005E3BD6" w14:paraId="48504B64" w14:textId="77777777">
          <w:pPr>
            <w:ind w:left="720"/>
            <w:rPr>
              <w:rFonts w:eastAsiaTheme="minorEastAsia"/>
              <w:sz w:val="22"/>
              <w:szCs w:val="22"/>
            </w:rPr>
          </w:pPr>
        </w:p>
        <w:p w:rsidRPr="00CA4194" w:rsidR="005E3BD6" w:rsidP="005E3BD6" w:rsidRDefault="005E3BD6" w14:paraId="4B691F22" w14:textId="77777777">
          <w:pPr>
            <w:rPr>
              <w:rFonts w:eastAsiaTheme="minorEastAsia"/>
              <w:sz w:val="22"/>
              <w:szCs w:val="22"/>
            </w:rPr>
          </w:pPr>
        </w:p>
        <w:p w:rsidR="005E3BD6" w:rsidRDefault="005E3BD6" w14:paraId="1ADC3318" w14:textId="021C0233">
          <w:pPr>
            <w:pStyle w:val="Ttulo3"/>
            <w:numPr>
              <w:ilvl w:val="2"/>
              <w:numId w:val="35"/>
            </w:numPr>
          </w:pPr>
          <w:bookmarkStart w:name="_Hlk213797764" w:id="249"/>
          <w:bookmarkStart w:name="_Toc672821845" w:id="250"/>
          <w:bookmarkStart w:name="_Toc234234488" w:id="251"/>
          <w:bookmarkEnd w:id="248"/>
          <w:r w:rsidRPr="0E79E4E6">
            <w:t>Rupturas Estratégicas</w:t>
          </w:r>
          <w:bookmarkEnd w:id="249"/>
          <w:bookmarkEnd w:id="250"/>
          <w:bookmarkEnd w:id="251"/>
        </w:p>
        <w:p w:rsidRPr="00DF354F" w:rsidR="00DF354F" w:rsidP="00DF354F" w:rsidRDefault="00DF354F" w14:paraId="3B72C401" w14:textId="77777777">
          <w:pPr>
            <w:rPr>
              <w:lang w:val="es-ES"/>
            </w:rPr>
          </w:pPr>
        </w:p>
        <w:p w:rsidR="174E3CC9" w:rsidP="4E60D266" w:rsidRDefault="174E3CC9" w14:paraId="1242BC26" w14:textId="6258EDAB">
          <w:pPr>
            <w:jc w:val="both"/>
            <w:rPr>
              <w:rFonts w:ascii="Nunito Sans" w:hAnsi="Nunito Sans" w:eastAsiaTheme="minorEastAsia"/>
              <w:sz w:val="22"/>
              <w:szCs w:val="22"/>
            </w:rPr>
          </w:pPr>
          <w:r w:rsidRPr="4E60D266">
            <w:rPr>
              <w:rFonts w:ascii="Nunito Sans" w:hAnsi="Nunito Sans" w:eastAsiaTheme="minorEastAsia"/>
              <w:sz w:val="22"/>
              <w:szCs w:val="22"/>
            </w:rPr>
            <w:t xml:space="preserve">Las rupturas estratégicas del PETI sectorial representan los cambios estructurales necesarios para cerrar las brechas identificadas entre la Situación Actual (AS-IS) y la Arquitectura Objetivo (TO-BE) del Sector Minero-Energético, derivadas del diagnóstico sectorial, del análisis DOFA, en coherencia con los objetivos del Plan Nacional de Desarrollo y el enfoque de Transición Energética Justa; a continuación se presentan las rupturas estratégicas definidas para este dominio, las cuales </w:t>
          </w:r>
          <w:r w:rsidRPr="4E60D266">
            <w:rPr>
              <w:rFonts w:ascii="Nunito Sans" w:hAnsi="Nunito Sans" w:eastAsiaTheme="minorEastAsia"/>
              <w:sz w:val="22"/>
              <w:szCs w:val="22"/>
            </w:rPr>
            <w:lastRenderedPageBreak/>
            <w:t>orientan la evolución de sus capacidades, la priorización de iniciativas y la formulación de la hoja de ruta sectorial:</w:t>
          </w:r>
        </w:p>
        <w:p w:rsidR="4E60D266" w:rsidP="4E60D266" w:rsidRDefault="4E60D266" w14:paraId="76BCB84E" w14:textId="13EF7EF4">
          <w:pPr>
            <w:jc w:val="both"/>
            <w:rPr>
              <w:rFonts w:ascii="Nunito Sans" w:hAnsi="Nunito Sans" w:cs="Calibri" w:eastAsiaTheme="minorEastAsia"/>
              <w:sz w:val="22"/>
              <w:szCs w:val="22"/>
            </w:rPr>
          </w:pPr>
        </w:p>
        <w:p w:rsidR="005E3BD6" w:rsidP="005E3BD6" w:rsidRDefault="005E3BD6" w14:paraId="14DAE869" w14:textId="77777777">
          <w:pPr>
            <w:ind w:left="360" w:hanging="360"/>
            <w:jc w:val="center"/>
            <w:rPr>
              <w:rFonts w:ascii="Nunito Sans" w:hAnsi="Nunito Sans" w:cs="Calibri"/>
              <w:b/>
              <w:bCs/>
              <w:sz w:val="18"/>
              <w:szCs w:val="18"/>
            </w:rPr>
          </w:pPr>
        </w:p>
        <w:p w:rsidRPr="000735A6" w:rsidR="00F2742B" w:rsidP="000735A6" w:rsidRDefault="00F2742B" w14:paraId="09AB5765" w14:textId="5EB54FFB">
          <w:pPr>
            <w:ind w:left="360" w:hanging="360"/>
            <w:jc w:val="center"/>
            <w:rPr>
              <w:rFonts w:ascii="Nunito Sans" w:hAnsi="Nunito Sans" w:cs="Calibri"/>
              <w:b/>
              <w:bCs/>
              <w:sz w:val="18"/>
              <w:szCs w:val="18"/>
            </w:rPr>
          </w:pPr>
          <w:bookmarkStart w:name="_Toc220664199" w:id="252"/>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28</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 xml:space="preserve">Paradigmas de </w:t>
          </w:r>
          <w:r w:rsidRPr="00FB698F" w:rsidR="005E3BD6">
            <w:rPr>
              <w:rFonts w:ascii="Nunito Sans" w:hAnsi="Nunito Sans" w:cs="Calibri"/>
              <w:b/>
              <w:bCs/>
              <w:sz w:val="18"/>
              <w:szCs w:val="18"/>
            </w:rPr>
            <w:t>Seguridad y Privacidad de la Información sectorial</w:t>
          </w:r>
          <w:bookmarkEnd w:id="252"/>
        </w:p>
        <w:tbl>
          <w:tblPr>
            <w:tblStyle w:val="Tablaconcuadrcula"/>
            <w:tblW w:w="7104"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076"/>
            <w:gridCol w:w="5028"/>
          </w:tblGrid>
          <w:tr w:rsidRPr="00B34900" w:rsidR="005E3BD6" w:rsidTr="00993E37" w14:paraId="6EBC05B4" w14:textId="77777777">
            <w:trPr>
              <w:trHeight w:val="315"/>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B34900" w:rsidR="005E3BD6" w:rsidP="00993E37" w:rsidRDefault="005E3BD6" w14:paraId="448AE45F" w14:textId="77777777">
                <w:pPr>
                  <w:jc w:val="center"/>
                  <w:rPr>
                    <w:rFonts w:ascii="Nunito Sans" w:hAnsi="Nunito Sans" w:cs="Calibri" w:eastAsiaTheme="minorEastAsia"/>
                    <w:b/>
                    <w:bCs/>
                    <w:color w:val="FFFFFF" w:themeColor="background1"/>
                    <w:sz w:val="18"/>
                    <w:szCs w:val="18"/>
                  </w:rPr>
                </w:pPr>
                <w:r w:rsidRPr="00B34900">
                  <w:rPr>
                    <w:rFonts w:ascii="Nunito Sans" w:hAnsi="Nunito Sans" w:cs="Calibri" w:eastAsiaTheme="minorEastAsia"/>
                    <w:b/>
                    <w:bCs/>
                    <w:color w:val="FFFFFF" w:themeColor="background1"/>
                    <w:sz w:val="18"/>
                    <w:szCs w:val="18"/>
                  </w:rPr>
                  <w:t>Atributo</w:t>
                </w:r>
              </w:p>
            </w:tc>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B34900" w:rsidR="005E3BD6" w:rsidP="00993E37" w:rsidRDefault="005E3BD6" w14:paraId="1F67DDFD" w14:textId="77777777">
                <w:pPr>
                  <w:jc w:val="center"/>
                  <w:rPr>
                    <w:rFonts w:ascii="Nunito Sans" w:hAnsi="Nunito Sans" w:cs="Calibri" w:eastAsiaTheme="minorEastAsia"/>
                    <w:b/>
                    <w:bCs/>
                    <w:color w:val="FFFFFF" w:themeColor="background1"/>
                    <w:sz w:val="18"/>
                    <w:szCs w:val="18"/>
                  </w:rPr>
                </w:pPr>
                <w:r w:rsidRPr="00B34900">
                  <w:rPr>
                    <w:rFonts w:ascii="Nunito Sans" w:hAnsi="Nunito Sans" w:cs="Calibri" w:eastAsiaTheme="minorEastAsia"/>
                    <w:b/>
                    <w:bCs/>
                    <w:color w:val="FFFFFF" w:themeColor="background1"/>
                    <w:sz w:val="18"/>
                    <w:szCs w:val="18"/>
                  </w:rPr>
                  <w:t>Descripción</w:t>
                </w:r>
              </w:p>
            </w:tc>
          </w:tr>
          <w:tr w:rsidRPr="00B34900" w:rsidR="005E3BD6" w:rsidTr="00993E37" w14:paraId="360A084B" w14:textId="77777777">
            <w:trPr>
              <w:trHeight w:val="302"/>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3E33BF94"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Identificador</w:t>
                </w:r>
              </w:p>
            </w:tc>
            <w:tc>
              <w:tcPr>
                <w:tcW w:w="0" w:type="auto"/>
                <w:tcBorders>
                  <w:top w:val="single" w:color="FFFFFF" w:themeColor="background1" w:sz="4" w:space="0"/>
                  <w:left w:val="single" w:color="FFFFFF" w:themeColor="background1" w:sz="4" w:space="0"/>
                </w:tcBorders>
                <w:vAlign w:val="center"/>
                <w:hideMark/>
              </w:tcPr>
              <w:p w:rsidRPr="00B34900" w:rsidR="005E3BD6" w:rsidP="00B4771C" w:rsidRDefault="005E3BD6" w14:paraId="62496DE6"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RE–10</w:t>
                </w:r>
              </w:p>
            </w:tc>
          </w:tr>
          <w:tr w:rsidRPr="00B34900" w:rsidR="005E3BD6" w:rsidTr="00993E37" w14:paraId="34ADB87A" w14:textId="77777777">
            <w:trPr>
              <w:trHeight w:val="315"/>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39ECE2C3"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Nombre Corto</w:t>
                </w:r>
              </w:p>
            </w:tc>
            <w:tc>
              <w:tcPr>
                <w:tcW w:w="0" w:type="auto"/>
                <w:tcBorders>
                  <w:left w:val="single" w:color="FFFFFF" w:themeColor="background1" w:sz="4" w:space="0"/>
                </w:tcBorders>
                <w:vAlign w:val="center"/>
                <w:hideMark/>
              </w:tcPr>
              <w:p w:rsidRPr="00B34900" w:rsidR="005E3BD6" w:rsidP="00B4771C" w:rsidRDefault="005E3BD6" w14:paraId="4FC4318C"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Infraestructura resiliente TI</w:t>
                </w:r>
              </w:p>
            </w:tc>
          </w:tr>
          <w:tr w:rsidRPr="00B34900" w:rsidR="005E3BD6" w:rsidTr="00993E37" w14:paraId="190D79BD" w14:textId="77777777">
            <w:trPr>
              <w:trHeight w:val="618"/>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078AFA63"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Descripción del Paradigma</w:t>
                </w:r>
              </w:p>
            </w:tc>
            <w:tc>
              <w:tcPr>
                <w:tcW w:w="0" w:type="auto"/>
                <w:tcBorders>
                  <w:left w:val="single" w:color="FFFFFF" w:themeColor="background1" w:sz="4" w:space="0"/>
                </w:tcBorders>
                <w:vAlign w:val="center"/>
                <w:hideMark/>
              </w:tcPr>
              <w:p w:rsidRPr="00B34900" w:rsidR="005E3BD6" w:rsidP="00B4771C" w:rsidRDefault="005E3BD6" w14:paraId="79B4682D"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Seguridad y monitoreo separado por entidad.</w:t>
                </w:r>
              </w:p>
            </w:tc>
          </w:tr>
          <w:tr w:rsidRPr="00B34900" w:rsidR="005E3BD6" w:rsidTr="00993E37" w14:paraId="32CC71AF" w14:textId="77777777">
            <w:trPr>
              <w:trHeight w:val="618"/>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35041703"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Efectos Directos</w:t>
                </w:r>
              </w:p>
            </w:tc>
            <w:tc>
              <w:tcPr>
                <w:tcW w:w="0" w:type="auto"/>
                <w:tcBorders>
                  <w:left w:val="single" w:color="FFFFFF" w:themeColor="background1" w:sz="4" w:space="0"/>
                </w:tcBorders>
                <w:vAlign w:val="center"/>
                <w:hideMark/>
              </w:tcPr>
              <w:p w:rsidRPr="00B34900" w:rsidR="005E3BD6" w:rsidP="00B4771C" w:rsidRDefault="005E3BD6" w14:paraId="78F38F46"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Riesgo mayor de incidentes sin detección temprana ni contención.</w:t>
                </w:r>
              </w:p>
            </w:tc>
          </w:tr>
          <w:tr w:rsidRPr="00B34900" w:rsidR="005E3BD6" w:rsidTr="00993E37" w14:paraId="1622CB7F" w14:textId="77777777">
            <w:trPr>
              <w:trHeight w:val="630"/>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683206C9"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Descripción de la Ruptura</w:t>
                </w:r>
              </w:p>
            </w:tc>
            <w:tc>
              <w:tcPr>
                <w:tcW w:w="0" w:type="auto"/>
                <w:tcBorders>
                  <w:left w:val="single" w:color="FFFFFF" w:themeColor="background1" w:sz="4" w:space="0"/>
                </w:tcBorders>
                <w:vAlign w:val="center"/>
                <w:hideMark/>
              </w:tcPr>
              <w:p w:rsidRPr="00B34900" w:rsidR="005E3BD6" w:rsidP="00B4771C" w:rsidRDefault="005E3BD6" w14:paraId="623B4068"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Implementar SOC/NOC/CSIRT y esquemas de continuidad operativa sectorial.</w:t>
                </w:r>
              </w:p>
            </w:tc>
          </w:tr>
          <w:tr w:rsidRPr="00B34900" w:rsidR="005E3BD6" w:rsidTr="00993E37" w14:paraId="5D006D22" w14:textId="77777777">
            <w:trPr>
              <w:trHeight w:val="618"/>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4FE58853"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Cómo romper el Paradigma</w:t>
                </w:r>
              </w:p>
            </w:tc>
            <w:tc>
              <w:tcPr>
                <w:tcW w:w="0" w:type="auto"/>
                <w:tcBorders>
                  <w:left w:val="single" w:color="FFFFFF" w:themeColor="background1" w:sz="4" w:space="0"/>
                </w:tcBorders>
                <w:vAlign w:val="center"/>
                <w:hideMark/>
              </w:tcPr>
              <w:p w:rsidRPr="00B34900" w:rsidR="005E3BD6" w:rsidP="00B4771C" w:rsidRDefault="005E3BD6" w14:paraId="33ABB30B"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Centralización de monitoreo, protocolos CSIRT, redundancia activa.</w:t>
                </w:r>
              </w:p>
            </w:tc>
          </w:tr>
          <w:tr w:rsidRPr="00B34900" w:rsidR="005E3BD6" w:rsidTr="00993E37" w14:paraId="4FA99861" w14:textId="77777777">
            <w:trPr>
              <w:trHeight w:val="302"/>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74679DC5"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Impacto Esperado</w:t>
                </w:r>
              </w:p>
            </w:tc>
            <w:tc>
              <w:tcPr>
                <w:tcW w:w="0" w:type="auto"/>
                <w:tcBorders>
                  <w:left w:val="single" w:color="FFFFFF" w:themeColor="background1" w:sz="4" w:space="0"/>
                </w:tcBorders>
                <w:vAlign w:val="center"/>
                <w:hideMark/>
              </w:tcPr>
              <w:p w:rsidRPr="00B34900" w:rsidR="005E3BD6" w:rsidP="00B4771C" w:rsidRDefault="005E3BD6" w14:paraId="461C8866"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Operación segura y resiliente ante ciberincidentes.</w:t>
                </w:r>
              </w:p>
            </w:tc>
          </w:tr>
          <w:tr w:rsidRPr="00B34900" w:rsidR="005E3BD6" w:rsidTr="00993E37" w14:paraId="61673E92" w14:textId="77777777">
            <w:trPr>
              <w:trHeight w:val="315"/>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3847AD96"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Grupos de Interés</w:t>
                </w:r>
              </w:p>
            </w:tc>
            <w:tc>
              <w:tcPr>
                <w:tcW w:w="0" w:type="auto"/>
                <w:tcBorders>
                  <w:left w:val="single" w:color="FFFFFF" w:themeColor="background1" w:sz="4" w:space="0"/>
                </w:tcBorders>
                <w:vAlign w:val="center"/>
                <w:hideMark/>
              </w:tcPr>
              <w:p w:rsidRPr="00B34900" w:rsidR="005E3BD6" w:rsidP="00B4771C" w:rsidRDefault="005E3BD6" w14:paraId="30DB1FFF"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Ciudadanos, empresas, academia, entidades sectoriales.</w:t>
                </w:r>
              </w:p>
            </w:tc>
          </w:tr>
          <w:tr w:rsidRPr="00B34900" w:rsidR="005E3BD6" w:rsidTr="00993E37" w14:paraId="63CBC469" w14:textId="77777777">
            <w:trPr>
              <w:trHeight w:val="618"/>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50D84513" w14:textId="77777777">
                <w:pPr>
                  <w:rPr>
                    <w:rFonts w:ascii="Nunito Sans" w:hAnsi="Nunito Sans" w:cs="Calibri" w:eastAsiaTheme="minorEastAsia"/>
                    <w:color w:val="FFFFFF" w:themeColor="background1"/>
                    <w:sz w:val="18"/>
                    <w:szCs w:val="18"/>
                  </w:rPr>
                </w:pPr>
                <w:r w:rsidRPr="00993E37">
                  <w:rPr>
                    <w:rFonts w:ascii="Nunito Sans" w:hAnsi="Nunito Sans" w:cs="Calibri" w:eastAsiaTheme="minorEastAsia"/>
                    <w:color w:val="FFFFFF" w:themeColor="background1"/>
                    <w:sz w:val="18"/>
                    <w:szCs w:val="18"/>
                  </w:rPr>
                  <w:t>Dominio MRAE</w:t>
                </w:r>
              </w:p>
            </w:tc>
            <w:tc>
              <w:tcPr>
                <w:tcW w:w="0" w:type="auto"/>
                <w:tcBorders>
                  <w:left w:val="single" w:color="FFFFFF" w:themeColor="background1" w:sz="4" w:space="0"/>
                </w:tcBorders>
                <w:vAlign w:val="center"/>
                <w:hideMark/>
              </w:tcPr>
              <w:p w:rsidRPr="00B34900" w:rsidR="005E3BD6" w:rsidP="00B4771C" w:rsidRDefault="005E3BD6" w14:paraId="13DEC22C"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Infraestructura y Servicios TI / Seguridad y Privacidad de la Información</w:t>
                </w:r>
              </w:p>
            </w:tc>
          </w:tr>
          <w:tr w:rsidRPr="00B34900" w:rsidR="005E3BD6" w:rsidTr="00993E37" w14:paraId="1581E412" w14:textId="77777777">
            <w:trPr>
              <w:trHeight w:val="341"/>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993E37" w:rsidR="005E3BD6" w:rsidP="00B4771C" w:rsidRDefault="005E3BD6" w14:paraId="1B3AD35A" w14:textId="77777777">
                <w:pPr>
                  <w:pStyle w:val="Default"/>
                  <w:rPr>
                    <w:rFonts w:ascii="Nunito Sans" w:hAnsi="Nunito Sans"/>
                    <w:color w:val="FFFFFF" w:themeColor="background1"/>
                    <w:sz w:val="18"/>
                    <w:szCs w:val="18"/>
                  </w:rPr>
                </w:pPr>
                <w:r w:rsidRPr="00993E37">
                  <w:rPr>
                    <w:rFonts w:ascii="Nunito Sans" w:hAnsi="Nunito Sans"/>
                    <w:color w:val="FFFFFF" w:themeColor="background1"/>
                    <w:sz w:val="18"/>
                    <w:szCs w:val="18"/>
                  </w:rPr>
                  <w:t>Clasificación de Impacto</w:t>
                </w:r>
              </w:p>
            </w:tc>
            <w:tc>
              <w:tcPr>
                <w:tcW w:w="0" w:type="auto"/>
                <w:tcBorders>
                  <w:left w:val="single" w:color="FFFFFF" w:themeColor="background1" w:sz="4" w:space="0"/>
                </w:tcBorders>
                <w:vAlign w:val="center"/>
                <w:hideMark/>
              </w:tcPr>
              <w:p w:rsidRPr="00B34900" w:rsidR="005E3BD6" w:rsidP="00B4771C" w:rsidRDefault="005E3BD6" w14:paraId="3ACAEA0E" w14:textId="77777777">
                <w:pPr>
                  <w:rPr>
                    <w:rFonts w:ascii="Nunito Sans" w:hAnsi="Nunito Sans" w:cs="Calibri" w:eastAsiaTheme="minorEastAsia"/>
                    <w:sz w:val="18"/>
                    <w:szCs w:val="18"/>
                  </w:rPr>
                </w:pPr>
                <w:r w:rsidRPr="00B34900">
                  <w:rPr>
                    <w:rFonts w:ascii="Nunito Sans" w:hAnsi="Nunito Sans" w:cs="Calibri" w:eastAsiaTheme="minorEastAsia"/>
                    <w:sz w:val="18"/>
                    <w:szCs w:val="18"/>
                  </w:rPr>
                  <w:t>Alto</w:t>
                </w:r>
              </w:p>
            </w:tc>
          </w:tr>
        </w:tbl>
        <w:p w:rsidRPr="00EF5DE4" w:rsidR="005E3BD6" w:rsidP="005E3BD6" w:rsidRDefault="005E3BD6" w14:paraId="331736DE"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1CA0C28F" w14:textId="77777777">
          <w:pPr>
            <w:rPr>
              <w:rFonts w:ascii="Nunito Sans" w:hAnsi="Nunito Sans" w:cs="Calibri" w:eastAsiaTheme="minorEastAsia"/>
              <w:sz w:val="22"/>
              <w:szCs w:val="22"/>
              <w:lang w:val="es-ES"/>
            </w:rPr>
          </w:pPr>
        </w:p>
        <w:p w:rsidRPr="00FB698F" w:rsidR="005E3BD6" w:rsidRDefault="005E3BD6" w14:paraId="5E54AE9B" w14:textId="50C3E955">
          <w:pPr>
            <w:pStyle w:val="Ttulo2"/>
            <w:numPr>
              <w:ilvl w:val="1"/>
              <w:numId w:val="35"/>
            </w:numPr>
          </w:pPr>
          <w:bookmarkStart w:name="_Toc389959535" w:id="253"/>
          <w:bookmarkStart w:name="_Toc234234489" w:id="254"/>
          <w:r w:rsidRPr="0E79E4E6">
            <w:t xml:space="preserve">Situación Actual (AS-IS) </w:t>
          </w:r>
          <w:bookmarkEnd w:id="253"/>
          <w:r>
            <w:t>Transformación Digital</w:t>
          </w:r>
          <w:bookmarkEnd w:id="254"/>
          <w:r>
            <w:t xml:space="preserve"> </w:t>
          </w:r>
        </w:p>
        <w:p w:rsidR="005E3BD6" w:rsidP="004B5D00" w:rsidRDefault="005E3BD6" w14:paraId="3ABEF277" w14:textId="4FDE8056">
          <w:pPr>
            <w:jc w:val="both"/>
            <w:rPr>
              <w:rFonts w:ascii="Nunito Sans" w:hAnsi="Nunito Sans" w:eastAsia="Arial" w:cs="Calibri"/>
              <w:sz w:val="22"/>
              <w:szCs w:val="22"/>
            </w:rPr>
          </w:pPr>
          <w:r w:rsidRPr="004B5D00">
            <w:rPr>
              <w:rFonts w:ascii="Nunito Sans" w:hAnsi="Nunito Sans" w:eastAsia="Arial" w:cs="Calibri"/>
              <w:sz w:val="22"/>
              <w:szCs w:val="22"/>
            </w:rPr>
            <w:t>El análisis del ecosistema digital del Sector Minas y Energía revela un escenario de "Transformación a Dos Velocidades". Mientras que entidades técnicas como la ANH o el SGC han avanzado en la adopción de tecnologías de nicho para el manejo de datos geocientíficos, existe una disparidad significativa en la capa de gestión administrativa y de servicio al ciudadano transversal.</w:t>
          </w:r>
        </w:p>
        <w:p w:rsidR="004B5D00" w:rsidP="004B5D00" w:rsidRDefault="004B5D00" w14:paraId="3E5F8F2C" w14:textId="77777777">
          <w:pPr>
            <w:jc w:val="both"/>
            <w:rPr>
              <w:rFonts w:ascii="Nunito Sans" w:hAnsi="Nunito Sans" w:eastAsia="Arial" w:cs="Calibri"/>
              <w:sz w:val="22"/>
              <w:szCs w:val="22"/>
            </w:rPr>
          </w:pPr>
        </w:p>
        <w:p w:rsidRPr="005E54CE" w:rsidR="005E3BD6" w:rsidP="005E3BD6" w:rsidRDefault="005E3BD6" w14:paraId="4A68A0B6" w14:textId="77777777">
          <w:pPr>
            <w:spacing w:line="259" w:lineRule="auto"/>
            <w:jc w:val="both"/>
            <w:rPr>
              <w:rFonts w:ascii="Nunito Sans" w:hAnsi="Nunito Sans" w:eastAsia="Arial" w:cs="Calibri"/>
              <w:sz w:val="22"/>
              <w:szCs w:val="22"/>
            </w:rPr>
          </w:pPr>
          <w:r w:rsidRPr="005E54CE">
            <w:rPr>
              <w:rFonts w:ascii="Nunito Sans" w:hAnsi="Nunito Sans" w:eastAsia="Arial" w:cs="Calibri"/>
              <w:sz w:val="22"/>
              <w:szCs w:val="22"/>
            </w:rPr>
            <w:t>Actualmente, el estado de la Transformación Digital en las entidades adscritas se caracteriza</w:t>
          </w:r>
          <w:r>
            <w:rPr>
              <w:rFonts w:ascii="Nunito Sans" w:hAnsi="Nunito Sans" w:eastAsia="Arial" w:cs="Calibri"/>
              <w:sz w:val="22"/>
              <w:szCs w:val="22"/>
            </w:rPr>
            <w:t xml:space="preserve"> </w:t>
          </w:r>
          <w:r w:rsidRPr="005E54CE">
            <w:rPr>
              <w:rFonts w:ascii="Nunito Sans" w:hAnsi="Nunito Sans" w:eastAsia="Arial" w:cs="Calibri"/>
              <w:sz w:val="22"/>
              <w:szCs w:val="22"/>
            </w:rPr>
            <w:t>por:</w:t>
          </w:r>
        </w:p>
        <w:p w:rsidRPr="00CA4194" w:rsidR="005E3BD6" w:rsidP="005E3BD6" w:rsidRDefault="005E3BD6" w14:paraId="2AEA4C05" w14:textId="77777777">
          <w:pPr>
            <w:pStyle w:val="Prrafodelista"/>
            <w:spacing w:line="259" w:lineRule="auto"/>
            <w:ind w:left="720"/>
            <w:jc w:val="both"/>
            <w:rPr>
              <w:rFonts w:ascii="Nunito Sans" w:hAnsi="Nunito Sans" w:eastAsia="Arial" w:cs="Calibri"/>
              <w:sz w:val="22"/>
              <w:szCs w:val="22"/>
            </w:rPr>
          </w:pPr>
        </w:p>
        <w:p w:rsidRPr="00CA4194" w:rsidR="005E3BD6" w:rsidRDefault="005E3BD6" w14:paraId="797336DA" w14:textId="77777777">
          <w:pPr>
            <w:numPr>
              <w:ilvl w:val="0"/>
              <w:numId w:val="7"/>
            </w:numPr>
            <w:spacing w:line="259" w:lineRule="auto"/>
            <w:jc w:val="both"/>
            <w:rPr>
              <w:rFonts w:ascii="Nunito Sans" w:hAnsi="Nunito Sans" w:eastAsia="Arial" w:cs="Calibri"/>
              <w:sz w:val="22"/>
              <w:szCs w:val="22"/>
            </w:rPr>
          </w:pPr>
          <w:r w:rsidRPr="00CA4194">
            <w:rPr>
              <w:rFonts w:ascii="Nunito Sans" w:hAnsi="Nunito Sans" w:eastAsia="Arial" w:cs="Calibri"/>
              <w:sz w:val="22"/>
              <w:szCs w:val="22"/>
            </w:rPr>
            <w:t xml:space="preserve">Automatización de Procesos (RPA/BPM): Predomina una automatización "por islas". Si bien el Ministerio avanza en la digitalización de trámites (como se evidencia en la estrategia de Racionalización), gran parte de la interoperabilidad entre la UPME, la ANM y el Ministerio sigue dependiendo de intercambios manuales de archivos planos o correos electrónicos, en lugar de servicios web automatizados u orquestadores de procesos transversales. El </w:t>
          </w:r>
          <w:r w:rsidRPr="00CA4194">
            <w:rPr>
              <w:rFonts w:ascii="Nunito Sans" w:hAnsi="Nunito Sans" w:eastAsia="Arial" w:cs="Calibri"/>
              <w:sz w:val="22"/>
              <w:szCs w:val="22"/>
            </w:rPr>
            <w:lastRenderedPageBreak/>
            <w:t>uso de RPA (Robotic Process Automation) es incipiente y se limita a pilotos aislados en áreas financieras, sin escalabilidad al Core del negocio.</w:t>
          </w:r>
        </w:p>
        <w:p w:rsidRPr="00CA4194" w:rsidR="005E3BD6" w:rsidP="005E3BD6" w:rsidRDefault="005E3BD6" w14:paraId="540C3DA2" w14:textId="77777777">
          <w:pPr>
            <w:spacing w:line="259" w:lineRule="auto"/>
            <w:ind w:left="720"/>
            <w:jc w:val="both"/>
            <w:rPr>
              <w:rFonts w:ascii="Nunito Sans" w:hAnsi="Nunito Sans" w:eastAsia="Arial" w:cs="Calibri"/>
              <w:sz w:val="22"/>
              <w:szCs w:val="22"/>
            </w:rPr>
          </w:pPr>
        </w:p>
        <w:p w:rsidRPr="00CA4194" w:rsidR="005E3BD6" w:rsidRDefault="1F325162" w14:paraId="74A5542D" w14:textId="3C53EFEB">
          <w:pPr>
            <w:numPr>
              <w:ilvl w:val="0"/>
              <w:numId w:val="7"/>
            </w:numPr>
            <w:spacing w:line="259" w:lineRule="auto"/>
            <w:jc w:val="both"/>
            <w:rPr>
              <w:rFonts w:ascii="Nunito Sans" w:hAnsi="Nunito Sans" w:eastAsia="Arial" w:cs="Calibri"/>
              <w:sz w:val="22"/>
              <w:szCs w:val="22"/>
            </w:rPr>
          </w:pPr>
          <w:r w:rsidRPr="4E60D266">
            <w:rPr>
              <w:rFonts w:ascii="Nunito Sans" w:hAnsi="Nunito Sans" w:eastAsia="Arial" w:cs="Calibri"/>
              <w:sz w:val="22"/>
              <w:szCs w:val="22"/>
            </w:rPr>
            <w:t>Cloud Computing: Existe una adopción híbrida. La mayoría de las entidades (ANM, IPSE, MinEnergía) han migrado cargas de trabajo como correo y portales web a la nube (</w:t>
          </w:r>
          <w:r w:rsidRPr="4E60D266" w:rsidR="70330123">
            <w:rPr>
              <w:rFonts w:ascii="Nunito Sans" w:hAnsi="Nunito Sans" w:eastAsia="Nunito Sans" w:cs="Nunito Sans"/>
              <w:sz w:val="22"/>
              <w:szCs w:val="22"/>
            </w:rPr>
            <w:t xml:space="preserve">Microsoft Azure® </w:t>
          </w:r>
          <w:r w:rsidRPr="4E60D266">
            <w:rPr>
              <w:rFonts w:ascii="Nunito Sans" w:hAnsi="Nunito Sans" w:eastAsia="Arial" w:cs="Calibri"/>
              <w:sz w:val="22"/>
              <w:szCs w:val="22"/>
            </w:rPr>
            <w:t>/AWS), pero los sistemas misionales críticos (Legacy) en muchos casos permanecen On-Premise debido a restricciones normativas heredadas o complejidad técnica de refactorización.</w:t>
          </w:r>
        </w:p>
        <w:p w:rsidRPr="00CA4194" w:rsidR="005E3BD6" w:rsidP="005E3BD6" w:rsidRDefault="005E3BD6" w14:paraId="059B4ADF" w14:textId="77777777">
          <w:pPr>
            <w:pStyle w:val="Prrafodelista"/>
            <w:ind w:left="360"/>
            <w:rPr>
              <w:rFonts w:ascii="Nunito Sans" w:hAnsi="Nunito Sans" w:eastAsia="Arial" w:cs="Calibri"/>
              <w:sz w:val="22"/>
              <w:szCs w:val="22"/>
            </w:rPr>
          </w:pPr>
        </w:p>
        <w:p w:rsidRPr="00CA4194" w:rsidR="005E3BD6" w:rsidRDefault="005E3BD6" w14:paraId="3193FEB1" w14:textId="77777777">
          <w:pPr>
            <w:numPr>
              <w:ilvl w:val="0"/>
              <w:numId w:val="7"/>
            </w:numPr>
            <w:spacing w:line="259" w:lineRule="auto"/>
            <w:jc w:val="both"/>
            <w:rPr>
              <w:rFonts w:ascii="Nunito Sans" w:hAnsi="Nunito Sans" w:eastAsia="Arial" w:cs="Calibri"/>
              <w:sz w:val="22"/>
              <w:szCs w:val="22"/>
            </w:rPr>
          </w:pPr>
          <w:r w:rsidRPr="00CA4194">
            <w:rPr>
              <w:rFonts w:ascii="Nunito Sans" w:hAnsi="Nunito Sans" w:eastAsia="Arial" w:cs="Calibri"/>
              <w:sz w:val="22"/>
              <w:szCs w:val="22"/>
            </w:rPr>
            <w:t>Analítica Avanzada y Big Data: El sector es "Rico en Datos, pero Pobre en Información Integrada". Aunque entidades como la UPME y la ANH poseen grandes repositorios de datos (Lagos de Datos en estructuración), no existe un Data Lake Sectorial Federado. Los roles de Científicos de Datos son escasos en las plantas de personal, siendo suplidos mayoritariamente por contratistas, lo que genera fuga de conocimiento estratégico.</w:t>
          </w:r>
        </w:p>
        <w:p w:rsidRPr="00CA4194" w:rsidR="005E3BD6" w:rsidP="005E3BD6" w:rsidRDefault="005E3BD6" w14:paraId="159E9030" w14:textId="77777777">
          <w:pPr>
            <w:pStyle w:val="Prrafodelista"/>
            <w:ind w:left="360"/>
            <w:rPr>
              <w:rFonts w:ascii="Nunito Sans" w:hAnsi="Nunito Sans" w:eastAsia="Arial" w:cs="Calibri"/>
              <w:sz w:val="22"/>
              <w:szCs w:val="22"/>
            </w:rPr>
          </w:pPr>
        </w:p>
        <w:p w:rsidRPr="008A4427" w:rsidR="005E3BD6" w:rsidRDefault="005E3BD6" w14:paraId="7F0E4AA4" w14:textId="77777777">
          <w:pPr>
            <w:numPr>
              <w:ilvl w:val="0"/>
              <w:numId w:val="7"/>
            </w:numPr>
            <w:spacing w:line="259" w:lineRule="auto"/>
            <w:jc w:val="both"/>
            <w:rPr>
              <w:rFonts w:ascii="Nunito Sans" w:hAnsi="Nunito Sans" w:eastAsia="Arial" w:cs="Calibri"/>
              <w:sz w:val="22"/>
              <w:szCs w:val="22"/>
            </w:rPr>
          </w:pPr>
          <w:r w:rsidRPr="0E79E4E6">
            <w:rPr>
              <w:rFonts w:ascii="Nunito Sans" w:hAnsi="Nunito Sans" w:eastAsia="Arial" w:cs="Calibri"/>
              <w:sz w:val="22"/>
              <w:szCs w:val="22"/>
            </w:rPr>
            <w:t>Talento y Cultura Digital: Se evidencia una brecha en competencias de Ciberseguridad OT (Tecnología de Operación). El personal de TI domina la seguridad informática tradicional, pero hay escasez de especialistas que comprendan la protección de infraestructuras críticas (SCADA, Telemetría del IPSE) frente a ciberataques.</w:t>
          </w:r>
        </w:p>
        <w:p w:rsidR="005E3BD6" w:rsidP="005E3BD6" w:rsidRDefault="005E3BD6" w14:paraId="6252612C" w14:textId="77777777"/>
        <w:p w:rsidRPr="004661A2" w:rsidR="004661A2" w:rsidRDefault="004661A2" w14:paraId="236CA3C1" w14:textId="77777777">
          <w:pPr>
            <w:pStyle w:val="Prrafodelista"/>
            <w:numPr>
              <w:ilvl w:val="1"/>
              <w:numId w:val="35"/>
            </w:numPr>
            <w:contextualSpacing w:val="0"/>
            <w:jc w:val="both"/>
            <w:outlineLvl w:val="2"/>
            <w:rPr>
              <w:rFonts w:ascii="Nunito Sans" w:hAnsi="Nunito Sans" w:eastAsia="Nunito Sans" w:cs="Nunito Sans"/>
              <w:b/>
              <w:bCs/>
              <w:iCs/>
              <w:vanish/>
              <w:color w:val="EDB600"/>
              <w:sz w:val="26"/>
              <w:lang w:val="es-ES"/>
            </w:rPr>
          </w:pPr>
          <w:bookmarkStart w:name="_Toc220407728" w:id="255"/>
          <w:bookmarkStart w:name="_Toc220407997" w:id="256"/>
          <w:bookmarkStart w:name="_Toc220614482" w:id="257"/>
          <w:bookmarkStart w:name="_Toc220664308" w:id="258"/>
          <w:bookmarkStart w:name="_Toc234231860" w:id="259"/>
          <w:bookmarkStart w:name="_Toc234232102" w:id="260"/>
          <w:bookmarkStart w:name="_Toc234232223" w:id="261"/>
          <w:bookmarkStart w:name="_Toc234232344" w:id="262"/>
          <w:bookmarkStart w:name="_Toc234233395" w:id="263"/>
          <w:bookmarkStart w:name="_Toc234233516" w:id="264"/>
          <w:bookmarkStart w:name="_Toc234233638" w:id="265"/>
          <w:bookmarkStart w:name="_Toc234233760" w:id="266"/>
          <w:bookmarkStart w:name="_Toc234233882" w:id="267"/>
          <w:bookmarkStart w:name="_Toc234234003" w:id="268"/>
          <w:bookmarkStart w:name="_Toc234234126" w:id="269"/>
          <w:bookmarkStart w:name="_Toc234234248" w:id="270"/>
          <w:bookmarkStart w:name="_Toc234234369" w:id="271"/>
          <w:bookmarkStart w:name="_Toc234234490" w:id="272"/>
          <w:bookmarkStart w:name="_Toc1098826242" w:id="273"/>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5E3BD6" w:rsidRDefault="005E3BD6" w14:paraId="0D66CEE5" w14:textId="6B10B1CE">
          <w:pPr>
            <w:pStyle w:val="Ttulo3"/>
            <w:numPr>
              <w:ilvl w:val="2"/>
              <w:numId w:val="36"/>
            </w:numPr>
          </w:pPr>
          <w:bookmarkStart w:name="_Toc234234491" w:id="274"/>
          <w:r w:rsidRPr="0E79E4E6">
            <w:t>Debilidades y Fortalezas</w:t>
          </w:r>
          <w:bookmarkEnd w:id="273"/>
          <w:bookmarkEnd w:id="274"/>
        </w:p>
        <w:p w:rsidRPr="00DF354F" w:rsidR="00DF354F" w:rsidP="00DF354F" w:rsidRDefault="00DF354F" w14:paraId="7DF9FEF3" w14:textId="77777777">
          <w:pPr>
            <w:rPr>
              <w:lang w:val="es-ES"/>
            </w:rPr>
          </w:pPr>
        </w:p>
        <w:p w:rsidRPr="00E37806" w:rsidR="005E3BD6" w:rsidP="005E3BD6" w:rsidRDefault="005E3BD6" w14:paraId="3C1BEEF9" w14:textId="77777777">
          <w:pPr>
            <w:pStyle w:val="Default"/>
            <w:rPr>
              <w:rFonts w:ascii="Nunito Sans" w:hAnsi="Nunito Sans"/>
              <w:b/>
              <w:bCs/>
              <w:sz w:val="22"/>
              <w:szCs w:val="22"/>
            </w:rPr>
          </w:pPr>
          <w:r w:rsidRPr="00E37806">
            <w:rPr>
              <w:rFonts w:ascii="Nunito Sans" w:hAnsi="Nunito Sans"/>
              <w:b/>
              <w:bCs/>
              <w:sz w:val="22"/>
              <w:szCs w:val="22"/>
            </w:rPr>
            <w:t xml:space="preserve">Debilidades </w:t>
          </w:r>
        </w:p>
        <w:p w:rsidRPr="00CA4194" w:rsidR="005E3BD6" w:rsidRDefault="005E3BD6" w14:paraId="16ABA0C0" w14:textId="77777777">
          <w:pPr>
            <w:pStyle w:val="Default"/>
            <w:numPr>
              <w:ilvl w:val="0"/>
              <w:numId w:val="16"/>
            </w:numPr>
            <w:rPr>
              <w:rFonts w:ascii="Nunito Sans" w:hAnsi="Nunito Sans"/>
              <w:sz w:val="22"/>
              <w:szCs w:val="22"/>
            </w:rPr>
          </w:pPr>
          <w:r w:rsidRPr="00CA4194">
            <w:rPr>
              <w:rFonts w:ascii="Nunito Sans" w:hAnsi="Nunito Sans"/>
              <w:sz w:val="22"/>
              <w:szCs w:val="22"/>
            </w:rPr>
            <w:t>Gobernanza de datos fragmentada a nivel sectorial, sin un estándar único de “dato maestro” para conceptos clave como producción, barril o kilovatio, lo que genera reprocesos frecuentes de conciliación de cifras entre entidades.</w:t>
          </w:r>
        </w:p>
        <w:p w:rsidRPr="00CA4194" w:rsidR="005E3BD6" w:rsidRDefault="005E3BD6" w14:paraId="51429481" w14:textId="77777777">
          <w:pPr>
            <w:pStyle w:val="Default"/>
            <w:numPr>
              <w:ilvl w:val="0"/>
              <w:numId w:val="16"/>
            </w:numPr>
            <w:rPr>
              <w:rFonts w:ascii="Nunito Sans" w:hAnsi="Nunito Sans"/>
              <w:sz w:val="22"/>
              <w:szCs w:val="22"/>
            </w:rPr>
          </w:pPr>
          <w:r w:rsidRPr="00CA4194">
            <w:rPr>
              <w:rFonts w:ascii="Nunito Sans" w:hAnsi="Nunito Sans"/>
              <w:sz w:val="22"/>
              <w:szCs w:val="22"/>
            </w:rPr>
            <w:t>Interoperabilidad limitada para soportar iniciativas de transformación digital, asociada a la ausencia de un bus de interoperabilidad sectorial estandarizado, lo que deriva en integraciones punto a punto difíciles de mantener.</w:t>
          </w:r>
        </w:p>
        <w:p w:rsidRPr="00CA4194" w:rsidR="005E3BD6" w:rsidRDefault="005E3BD6" w14:paraId="0247FFE5" w14:textId="77777777">
          <w:pPr>
            <w:pStyle w:val="Default"/>
            <w:numPr>
              <w:ilvl w:val="0"/>
              <w:numId w:val="16"/>
            </w:numPr>
            <w:rPr>
              <w:rFonts w:ascii="Nunito Sans" w:hAnsi="Nunito Sans"/>
              <w:sz w:val="22"/>
              <w:szCs w:val="22"/>
            </w:rPr>
          </w:pPr>
          <w:r w:rsidRPr="00CA4194">
            <w:rPr>
              <w:rFonts w:ascii="Nunito Sans" w:hAnsi="Nunito Sans"/>
              <w:sz w:val="22"/>
              <w:szCs w:val="22"/>
            </w:rPr>
            <w:t>Presencia de obsolescencia tecnológica en sistemas misionales núcleo, especialmente en tecnologías legadas en entidades reguladoras, que dificulta la modernización de servicios digitales y la exposición de APIs abiertas.</w:t>
          </w:r>
        </w:p>
        <w:p w:rsidRPr="00E37806" w:rsidR="005E3BD6" w:rsidP="005E3BD6" w:rsidRDefault="005E3BD6" w14:paraId="1F309E4E" w14:textId="77777777">
          <w:pPr>
            <w:pStyle w:val="Default"/>
            <w:rPr>
              <w:rFonts w:ascii="Nunito Sans" w:hAnsi="Nunito Sans"/>
              <w:b/>
              <w:bCs/>
              <w:sz w:val="22"/>
              <w:szCs w:val="22"/>
            </w:rPr>
          </w:pPr>
          <w:r w:rsidRPr="00E37806">
            <w:rPr>
              <w:rFonts w:ascii="Nunito Sans" w:hAnsi="Nunito Sans"/>
              <w:b/>
              <w:bCs/>
              <w:sz w:val="22"/>
              <w:szCs w:val="22"/>
            </w:rPr>
            <w:t>Fortalezas</w:t>
          </w:r>
        </w:p>
        <w:p w:rsidRPr="00A836A2" w:rsidR="005E3BD6" w:rsidRDefault="005E3BD6" w14:paraId="2735CCF6" w14:textId="77777777">
          <w:pPr>
            <w:pStyle w:val="Default"/>
            <w:numPr>
              <w:ilvl w:val="0"/>
              <w:numId w:val="16"/>
            </w:numPr>
            <w:jc w:val="both"/>
            <w:rPr>
              <w:rFonts w:ascii="Nunito Sans" w:hAnsi="Nunito Sans"/>
              <w:sz w:val="22"/>
              <w:szCs w:val="22"/>
            </w:rPr>
          </w:pPr>
          <w:r w:rsidRPr="00A836A2">
            <w:rPr>
              <w:rFonts w:ascii="Nunito Sans" w:hAnsi="Nunito Sans"/>
              <w:sz w:val="22"/>
              <w:szCs w:val="22"/>
            </w:rPr>
            <w:t>El sector dispone de un patrimonio de datos de alto valor estratégico, particularmente en información geológica, sísmica y de producción, que constituye una base relevante para iniciativas de analítica avanzada e inteligencia artificial.</w:t>
          </w:r>
        </w:p>
        <w:p w:rsidRPr="00A836A2" w:rsidR="005E3BD6" w:rsidRDefault="005E3BD6" w14:paraId="5604D3CE" w14:textId="77777777">
          <w:pPr>
            <w:pStyle w:val="Default"/>
            <w:numPr>
              <w:ilvl w:val="0"/>
              <w:numId w:val="16"/>
            </w:numPr>
            <w:jc w:val="both"/>
            <w:rPr>
              <w:rFonts w:ascii="Nunito Sans" w:hAnsi="Nunito Sans"/>
              <w:sz w:val="22"/>
              <w:szCs w:val="22"/>
            </w:rPr>
          </w:pPr>
          <w:r w:rsidRPr="00A836A2">
            <w:rPr>
              <w:rFonts w:ascii="Nunito Sans" w:hAnsi="Nunito Sans"/>
              <w:sz w:val="22"/>
              <w:szCs w:val="22"/>
            </w:rPr>
            <w:t>Se evidencian avances significativos en infraestructura de medición avanzada (AMI) y soluciones de telemetría, especialmente en el sector eléctrico, que pueden ser apalancados para nuevos modelos digitales.</w:t>
          </w:r>
        </w:p>
        <w:p w:rsidRPr="00CA4194" w:rsidR="005E3BD6" w:rsidRDefault="005E3BD6" w14:paraId="123E68E5" w14:textId="77777777">
          <w:pPr>
            <w:pStyle w:val="Default"/>
            <w:numPr>
              <w:ilvl w:val="0"/>
              <w:numId w:val="16"/>
            </w:numPr>
            <w:jc w:val="both"/>
            <w:rPr>
              <w:rFonts w:ascii="Nunito Sans" w:hAnsi="Nunito Sans"/>
              <w:sz w:val="22"/>
              <w:szCs w:val="22"/>
            </w:rPr>
          </w:pPr>
          <w:r w:rsidRPr="0E79E4E6">
            <w:rPr>
              <w:rFonts w:ascii="Nunito Sans" w:hAnsi="Nunito Sans"/>
              <w:sz w:val="22"/>
              <w:szCs w:val="22"/>
            </w:rPr>
            <w:lastRenderedPageBreak/>
            <w:t>Las entidades adscritas presentan un nivel alto de alineación con las políticas de Gobierno Digital definidas por el MinTIC, lo que facilita la adopción de prácticas comunes y la estandarización administrativa en procesos de transformación digital.</w:t>
          </w:r>
        </w:p>
        <w:p w:rsidR="005E3BD6" w:rsidP="005E3BD6" w:rsidRDefault="005E3BD6" w14:paraId="7F4AD19C" w14:textId="77777777"/>
        <w:p w:rsidR="005E3BD6" w:rsidRDefault="005E3BD6" w14:paraId="74584541" w14:textId="501EC9A5">
          <w:pPr>
            <w:pStyle w:val="Ttulo3"/>
            <w:numPr>
              <w:ilvl w:val="2"/>
              <w:numId w:val="36"/>
            </w:numPr>
          </w:pPr>
          <w:bookmarkStart w:name="_Toc1886840661" w:id="275"/>
          <w:bookmarkStart w:name="_Toc234234492" w:id="276"/>
          <w:r w:rsidRPr="0E79E4E6">
            <w:t>Rupturas Estratégicas</w:t>
          </w:r>
          <w:bookmarkEnd w:id="275"/>
          <w:bookmarkEnd w:id="276"/>
        </w:p>
        <w:p w:rsidRPr="00DF354F" w:rsidR="00DF354F" w:rsidP="00DF354F" w:rsidRDefault="00DF354F" w14:paraId="4EF340F7" w14:textId="77777777">
          <w:pPr>
            <w:rPr>
              <w:lang w:val="es-ES"/>
            </w:rPr>
          </w:pPr>
        </w:p>
        <w:p w:rsidR="236032F6" w:rsidP="4E60D266" w:rsidRDefault="236032F6" w14:paraId="5D5212F8" w14:textId="6258EDAB">
          <w:pPr>
            <w:jc w:val="both"/>
            <w:rPr>
              <w:rFonts w:ascii="Nunito Sans" w:hAnsi="Nunito Sans" w:eastAsiaTheme="minorEastAsia"/>
              <w:sz w:val="22"/>
              <w:szCs w:val="22"/>
            </w:rPr>
          </w:pPr>
          <w:r w:rsidRPr="4E60D266">
            <w:rPr>
              <w:rFonts w:ascii="Nunito Sans" w:hAnsi="Nunito Sans" w:eastAsiaTheme="minorEastAsia"/>
              <w:sz w:val="22"/>
              <w:szCs w:val="22"/>
            </w:rPr>
            <w:t>Las rupturas estratégicas del PETI sectorial representan los cambios estructurales necesarios para cerrar las brechas identificadas entre la Situación Actual (AS-IS) y la Arquitectura Objetivo (TO-BE) del Sector Minero-Energético, derivadas del diagnóstico sectorial, del análisis DOFA, en coherencia con los objetivos del Plan Nacional de Desarrollo y el enfoque de Transición Energética Justa; a continuación se presentan las rupturas estratégicas definidas para este dominio, las cuales orientan la evolución de sus capacidades, la priorización de iniciativas y la formulación de la hoja de ruta sectorial:</w:t>
          </w:r>
        </w:p>
        <w:p w:rsidR="4E60D266" w:rsidP="4E60D266" w:rsidRDefault="4E60D266" w14:paraId="1B27AD60" w14:textId="65E3B060">
          <w:pPr>
            <w:rPr>
              <w:rFonts w:ascii="Nunito Sans" w:hAnsi="Nunito Sans" w:eastAsiaTheme="minorEastAsia"/>
              <w:sz w:val="22"/>
              <w:szCs w:val="22"/>
            </w:rPr>
          </w:pPr>
        </w:p>
        <w:p w:rsidR="005E3BD6" w:rsidP="005E3BD6" w:rsidRDefault="005E3BD6" w14:paraId="51268066" w14:textId="77777777">
          <w:pPr>
            <w:rPr>
              <w:rFonts w:eastAsiaTheme="minorEastAsia"/>
              <w:sz w:val="22"/>
              <w:szCs w:val="22"/>
              <w:lang w:val="es-ES"/>
            </w:rPr>
          </w:pPr>
        </w:p>
        <w:p w:rsidRPr="00F2742B" w:rsidR="005E3BD6" w:rsidP="005E3BD6" w:rsidRDefault="00F2742B" w14:paraId="4D18999A" w14:textId="165DE168">
          <w:pPr>
            <w:ind w:left="360" w:hanging="360"/>
            <w:jc w:val="center"/>
            <w:rPr>
              <w:rFonts w:ascii="Nunito Sans" w:hAnsi="Nunito Sans" w:cs="Calibri"/>
              <w:b/>
              <w:bCs/>
              <w:sz w:val="18"/>
              <w:szCs w:val="18"/>
            </w:rPr>
          </w:pPr>
          <w:bookmarkStart w:name="_Toc220664200" w:id="277"/>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29</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Paradigmas de Transformación Digital</w:t>
          </w:r>
          <w:bookmarkEnd w:id="277"/>
        </w:p>
        <w:tbl>
          <w:tblPr>
            <w:tblStyle w:val="Tablaconcuadrcula"/>
            <w:tblW w:w="7506"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68"/>
            <w:gridCol w:w="5238"/>
          </w:tblGrid>
          <w:tr w:rsidRPr="00B34900" w:rsidR="005E3BD6" w:rsidTr="00597FF4" w14:paraId="7CB378ED" w14:textId="77777777">
            <w:trPr>
              <w:trHeight w:val="30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B34900" w:rsidR="005E3BD6" w:rsidP="00597FF4" w:rsidRDefault="005E3BD6" w14:paraId="43C98CE6" w14:textId="77777777">
                <w:pPr>
                  <w:pStyle w:val="Default"/>
                  <w:jc w:val="center"/>
                  <w:rPr>
                    <w:rFonts w:ascii="Nunito Sans" w:hAnsi="Nunito Sans" w:cs="Calibri"/>
                    <w:b/>
                    <w:bCs/>
                    <w:color w:val="FFFFFF" w:themeColor="background1"/>
                    <w:sz w:val="18"/>
                    <w:szCs w:val="18"/>
                  </w:rPr>
                </w:pPr>
                <w:r w:rsidRPr="00B34900">
                  <w:rPr>
                    <w:rFonts w:ascii="Nunito Sans" w:hAnsi="Nunito Sans" w:cs="Calibri"/>
                    <w:b/>
                    <w:bCs/>
                    <w:color w:val="FFFFFF" w:themeColor="background1"/>
                    <w:sz w:val="18"/>
                    <w:szCs w:val="18"/>
                  </w:rPr>
                  <w:t>Atributo</w:t>
                </w:r>
              </w:p>
            </w:tc>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B34900" w:rsidR="005E3BD6" w:rsidP="00597FF4" w:rsidRDefault="005E3BD6" w14:paraId="262F393C" w14:textId="77777777">
                <w:pPr>
                  <w:pStyle w:val="Default"/>
                  <w:jc w:val="center"/>
                  <w:rPr>
                    <w:rFonts w:ascii="Nunito Sans" w:hAnsi="Nunito Sans" w:cs="Calibri"/>
                    <w:b/>
                    <w:bCs/>
                    <w:color w:val="FFFFFF" w:themeColor="background1"/>
                    <w:sz w:val="18"/>
                    <w:szCs w:val="18"/>
                  </w:rPr>
                </w:pPr>
                <w:r w:rsidRPr="00B34900">
                  <w:rPr>
                    <w:rFonts w:ascii="Nunito Sans" w:hAnsi="Nunito Sans" w:cs="Calibri"/>
                    <w:b/>
                    <w:bCs/>
                    <w:color w:val="FFFFFF" w:themeColor="background1"/>
                    <w:sz w:val="18"/>
                    <w:szCs w:val="18"/>
                  </w:rPr>
                  <w:t>Descripción</w:t>
                </w:r>
              </w:p>
            </w:tc>
          </w:tr>
          <w:tr w:rsidRPr="00B34900" w:rsidR="005E3BD6" w:rsidTr="00597FF4" w14:paraId="3683CD54" w14:textId="77777777">
            <w:trPr>
              <w:trHeight w:val="30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0C331CE7"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Identificador</w:t>
                </w:r>
              </w:p>
            </w:tc>
            <w:tc>
              <w:tcPr>
                <w:tcW w:w="0" w:type="auto"/>
                <w:tcBorders>
                  <w:top w:val="single" w:color="FFFFFF" w:themeColor="background1" w:sz="4" w:space="0"/>
                  <w:left w:val="single" w:color="FFFFFF" w:themeColor="background1" w:sz="4" w:space="0"/>
                </w:tcBorders>
                <w:vAlign w:val="center"/>
                <w:hideMark/>
              </w:tcPr>
              <w:p w:rsidRPr="00B34900" w:rsidR="005E3BD6" w:rsidP="00B4771C" w:rsidRDefault="005E3BD6" w14:paraId="1FE886B0" w14:textId="77777777">
                <w:pPr>
                  <w:pStyle w:val="Default"/>
                  <w:rPr>
                    <w:rFonts w:ascii="Nunito Sans" w:hAnsi="Nunito Sans" w:cs="Calibri"/>
                    <w:sz w:val="18"/>
                    <w:szCs w:val="18"/>
                  </w:rPr>
                </w:pPr>
                <w:r w:rsidRPr="00B34900">
                  <w:rPr>
                    <w:rFonts w:ascii="Nunito Sans" w:hAnsi="Nunito Sans" w:cs="Calibri"/>
                    <w:sz w:val="18"/>
                    <w:szCs w:val="18"/>
                  </w:rPr>
                  <w:t>RE–11</w:t>
                </w:r>
              </w:p>
            </w:tc>
          </w:tr>
          <w:tr w:rsidRPr="00B34900" w:rsidR="005E3BD6" w:rsidTr="00597FF4" w14:paraId="449EA2E9" w14:textId="77777777">
            <w:trPr>
              <w:trHeight w:val="335"/>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7968DC9D"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Nombre Corto</w:t>
                </w:r>
              </w:p>
            </w:tc>
            <w:tc>
              <w:tcPr>
                <w:tcW w:w="0" w:type="auto"/>
                <w:tcBorders>
                  <w:left w:val="single" w:color="FFFFFF" w:themeColor="background1" w:sz="4" w:space="0"/>
                </w:tcBorders>
                <w:vAlign w:val="center"/>
                <w:hideMark/>
              </w:tcPr>
              <w:p w:rsidRPr="00B34900" w:rsidR="005E3BD6" w:rsidP="00B4771C" w:rsidRDefault="005E3BD6" w14:paraId="46E46FB7" w14:textId="77777777">
                <w:pPr>
                  <w:pStyle w:val="Default"/>
                  <w:rPr>
                    <w:rFonts w:ascii="Nunito Sans" w:hAnsi="Nunito Sans" w:cs="Calibri"/>
                    <w:sz w:val="18"/>
                    <w:szCs w:val="18"/>
                  </w:rPr>
                </w:pPr>
                <w:r w:rsidRPr="00B34900">
                  <w:rPr>
                    <w:rFonts w:ascii="Nunito Sans" w:hAnsi="Nunito Sans" w:cs="Calibri"/>
                    <w:sz w:val="18"/>
                    <w:szCs w:val="18"/>
                  </w:rPr>
                  <w:t>Estrategia I+D</w:t>
                </w:r>
              </w:p>
            </w:tc>
          </w:tr>
          <w:tr w:rsidRPr="00B34900" w:rsidR="005E3BD6" w:rsidTr="00597FF4" w14:paraId="71CC6427" w14:textId="77777777">
            <w:trPr>
              <w:trHeight w:val="5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14DC9FE9"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Descripción del Paradigma</w:t>
                </w:r>
              </w:p>
            </w:tc>
            <w:tc>
              <w:tcPr>
                <w:tcW w:w="0" w:type="auto"/>
                <w:tcBorders>
                  <w:left w:val="single" w:color="FFFFFF" w:themeColor="background1" w:sz="4" w:space="0"/>
                </w:tcBorders>
                <w:vAlign w:val="center"/>
                <w:hideMark/>
              </w:tcPr>
              <w:p w:rsidRPr="00B34900" w:rsidR="005E3BD6" w:rsidP="00B4771C" w:rsidRDefault="005E3BD6" w14:paraId="6EEF6A42" w14:textId="77777777">
                <w:pPr>
                  <w:pStyle w:val="Default"/>
                  <w:rPr>
                    <w:rFonts w:ascii="Nunito Sans" w:hAnsi="Nunito Sans" w:cs="Calibri"/>
                    <w:sz w:val="18"/>
                    <w:szCs w:val="18"/>
                  </w:rPr>
                </w:pPr>
                <w:r w:rsidRPr="00B34900">
                  <w:rPr>
                    <w:rFonts w:ascii="Nunito Sans" w:hAnsi="Nunito Sans" w:cs="Calibri"/>
                    <w:sz w:val="18"/>
                    <w:szCs w:val="18"/>
                  </w:rPr>
                  <w:t>Innovación aislada y descoordinada.</w:t>
                </w:r>
              </w:p>
            </w:tc>
          </w:tr>
          <w:tr w:rsidRPr="00B34900" w:rsidR="005E3BD6" w:rsidTr="00597FF4" w14:paraId="45DF94E5" w14:textId="77777777">
            <w:trPr>
              <w:trHeight w:val="265"/>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492B27E0"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Efectos Directos</w:t>
                </w:r>
              </w:p>
            </w:tc>
            <w:tc>
              <w:tcPr>
                <w:tcW w:w="0" w:type="auto"/>
                <w:tcBorders>
                  <w:left w:val="single" w:color="FFFFFF" w:themeColor="background1" w:sz="4" w:space="0"/>
                </w:tcBorders>
                <w:vAlign w:val="center"/>
                <w:hideMark/>
              </w:tcPr>
              <w:p w:rsidRPr="00B34900" w:rsidR="005E3BD6" w:rsidP="00B4771C" w:rsidRDefault="005E3BD6" w14:paraId="17A59205" w14:textId="77777777">
                <w:pPr>
                  <w:pStyle w:val="Default"/>
                  <w:rPr>
                    <w:rFonts w:ascii="Nunito Sans" w:hAnsi="Nunito Sans" w:cs="Calibri"/>
                    <w:sz w:val="18"/>
                    <w:szCs w:val="18"/>
                  </w:rPr>
                </w:pPr>
                <w:r w:rsidRPr="00B34900">
                  <w:rPr>
                    <w:rFonts w:ascii="Nunito Sans" w:hAnsi="Nunito Sans" w:cs="Calibri"/>
                    <w:sz w:val="18"/>
                    <w:szCs w:val="18"/>
                  </w:rPr>
                  <w:t>Mayor duplicidad de esfuerzos y baja priorización estratégica.</w:t>
                </w:r>
              </w:p>
            </w:tc>
          </w:tr>
          <w:tr w:rsidRPr="00B34900" w:rsidR="005E3BD6" w:rsidTr="00597FF4" w14:paraId="2524F5F0" w14:textId="77777777">
            <w:trPr>
              <w:trHeight w:val="544"/>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2D5FEF2F"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Descripción de la Ruptura</w:t>
                </w:r>
              </w:p>
            </w:tc>
            <w:tc>
              <w:tcPr>
                <w:tcW w:w="0" w:type="auto"/>
                <w:tcBorders>
                  <w:left w:val="single" w:color="FFFFFF" w:themeColor="background1" w:sz="4" w:space="0"/>
                </w:tcBorders>
                <w:vAlign w:val="center"/>
                <w:hideMark/>
              </w:tcPr>
              <w:p w:rsidRPr="00B34900" w:rsidR="005E3BD6" w:rsidP="00B4771C" w:rsidRDefault="005E3BD6" w14:paraId="54679752" w14:textId="77777777">
                <w:pPr>
                  <w:pStyle w:val="Default"/>
                  <w:rPr>
                    <w:rFonts w:ascii="Nunito Sans" w:hAnsi="Nunito Sans" w:cs="Calibri"/>
                    <w:sz w:val="18"/>
                    <w:szCs w:val="18"/>
                  </w:rPr>
                </w:pPr>
                <w:r w:rsidRPr="00B34900">
                  <w:rPr>
                    <w:rFonts w:ascii="Nunito Sans" w:hAnsi="Nunito Sans" w:cs="Calibri"/>
                    <w:sz w:val="18"/>
                    <w:szCs w:val="18"/>
                  </w:rPr>
                  <w:t>Establecer un programa formal de investigación y desarrollo sectorial.</w:t>
                </w:r>
              </w:p>
            </w:tc>
          </w:tr>
          <w:tr w:rsidRPr="00B34900" w:rsidR="005E3BD6" w:rsidTr="00597FF4" w14:paraId="62F2A539" w14:textId="77777777">
            <w:trPr>
              <w:trHeight w:val="600"/>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15FBC72A"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Cómo romper el Paradigma</w:t>
                </w:r>
              </w:p>
            </w:tc>
            <w:tc>
              <w:tcPr>
                <w:tcW w:w="0" w:type="auto"/>
                <w:tcBorders>
                  <w:left w:val="single" w:color="FFFFFF" w:themeColor="background1" w:sz="4" w:space="0"/>
                </w:tcBorders>
                <w:vAlign w:val="center"/>
                <w:hideMark/>
              </w:tcPr>
              <w:p w:rsidRPr="00B34900" w:rsidR="005E3BD6" w:rsidP="00B4771C" w:rsidRDefault="005E3BD6" w14:paraId="77145AF7" w14:textId="77777777">
                <w:pPr>
                  <w:pStyle w:val="Default"/>
                  <w:rPr>
                    <w:rFonts w:ascii="Nunito Sans" w:hAnsi="Nunito Sans" w:cs="Calibri"/>
                    <w:sz w:val="18"/>
                    <w:szCs w:val="18"/>
                  </w:rPr>
                </w:pPr>
                <w:r w:rsidRPr="00B34900">
                  <w:rPr>
                    <w:rFonts w:ascii="Nunito Sans" w:hAnsi="Nunito Sans" w:cs="Calibri"/>
                    <w:sz w:val="18"/>
                    <w:szCs w:val="18"/>
                  </w:rPr>
                  <w:t>Comité sectorial I+D, priorización de iniciativas, pilotos controlados.</w:t>
                </w:r>
              </w:p>
            </w:tc>
          </w:tr>
          <w:tr w:rsidRPr="00B34900" w:rsidR="005E3BD6" w:rsidTr="00597FF4" w14:paraId="2B90A40E" w14:textId="77777777">
            <w:trPr>
              <w:trHeight w:val="335"/>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11B96057"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Impacto Esperado</w:t>
                </w:r>
              </w:p>
            </w:tc>
            <w:tc>
              <w:tcPr>
                <w:tcW w:w="0" w:type="auto"/>
                <w:tcBorders>
                  <w:left w:val="single" w:color="FFFFFF" w:themeColor="background1" w:sz="4" w:space="0"/>
                </w:tcBorders>
                <w:vAlign w:val="center"/>
                <w:hideMark/>
              </w:tcPr>
              <w:p w:rsidRPr="00B34900" w:rsidR="005E3BD6" w:rsidP="00B4771C" w:rsidRDefault="005E3BD6" w14:paraId="0FB19AE9" w14:textId="77777777">
                <w:pPr>
                  <w:pStyle w:val="Default"/>
                  <w:rPr>
                    <w:rFonts w:ascii="Nunito Sans" w:hAnsi="Nunito Sans" w:cs="Calibri"/>
                    <w:sz w:val="18"/>
                    <w:szCs w:val="18"/>
                  </w:rPr>
                </w:pPr>
                <w:r w:rsidRPr="00B34900">
                  <w:rPr>
                    <w:rFonts w:ascii="Nunito Sans" w:hAnsi="Nunito Sans" w:cs="Calibri"/>
                    <w:sz w:val="18"/>
                    <w:szCs w:val="18"/>
                  </w:rPr>
                  <w:t>Innovación alineada y estratégica.</w:t>
                </w:r>
              </w:p>
            </w:tc>
          </w:tr>
          <w:tr w:rsidRPr="00B34900" w:rsidR="005E3BD6" w:rsidTr="00597FF4" w14:paraId="4B709A24" w14:textId="77777777">
            <w:trPr>
              <w:trHeight w:val="30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66F26488"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Grupos de Interés</w:t>
                </w:r>
              </w:p>
            </w:tc>
            <w:tc>
              <w:tcPr>
                <w:tcW w:w="0" w:type="auto"/>
                <w:tcBorders>
                  <w:left w:val="single" w:color="FFFFFF" w:themeColor="background1" w:sz="4" w:space="0"/>
                </w:tcBorders>
                <w:vAlign w:val="center"/>
                <w:hideMark/>
              </w:tcPr>
              <w:p w:rsidRPr="00B34900" w:rsidR="005E3BD6" w:rsidP="00B4771C" w:rsidRDefault="005E3BD6" w14:paraId="7C079F20" w14:textId="77777777">
                <w:pPr>
                  <w:pStyle w:val="Default"/>
                  <w:rPr>
                    <w:rFonts w:ascii="Nunito Sans" w:hAnsi="Nunito Sans" w:cs="Calibri"/>
                    <w:sz w:val="18"/>
                    <w:szCs w:val="18"/>
                  </w:rPr>
                </w:pPr>
                <w:r w:rsidRPr="00B34900">
                  <w:rPr>
                    <w:rFonts w:ascii="Nunito Sans" w:hAnsi="Nunito Sans" w:cs="Calibri"/>
                    <w:sz w:val="18"/>
                    <w:szCs w:val="18"/>
                  </w:rPr>
                  <w:t>Ciudadanos, empresas, academia, entidades sectoriales.</w:t>
                </w:r>
              </w:p>
            </w:tc>
          </w:tr>
          <w:tr w:rsidRPr="00B34900" w:rsidR="005E3BD6" w:rsidTr="00597FF4" w14:paraId="3641C824" w14:textId="77777777">
            <w:trPr>
              <w:trHeight w:val="196"/>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39D6394F"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Dominio MRAE</w:t>
                </w:r>
              </w:p>
            </w:tc>
            <w:tc>
              <w:tcPr>
                <w:tcW w:w="0" w:type="auto"/>
                <w:tcBorders>
                  <w:left w:val="single" w:color="FFFFFF" w:themeColor="background1" w:sz="4" w:space="0"/>
                </w:tcBorders>
                <w:vAlign w:val="center"/>
                <w:hideMark/>
              </w:tcPr>
              <w:p w:rsidRPr="00B34900" w:rsidR="005E3BD6" w:rsidP="00B4771C" w:rsidRDefault="005E3BD6" w14:paraId="6A616A8E" w14:textId="77777777">
                <w:pPr>
                  <w:pStyle w:val="Default"/>
                  <w:rPr>
                    <w:rFonts w:ascii="Nunito Sans" w:hAnsi="Nunito Sans" w:cs="Calibri"/>
                    <w:sz w:val="18"/>
                    <w:szCs w:val="18"/>
                  </w:rPr>
                </w:pPr>
                <w:r w:rsidRPr="00B34900">
                  <w:rPr>
                    <w:rFonts w:ascii="Nunito Sans" w:hAnsi="Nunito Sans" w:cs="Calibri"/>
                    <w:sz w:val="18"/>
                    <w:szCs w:val="18"/>
                  </w:rPr>
                  <w:t>Transformación Digital</w:t>
                </w:r>
              </w:p>
            </w:tc>
          </w:tr>
          <w:tr w:rsidRPr="00B34900" w:rsidR="005E3BD6" w:rsidTr="00597FF4" w14:paraId="4C0B1816" w14:textId="77777777">
            <w:trPr>
              <w:trHeight w:val="238"/>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97FF4" w:rsidR="005E3BD6" w:rsidP="00B4771C" w:rsidRDefault="005E3BD6" w14:paraId="14A7DEE7" w14:textId="77777777">
                <w:pPr>
                  <w:pStyle w:val="Default"/>
                  <w:rPr>
                    <w:rFonts w:ascii="Nunito Sans" w:hAnsi="Nunito Sans" w:cs="Calibri"/>
                    <w:color w:val="FFFFFF" w:themeColor="background1"/>
                    <w:sz w:val="18"/>
                    <w:szCs w:val="18"/>
                  </w:rPr>
                </w:pPr>
                <w:r w:rsidRPr="00597FF4">
                  <w:rPr>
                    <w:rFonts w:ascii="Nunito Sans" w:hAnsi="Nunito Sans" w:cs="Calibri"/>
                    <w:color w:val="FFFFFF" w:themeColor="background1"/>
                    <w:sz w:val="18"/>
                    <w:szCs w:val="18"/>
                  </w:rPr>
                  <w:t>Clasificación de Impacto</w:t>
                </w:r>
              </w:p>
            </w:tc>
            <w:tc>
              <w:tcPr>
                <w:tcW w:w="0" w:type="auto"/>
                <w:tcBorders>
                  <w:left w:val="single" w:color="FFFFFF" w:themeColor="background1" w:sz="4" w:space="0"/>
                </w:tcBorders>
                <w:vAlign w:val="center"/>
                <w:hideMark/>
              </w:tcPr>
              <w:p w:rsidRPr="00B34900" w:rsidR="005E3BD6" w:rsidP="00B4771C" w:rsidRDefault="005E3BD6" w14:paraId="071F04E2" w14:textId="77777777">
                <w:pPr>
                  <w:pStyle w:val="Default"/>
                  <w:rPr>
                    <w:rFonts w:ascii="Nunito Sans" w:hAnsi="Nunito Sans" w:cs="Calibri"/>
                    <w:sz w:val="18"/>
                    <w:szCs w:val="18"/>
                  </w:rPr>
                </w:pPr>
                <w:r w:rsidRPr="00B34900">
                  <w:rPr>
                    <w:rFonts w:ascii="Nunito Sans" w:hAnsi="Nunito Sans" w:cs="Calibri"/>
                    <w:sz w:val="18"/>
                    <w:szCs w:val="18"/>
                  </w:rPr>
                  <w:t>Alto</w:t>
                </w:r>
              </w:p>
            </w:tc>
          </w:tr>
        </w:tbl>
        <w:p w:rsidRPr="007F3FBB" w:rsidR="005E3BD6" w:rsidP="007F3FBB" w:rsidRDefault="005E69F6" w14:paraId="0EF6E4FD" w14:textId="702D5F0F">
          <w:pPr>
            <w:ind w:left="360" w:hanging="360"/>
            <w:jc w:val="center"/>
            <w:rPr>
              <w:rFonts w:ascii="Nunito Sans" w:hAnsi="Nunito Sans" w:cs="Calibri"/>
              <w:b/>
              <w:bCs/>
              <w:sz w:val="18"/>
              <w:szCs w:val="18"/>
            </w:rPr>
          </w:pPr>
        </w:p>
      </w:sdtContent>
    </w:sdt>
    <w:tbl>
      <w:tblPr>
        <w:tblStyle w:val="Tablaconcuadrcula"/>
        <w:tblW w:w="7506"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268"/>
        <w:gridCol w:w="5238"/>
      </w:tblGrid>
      <w:tr w:rsidRPr="00B34900" w:rsidR="005E3BD6" w:rsidTr="00515448" w14:paraId="5E58B76D" w14:textId="77777777">
        <w:trPr>
          <w:trHeight w:val="3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B34900" w:rsidR="005E3BD6" w:rsidP="00597FF4" w:rsidRDefault="005E3BD6" w14:paraId="30BB69F8" w14:textId="77777777">
            <w:pPr>
              <w:pStyle w:val="Default"/>
              <w:jc w:val="center"/>
              <w:rPr>
                <w:rFonts w:ascii="Nunito Sans" w:hAnsi="Nunito Sans" w:cs="Calibri"/>
                <w:b/>
                <w:bCs/>
                <w:color w:val="FFFFFF" w:themeColor="background1"/>
                <w:sz w:val="18"/>
                <w:szCs w:val="18"/>
              </w:rPr>
            </w:pPr>
            <w:r w:rsidRPr="00B34900">
              <w:rPr>
                <w:rFonts w:ascii="Nunito Sans" w:hAnsi="Nunito Sans" w:cs="Calibri"/>
                <w:b/>
                <w:bCs/>
                <w:color w:val="FFFFFF" w:themeColor="background1"/>
                <w:sz w:val="18"/>
                <w:szCs w:val="18"/>
              </w:rPr>
              <w:t>Atributo</w:t>
            </w:r>
          </w:p>
        </w:tc>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B34900" w:rsidR="005E3BD6" w:rsidP="00597FF4" w:rsidRDefault="005E3BD6" w14:paraId="20DD2171" w14:textId="77777777">
            <w:pPr>
              <w:pStyle w:val="Default"/>
              <w:jc w:val="center"/>
              <w:rPr>
                <w:rFonts w:ascii="Nunito Sans" w:hAnsi="Nunito Sans" w:cs="Calibri"/>
                <w:b/>
                <w:bCs/>
                <w:color w:val="FFFFFF" w:themeColor="background1"/>
                <w:sz w:val="18"/>
                <w:szCs w:val="18"/>
              </w:rPr>
            </w:pPr>
            <w:r w:rsidRPr="00B34900">
              <w:rPr>
                <w:rFonts w:ascii="Nunito Sans" w:hAnsi="Nunito Sans" w:cs="Calibri"/>
                <w:b/>
                <w:bCs/>
                <w:color w:val="FFFFFF" w:themeColor="background1"/>
                <w:sz w:val="18"/>
                <w:szCs w:val="18"/>
              </w:rPr>
              <w:t>Descripción</w:t>
            </w:r>
          </w:p>
        </w:tc>
      </w:tr>
      <w:tr w:rsidRPr="00B34900" w:rsidR="005E3BD6" w:rsidTr="00515448" w14:paraId="56E6C1EB" w14:textId="77777777">
        <w:trPr>
          <w:trHeight w:val="33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0C81C677"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Identificador</w:t>
            </w:r>
          </w:p>
        </w:tc>
        <w:tc>
          <w:tcPr>
            <w:tcW w:w="0" w:type="auto"/>
            <w:tcBorders>
              <w:top w:val="single" w:color="FFFFFF" w:themeColor="background1" w:sz="4" w:space="0"/>
              <w:left w:val="single" w:color="FFFFFF" w:themeColor="background1" w:sz="4" w:space="0"/>
            </w:tcBorders>
            <w:vAlign w:val="center"/>
            <w:hideMark/>
          </w:tcPr>
          <w:p w:rsidRPr="00B34900" w:rsidR="005E3BD6" w:rsidP="00B4771C" w:rsidRDefault="005E3BD6" w14:paraId="69A76BFD" w14:textId="77777777">
            <w:pPr>
              <w:pStyle w:val="Default"/>
              <w:rPr>
                <w:rFonts w:ascii="Nunito Sans" w:hAnsi="Nunito Sans" w:cs="Calibri"/>
                <w:sz w:val="18"/>
                <w:szCs w:val="18"/>
              </w:rPr>
            </w:pPr>
            <w:r w:rsidRPr="00B34900">
              <w:rPr>
                <w:rFonts w:ascii="Nunito Sans" w:hAnsi="Nunito Sans" w:cs="Calibri"/>
                <w:sz w:val="18"/>
                <w:szCs w:val="18"/>
              </w:rPr>
              <w:t>RE–12</w:t>
            </w:r>
          </w:p>
        </w:tc>
      </w:tr>
      <w:tr w:rsidRPr="00B34900" w:rsidR="005E3BD6" w:rsidTr="00515448" w14:paraId="3816BDC7" w14:textId="77777777">
        <w:trPr>
          <w:trHeight w:val="3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6DAA3B9F"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Nombre Corto</w:t>
            </w:r>
          </w:p>
        </w:tc>
        <w:tc>
          <w:tcPr>
            <w:tcW w:w="0" w:type="auto"/>
            <w:tcBorders>
              <w:left w:val="single" w:color="FFFFFF" w:themeColor="background1" w:sz="4" w:space="0"/>
            </w:tcBorders>
            <w:vAlign w:val="center"/>
            <w:hideMark/>
          </w:tcPr>
          <w:p w:rsidRPr="00B34900" w:rsidR="005E3BD6" w:rsidP="00B4771C" w:rsidRDefault="005E3BD6" w14:paraId="36BE2824" w14:textId="77777777">
            <w:pPr>
              <w:pStyle w:val="Default"/>
              <w:rPr>
                <w:rFonts w:ascii="Nunito Sans" w:hAnsi="Nunito Sans" w:cs="Calibri"/>
                <w:sz w:val="18"/>
                <w:szCs w:val="18"/>
              </w:rPr>
            </w:pPr>
            <w:r w:rsidRPr="00B34900">
              <w:rPr>
                <w:rFonts w:ascii="Nunito Sans" w:hAnsi="Nunito Sans" w:cs="Calibri"/>
                <w:sz w:val="18"/>
                <w:szCs w:val="18"/>
              </w:rPr>
              <w:t>IA aplicada</w:t>
            </w:r>
          </w:p>
        </w:tc>
      </w:tr>
      <w:tr w:rsidRPr="00B34900" w:rsidR="005E3BD6" w:rsidTr="00515448" w14:paraId="1F597D74" w14:textId="77777777">
        <w:trPr>
          <w:trHeight w:val="60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5B7B46D2"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Descripción del Paradigma</w:t>
            </w:r>
          </w:p>
        </w:tc>
        <w:tc>
          <w:tcPr>
            <w:tcW w:w="0" w:type="auto"/>
            <w:tcBorders>
              <w:left w:val="single" w:color="FFFFFF" w:themeColor="background1" w:sz="4" w:space="0"/>
            </w:tcBorders>
            <w:vAlign w:val="center"/>
            <w:hideMark/>
          </w:tcPr>
          <w:p w:rsidRPr="00B34900" w:rsidR="005E3BD6" w:rsidP="00B4771C" w:rsidRDefault="005E3BD6" w14:paraId="2358C3BA" w14:textId="77777777">
            <w:pPr>
              <w:pStyle w:val="Default"/>
              <w:rPr>
                <w:rFonts w:ascii="Nunito Sans" w:hAnsi="Nunito Sans" w:cs="Calibri"/>
                <w:sz w:val="18"/>
                <w:szCs w:val="18"/>
              </w:rPr>
            </w:pPr>
            <w:r w:rsidRPr="00B34900">
              <w:rPr>
                <w:rFonts w:ascii="Nunito Sans" w:hAnsi="Nunito Sans" w:cs="Calibri"/>
                <w:sz w:val="18"/>
                <w:szCs w:val="18"/>
              </w:rPr>
              <w:t>Procesos manuales sin automatización cognitiva.</w:t>
            </w:r>
          </w:p>
        </w:tc>
      </w:tr>
      <w:tr w:rsidRPr="00B34900" w:rsidR="005E3BD6" w:rsidTr="00515448" w14:paraId="1BDED25B" w14:textId="77777777">
        <w:trPr>
          <w:trHeight w:val="3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472E9E89"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Efectos Directos</w:t>
            </w:r>
          </w:p>
        </w:tc>
        <w:tc>
          <w:tcPr>
            <w:tcW w:w="0" w:type="auto"/>
            <w:tcBorders>
              <w:left w:val="single" w:color="FFFFFF" w:themeColor="background1" w:sz="4" w:space="0"/>
            </w:tcBorders>
            <w:vAlign w:val="center"/>
            <w:hideMark/>
          </w:tcPr>
          <w:p w:rsidRPr="00B34900" w:rsidR="005E3BD6" w:rsidP="00B4771C" w:rsidRDefault="005E3BD6" w14:paraId="6284CDFA" w14:textId="77777777">
            <w:pPr>
              <w:pStyle w:val="Default"/>
              <w:rPr>
                <w:rFonts w:ascii="Nunito Sans" w:hAnsi="Nunito Sans" w:cs="Calibri"/>
                <w:sz w:val="18"/>
                <w:szCs w:val="18"/>
              </w:rPr>
            </w:pPr>
            <w:r w:rsidRPr="00B34900">
              <w:rPr>
                <w:rFonts w:ascii="Nunito Sans" w:hAnsi="Nunito Sans" w:cs="Calibri"/>
                <w:sz w:val="18"/>
                <w:szCs w:val="18"/>
              </w:rPr>
              <w:t>Baja eficiencia, lentitud y ausencia de análisis inteligente.</w:t>
            </w:r>
          </w:p>
        </w:tc>
      </w:tr>
      <w:tr w:rsidRPr="00B34900" w:rsidR="005E3BD6" w:rsidTr="00515448" w14:paraId="0FF28B6D" w14:textId="77777777">
        <w:trPr>
          <w:trHeight w:val="60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4E389B10"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Descripción de la Ruptura</w:t>
            </w:r>
          </w:p>
        </w:tc>
        <w:tc>
          <w:tcPr>
            <w:tcW w:w="0" w:type="auto"/>
            <w:tcBorders>
              <w:left w:val="single" w:color="FFFFFF" w:themeColor="background1" w:sz="4" w:space="0"/>
            </w:tcBorders>
            <w:vAlign w:val="center"/>
            <w:hideMark/>
          </w:tcPr>
          <w:p w:rsidRPr="00B34900" w:rsidR="005E3BD6" w:rsidP="00B4771C" w:rsidRDefault="005E3BD6" w14:paraId="6CA1A2E1" w14:textId="77777777">
            <w:pPr>
              <w:pStyle w:val="Default"/>
              <w:rPr>
                <w:rFonts w:ascii="Nunito Sans" w:hAnsi="Nunito Sans" w:cs="Calibri"/>
                <w:sz w:val="18"/>
                <w:szCs w:val="18"/>
              </w:rPr>
            </w:pPr>
            <w:r w:rsidRPr="00B34900">
              <w:rPr>
                <w:rFonts w:ascii="Nunito Sans" w:hAnsi="Nunito Sans" w:cs="Calibri"/>
                <w:sz w:val="18"/>
                <w:szCs w:val="18"/>
              </w:rPr>
              <w:t>Aplicar modelos de IA en procesos sectoriales de análisis y operación.</w:t>
            </w:r>
          </w:p>
        </w:tc>
      </w:tr>
      <w:tr w:rsidRPr="00B34900" w:rsidR="005E3BD6" w:rsidTr="00515448" w14:paraId="1EA21BAB" w14:textId="77777777">
        <w:trPr>
          <w:trHeight w:val="641"/>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66DB8779"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Cómo romper el Paradigma</w:t>
            </w:r>
          </w:p>
        </w:tc>
        <w:tc>
          <w:tcPr>
            <w:tcW w:w="0" w:type="auto"/>
            <w:tcBorders>
              <w:left w:val="single" w:color="FFFFFF" w:themeColor="background1" w:sz="4" w:space="0"/>
            </w:tcBorders>
            <w:vAlign w:val="center"/>
            <w:hideMark/>
          </w:tcPr>
          <w:p w:rsidRPr="00B34900" w:rsidR="005E3BD6" w:rsidP="00B4771C" w:rsidRDefault="005E3BD6" w14:paraId="0EE9139D" w14:textId="77777777">
            <w:pPr>
              <w:pStyle w:val="Default"/>
              <w:rPr>
                <w:rFonts w:ascii="Nunito Sans" w:hAnsi="Nunito Sans" w:cs="Calibri"/>
                <w:sz w:val="18"/>
                <w:szCs w:val="18"/>
              </w:rPr>
            </w:pPr>
            <w:r w:rsidRPr="00B34900">
              <w:rPr>
                <w:rFonts w:ascii="Nunito Sans" w:hAnsi="Nunito Sans" w:cs="Calibri"/>
                <w:sz w:val="18"/>
                <w:szCs w:val="18"/>
              </w:rPr>
              <w:t>NLP, clasificación automática, predicción, asistentes cognitivos.</w:t>
            </w:r>
          </w:p>
        </w:tc>
      </w:tr>
      <w:tr w:rsidRPr="00B34900" w:rsidR="005E3BD6" w:rsidTr="00515448" w14:paraId="5B3ECB57" w14:textId="77777777">
        <w:trPr>
          <w:trHeight w:val="3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4C0C3A59"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lastRenderedPageBreak/>
              <w:t>Impacto Esperado</w:t>
            </w:r>
          </w:p>
        </w:tc>
        <w:tc>
          <w:tcPr>
            <w:tcW w:w="0" w:type="auto"/>
            <w:tcBorders>
              <w:left w:val="single" w:color="FFFFFF" w:themeColor="background1" w:sz="4" w:space="0"/>
            </w:tcBorders>
            <w:vAlign w:val="center"/>
            <w:hideMark/>
          </w:tcPr>
          <w:p w:rsidRPr="00B34900" w:rsidR="005E3BD6" w:rsidP="00B4771C" w:rsidRDefault="005E3BD6" w14:paraId="0C275043" w14:textId="77777777">
            <w:pPr>
              <w:pStyle w:val="Default"/>
              <w:rPr>
                <w:rFonts w:ascii="Nunito Sans" w:hAnsi="Nunito Sans" w:cs="Calibri"/>
                <w:sz w:val="18"/>
                <w:szCs w:val="18"/>
              </w:rPr>
            </w:pPr>
            <w:r w:rsidRPr="00B34900">
              <w:rPr>
                <w:rFonts w:ascii="Nunito Sans" w:hAnsi="Nunito Sans" w:cs="Calibri"/>
                <w:sz w:val="18"/>
                <w:szCs w:val="18"/>
              </w:rPr>
              <w:t>Aumento de productividad y capacidad analítica sectorial.</w:t>
            </w:r>
          </w:p>
        </w:tc>
      </w:tr>
      <w:tr w:rsidRPr="00B34900" w:rsidR="005E3BD6" w:rsidTr="00515448" w14:paraId="319F31FE" w14:textId="77777777">
        <w:trPr>
          <w:trHeight w:val="3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130BC0DE"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Grupos de Interés</w:t>
            </w:r>
          </w:p>
        </w:tc>
        <w:tc>
          <w:tcPr>
            <w:tcW w:w="0" w:type="auto"/>
            <w:tcBorders>
              <w:left w:val="single" w:color="FFFFFF" w:themeColor="background1" w:sz="4" w:space="0"/>
            </w:tcBorders>
            <w:vAlign w:val="center"/>
            <w:hideMark/>
          </w:tcPr>
          <w:p w:rsidRPr="00B34900" w:rsidR="005E3BD6" w:rsidP="00B4771C" w:rsidRDefault="005E3BD6" w14:paraId="44F2CC94" w14:textId="77777777">
            <w:pPr>
              <w:pStyle w:val="Default"/>
              <w:rPr>
                <w:rFonts w:ascii="Nunito Sans" w:hAnsi="Nunito Sans" w:cs="Calibri"/>
                <w:sz w:val="18"/>
                <w:szCs w:val="18"/>
              </w:rPr>
            </w:pPr>
            <w:r w:rsidRPr="00B34900">
              <w:rPr>
                <w:rFonts w:ascii="Nunito Sans" w:hAnsi="Nunito Sans" w:cs="Calibri"/>
                <w:sz w:val="18"/>
                <w:szCs w:val="18"/>
              </w:rPr>
              <w:t>Ciudadanos, empresas, academia, entidades sectoriales.</w:t>
            </w:r>
          </w:p>
        </w:tc>
      </w:tr>
      <w:tr w:rsidRPr="00B34900" w:rsidR="005E3BD6" w:rsidTr="00515448" w14:paraId="38172C8F" w14:textId="77777777">
        <w:trPr>
          <w:trHeight w:val="303"/>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434DAA26"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Dominio MRAE</w:t>
            </w:r>
          </w:p>
        </w:tc>
        <w:tc>
          <w:tcPr>
            <w:tcW w:w="0" w:type="auto"/>
            <w:tcBorders>
              <w:left w:val="single" w:color="FFFFFF" w:themeColor="background1" w:sz="4" w:space="0"/>
            </w:tcBorders>
            <w:vAlign w:val="center"/>
            <w:hideMark/>
          </w:tcPr>
          <w:p w:rsidRPr="00B34900" w:rsidR="005E3BD6" w:rsidP="00B4771C" w:rsidRDefault="005E3BD6" w14:paraId="15855B95" w14:textId="77777777">
            <w:pPr>
              <w:pStyle w:val="Default"/>
              <w:rPr>
                <w:rFonts w:ascii="Nunito Sans" w:hAnsi="Nunito Sans" w:cs="Calibri"/>
                <w:sz w:val="18"/>
                <w:szCs w:val="18"/>
              </w:rPr>
            </w:pPr>
            <w:r w:rsidRPr="00B34900">
              <w:rPr>
                <w:rFonts w:ascii="Nunito Sans" w:hAnsi="Nunito Sans" w:cs="Calibri"/>
                <w:sz w:val="18"/>
                <w:szCs w:val="18"/>
              </w:rPr>
              <w:t>Transformación Digital</w:t>
            </w:r>
          </w:p>
        </w:tc>
      </w:tr>
      <w:tr w:rsidRPr="00B34900" w:rsidR="005E3BD6" w:rsidTr="00515448" w14:paraId="24629031" w14:textId="77777777">
        <w:trPr>
          <w:trHeight w:val="337"/>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5B33C"/>
            <w:vAlign w:val="center"/>
            <w:hideMark/>
          </w:tcPr>
          <w:p w:rsidRPr="00515448" w:rsidR="005E3BD6" w:rsidP="00B4771C" w:rsidRDefault="005E3BD6" w14:paraId="6C154416" w14:textId="77777777">
            <w:pPr>
              <w:pStyle w:val="Default"/>
              <w:rPr>
                <w:rFonts w:ascii="Nunito Sans" w:hAnsi="Nunito Sans" w:cs="Calibri"/>
                <w:color w:val="FFFFFF" w:themeColor="background1"/>
                <w:sz w:val="18"/>
                <w:szCs w:val="18"/>
              </w:rPr>
            </w:pPr>
            <w:r w:rsidRPr="00515448">
              <w:rPr>
                <w:rFonts w:ascii="Nunito Sans" w:hAnsi="Nunito Sans" w:cs="Calibri"/>
                <w:color w:val="FFFFFF" w:themeColor="background1"/>
                <w:sz w:val="18"/>
                <w:szCs w:val="18"/>
              </w:rPr>
              <w:t>Clasificación de Impacto</w:t>
            </w:r>
          </w:p>
        </w:tc>
        <w:tc>
          <w:tcPr>
            <w:tcW w:w="0" w:type="auto"/>
            <w:tcBorders>
              <w:left w:val="single" w:color="FFFFFF" w:themeColor="background1" w:sz="4" w:space="0"/>
            </w:tcBorders>
            <w:vAlign w:val="center"/>
            <w:hideMark/>
          </w:tcPr>
          <w:p w:rsidRPr="00B34900" w:rsidR="005E3BD6" w:rsidP="00B4771C" w:rsidRDefault="005E3BD6" w14:paraId="06E1ED8B" w14:textId="77777777">
            <w:pPr>
              <w:pStyle w:val="Default"/>
              <w:rPr>
                <w:rFonts w:ascii="Nunito Sans" w:hAnsi="Nunito Sans" w:cs="Calibri"/>
                <w:sz w:val="18"/>
                <w:szCs w:val="18"/>
              </w:rPr>
            </w:pPr>
            <w:r w:rsidRPr="00B34900">
              <w:rPr>
                <w:rFonts w:ascii="Nunito Sans" w:hAnsi="Nunito Sans" w:cs="Calibri"/>
                <w:sz w:val="18"/>
                <w:szCs w:val="18"/>
              </w:rPr>
              <w:t>Alto</w:t>
            </w:r>
          </w:p>
        </w:tc>
      </w:tr>
    </w:tbl>
    <w:p w:rsidRPr="00EF5DE4" w:rsidR="005E3BD6" w:rsidP="005E3BD6" w:rsidRDefault="005E3BD6" w14:paraId="74425F1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31471DDF" w14:textId="77777777"/>
    <w:p w:rsidR="005E3BD6" w:rsidRDefault="005E3BD6" w14:paraId="1051BB1F" w14:textId="37A9D458">
      <w:pPr>
        <w:pStyle w:val="Ttulo2"/>
        <w:numPr>
          <w:ilvl w:val="1"/>
          <w:numId w:val="36"/>
        </w:numPr>
      </w:pPr>
      <w:bookmarkStart w:name="_Toc215936893" w:id="278"/>
      <w:bookmarkStart w:name="_Toc215936995" w:id="279"/>
      <w:bookmarkStart w:name="_Toc2120640626" w:id="280"/>
      <w:bookmarkStart w:name="_Toc234234493" w:id="281"/>
      <w:bookmarkEnd w:id="278"/>
      <w:bookmarkEnd w:id="279"/>
      <w:r w:rsidRPr="0E79E4E6">
        <w:t xml:space="preserve">Proyectos </w:t>
      </w:r>
      <w:r w:rsidR="00E000B5">
        <w:t>y</w:t>
      </w:r>
      <w:r w:rsidRPr="0E79E4E6" w:rsidR="00E000B5">
        <w:t xml:space="preserve"> Actividades Sectoriales </w:t>
      </w:r>
      <w:r w:rsidR="00E000B5">
        <w:t>con</w:t>
      </w:r>
      <w:r w:rsidRPr="0E79E4E6" w:rsidR="00E000B5">
        <w:t xml:space="preserve"> Componente Tecnológico </w:t>
      </w:r>
      <w:r w:rsidR="00E000B5">
        <w:t>en</w:t>
      </w:r>
      <w:r w:rsidRPr="0E79E4E6" w:rsidR="00E000B5">
        <w:t xml:space="preserve"> Curso</w:t>
      </w:r>
      <w:bookmarkEnd w:id="280"/>
      <w:bookmarkEnd w:id="281"/>
    </w:p>
    <w:p w:rsidRPr="00CA4194" w:rsidR="005E3BD6" w:rsidP="005E3BD6" w:rsidRDefault="005E3BD6" w14:paraId="2A845633" w14:textId="77777777">
      <w:pPr>
        <w:ind w:firstLine="24"/>
        <w:jc w:val="both"/>
        <w:rPr>
          <w:rFonts w:ascii="Nunito Sans" w:hAnsi="Nunito Sans" w:eastAsia="Arial" w:cs="Calibri"/>
          <w:sz w:val="22"/>
          <w:szCs w:val="22"/>
          <w:lang w:val="es-ES"/>
        </w:rPr>
      </w:pPr>
      <w:r w:rsidRPr="0E79E4E6">
        <w:rPr>
          <w:rFonts w:ascii="Nunito Sans" w:hAnsi="Nunito Sans" w:eastAsia="Arial" w:cs="Calibri"/>
          <w:sz w:val="22"/>
          <w:szCs w:val="22"/>
          <w:lang w:val="es-ES"/>
        </w:rPr>
        <w:t>A continuación, se presenta la consolidación de los proyectos con componente tecnológico que se encuentran en curso en las entidades adscritas.</w:t>
      </w:r>
    </w:p>
    <w:p w:rsidR="005E3BD6" w:rsidP="005E3BD6" w:rsidRDefault="005E3BD6" w14:paraId="31EBB660" w14:textId="77777777">
      <w:pPr>
        <w:jc w:val="both"/>
        <w:rPr>
          <w:rFonts w:ascii="Nunito Sans" w:hAnsi="Nunito Sans" w:eastAsia="Arial" w:cs="Calibri"/>
          <w:sz w:val="22"/>
          <w:szCs w:val="22"/>
          <w:lang w:val="es-ES"/>
        </w:rPr>
      </w:pPr>
    </w:p>
    <w:p w:rsidRPr="00EB43A6" w:rsidR="005E3BD6" w:rsidP="005E3BD6" w:rsidRDefault="00F2742B" w14:paraId="3AC03E2B" w14:textId="709F257B">
      <w:pPr>
        <w:ind w:left="360" w:hanging="360"/>
        <w:jc w:val="center"/>
        <w:rPr>
          <w:rFonts w:ascii="Nunito Sans" w:hAnsi="Nunito Sans" w:cs="Calibri"/>
          <w:b/>
          <w:bCs/>
          <w:sz w:val="18"/>
          <w:szCs w:val="18"/>
        </w:rPr>
      </w:pPr>
      <w:bookmarkStart w:name="_Toc220664201" w:id="282"/>
      <w:r w:rsidRPr="00F2742B">
        <w:rPr>
          <w:rFonts w:ascii="Nunito Sans" w:hAnsi="Nunito Sans" w:cs="Calibri"/>
          <w:b/>
          <w:bCs/>
          <w:sz w:val="18"/>
          <w:szCs w:val="18"/>
        </w:rPr>
        <w:t xml:space="preserve">Tabla </w:t>
      </w:r>
      <w:r w:rsidRPr="00F2742B">
        <w:rPr>
          <w:rFonts w:ascii="Nunito Sans" w:hAnsi="Nunito Sans" w:cs="Calibri"/>
          <w:b/>
          <w:bCs/>
          <w:sz w:val="18"/>
          <w:szCs w:val="18"/>
        </w:rPr>
        <w:fldChar w:fldCharType="begin"/>
      </w:r>
      <w:r w:rsidRPr="00F2742B">
        <w:rPr>
          <w:rFonts w:ascii="Nunito Sans" w:hAnsi="Nunito Sans" w:cs="Calibri"/>
          <w:b/>
          <w:bCs/>
          <w:sz w:val="18"/>
          <w:szCs w:val="18"/>
        </w:rPr>
        <w:instrText xml:space="preserve"> SEQ Tabla \* ARABIC </w:instrText>
      </w:r>
      <w:r w:rsidRPr="00F2742B">
        <w:rPr>
          <w:rFonts w:ascii="Nunito Sans" w:hAnsi="Nunito Sans" w:cs="Calibri"/>
          <w:b/>
          <w:bCs/>
          <w:sz w:val="18"/>
          <w:szCs w:val="18"/>
        </w:rPr>
        <w:fldChar w:fldCharType="separate"/>
      </w:r>
      <w:r w:rsidR="00C57F7B">
        <w:rPr>
          <w:rFonts w:ascii="Nunito Sans" w:hAnsi="Nunito Sans" w:cs="Calibri"/>
          <w:b/>
          <w:bCs/>
          <w:noProof/>
          <w:sz w:val="18"/>
          <w:szCs w:val="18"/>
        </w:rPr>
        <w:t>30</w:t>
      </w:r>
      <w:r w:rsidRPr="00F2742B">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Proyectos Tecnológicos en el Sector</w:t>
      </w:r>
      <w:bookmarkEnd w:id="282"/>
    </w:p>
    <w:tbl>
      <w:tblPr>
        <w:tblW w:w="8768"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shd w:val="clear" w:color="auto" w:fill="E1AF3B"/>
        <w:tblCellMar>
          <w:left w:w="70" w:type="dxa"/>
          <w:right w:w="70" w:type="dxa"/>
        </w:tblCellMar>
        <w:tblLook w:val="04A0" w:firstRow="1" w:lastRow="0" w:firstColumn="1" w:lastColumn="0" w:noHBand="0" w:noVBand="1"/>
      </w:tblPr>
      <w:tblGrid>
        <w:gridCol w:w="1065"/>
        <w:gridCol w:w="4519"/>
        <w:gridCol w:w="3184"/>
      </w:tblGrid>
      <w:tr w:rsidRPr="00B92E02" w:rsidR="005E3BD6" w:rsidTr="00B92E02" w14:paraId="78DD7782" w14:textId="77777777">
        <w:trPr>
          <w:trHeight w:val="260"/>
          <w:jc w:val="center"/>
        </w:trPr>
        <w:tc>
          <w:tcPr>
            <w:tcW w:w="106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7C1DC16C"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ENTIDAD</w:t>
            </w:r>
          </w:p>
        </w:tc>
        <w:tc>
          <w:tcPr>
            <w:tcW w:w="451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1C924938"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NOMBRE PROYECTO</w:t>
            </w:r>
          </w:p>
        </w:tc>
        <w:tc>
          <w:tcPr>
            <w:tcW w:w="31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330F9BEC"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TEMATICA</w:t>
            </w:r>
          </w:p>
        </w:tc>
      </w:tr>
      <w:tr w:rsidRPr="00B34900" w:rsidR="005E3BD6" w:rsidTr="00B92E02" w14:paraId="0C31A270" w14:textId="77777777">
        <w:trPr>
          <w:trHeight w:val="260"/>
          <w:jc w:val="center"/>
        </w:trPr>
        <w:tc>
          <w:tcPr>
            <w:tcW w:w="1065"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633EC111"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w:t>
            </w:r>
            <w:r w:rsidRPr="00B92E02">
              <w:rPr>
                <w:rFonts w:ascii="Nunito Sans" w:hAnsi="Nunito Sans" w:cs="Calibri"/>
                <w:b/>
                <w:bCs/>
                <w:color w:val="FFFFFF" w:themeColor="background1"/>
                <w:sz w:val="18"/>
                <w:szCs w:val="18"/>
                <w:shd w:val="clear" w:color="auto" w:fill="E1AF3B"/>
                <w:lang w:val="es-ES"/>
              </w:rPr>
              <w:t>ANM</w:t>
            </w:r>
          </w:p>
        </w:tc>
        <w:tc>
          <w:tcPr>
            <w:tcW w:w="4519" w:type="dxa"/>
            <w:tcBorders>
              <w:top w:val="single" w:color="FFFFFF" w:themeColor="background1" w:sz="4" w:space="0"/>
              <w:left w:val="single" w:color="FFFFFF" w:themeColor="background1" w:sz="4" w:space="0"/>
            </w:tcBorders>
            <w:shd w:val="clear" w:color="auto" w:fill="FFFFFF" w:themeFill="background1"/>
            <w:vAlign w:val="center"/>
            <w:hideMark/>
          </w:tcPr>
          <w:p w:rsidRPr="00474E04" w:rsidR="005E3BD6" w:rsidP="004D12F5" w:rsidRDefault="1F325162" w14:paraId="79819957" w14:textId="4B927CC6">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Fortalecimiento funcional de aplicaciones. </w:t>
            </w:r>
          </w:p>
        </w:tc>
        <w:tc>
          <w:tcPr>
            <w:tcW w:w="3184" w:type="dxa"/>
            <w:tcBorders>
              <w:top w:val="single" w:color="FFFFFF" w:themeColor="background1" w:sz="4" w:space="0"/>
            </w:tcBorders>
            <w:shd w:val="clear" w:color="auto" w:fill="FFFFFF" w:themeFill="background1"/>
            <w:vAlign w:val="center"/>
            <w:hideMark/>
          </w:tcPr>
          <w:p w:rsidRPr="00474E04" w:rsidR="005E3BD6" w:rsidP="004D12F5" w:rsidRDefault="1F325162" w14:paraId="7BE49B95"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Sistemas de información</w:t>
            </w:r>
          </w:p>
        </w:tc>
      </w:tr>
      <w:tr w:rsidRPr="00B34900" w:rsidR="005E3BD6" w:rsidTr="00B92E02" w14:paraId="4E7411DE" w14:textId="77777777">
        <w:trPr>
          <w:trHeight w:val="104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731472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688474CB" w14:textId="419D087E">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Fortalecimiento del portafolio de servicios de la ANM. Fortalecimiento de la Gestión de información y aprovechamiento de los datos en la ANM. </w:t>
            </w:r>
          </w:p>
        </w:tc>
        <w:tc>
          <w:tcPr>
            <w:tcW w:w="3184" w:type="dxa"/>
            <w:shd w:val="clear" w:color="auto" w:fill="FFFFFF" w:themeFill="background1"/>
            <w:vAlign w:val="center"/>
            <w:hideMark/>
          </w:tcPr>
          <w:p w:rsidRPr="00474E04" w:rsidR="005E3BD6" w:rsidP="004D12F5" w:rsidRDefault="1F325162" w14:paraId="3C817BB8"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 xml:space="preserve">Datos e información:  Analítica de datos. </w:t>
            </w:r>
          </w:p>
        </w:tc>
      </w:tr>
      <w:tr w:rsidRPr="00B34900" w:rsidR="005E3BD6" w:rsidTr="00B92E02" w14:paraId="35541C3B"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5DE4B3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4BF74C99" w14:textId="052CF600">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Fortalecer la gestión de riesgos tecnológicos, continuidad de los servicios de TI, seguridad de la información y ciberseguridad. </w:t>
            </w:r>
          </w:p>
        </w:tc>
        <w:tc>
          <w:tcPr>
            <w:tcW w:w="3184" w:type="dxa"/>
            <w:shd w:val="clear" w:color="auto" w:fill="FFFFFF" w:themeFill="background1"/>
            <w:vAlign w:val="center"/>
            <w:hideMark/>
          </w:tcPr>
          <w:p w:rsidRPr="00474E04" w:rsidR="005E3BD6" w:rsidP="004D12F5" w:rsidRDefault="1F325162" w14:paraId="69427374"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15BEFDB6"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76CBDD45"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05F4981B" w14:textId="28E6142D">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Fortalecer la operación, la infraestructura y plataforma tecnológica. </w:t>
            </w:r>
          </w:p>
        </w:tc>
        <w:tc>
          <w:tcPr>
            <w:tcW w:w="3184" w:type="dxa"/>
            <w:shd w:val="clear" w:color="auto" w:fill="FFFFFF" w:themeFill="background1"/>
            <w:vAlign w:val="center"/>
            <w:hideMark/>
          </w:tcPr>
          <w:p w:rsidRPr="00474E04" w:rsidR="005E3BD6" w:rsidP="004D12F5" w:rsidRDefault="1F325162" w14:paraId="137BF6FD"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 xml:space="preserve">Infraestructura y servicios tecnológicos. </w:t>
            </w:r>
          </w:p>
        </w:tc>
      </w:tr>
      <w:tr w:rsidRPr="00B34900" w:rsidR="005E3BD6" w:rsidTr="00B92E02" w14:paraId="6BBE73F5"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B17F2A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40C3D737" w14:textId="1DA0C257">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Adoptar DevSecOps para el desarrollo y despliegue de soluciones de software. </w:t>
            </w:r>
          </w:p>
        </w:tc>
        <w:tc>
          <w:tcPr>
            <w:tcW w:w="3184" w:type="dxa"/>
            <w:shd w:val="clear" w:color="auto" w:fill="FFFFFF" w:themeFill="background1"/>
            <w:vAlign w:val="center"/>
            <w:hideMark/>
          </w:tcPr>
          <w:p w:rsidRPr="00474E04" w:rsidR="005E3BD6" w:rsidP="004D12F5" w:rsidRDefault="1F325162" w14:paraId="342432D2"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Sistemas de información</w:t>
            </w:r>
          </w:p>
        </w:tc>
      </w:tr>
      <w:tr w:rsidRPr="00B34900" w:rsidR="005E3BD6" w:rsidTr="00B92E02" w14:paraId="0333A350"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4737DC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5DAC49C6" w14:textId="3B4C3BBA">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Consolidar y optimizar la capacidad de Arquitectura Empresarial. </w:t>
            </w:r>
          </w:p>
        </w:tc>
        <w:tc>
          <w:tcPr>
            <w:tcW w:w="3184" w:type="dxa"/>
            <w:shd w:val="clear" w:color="auto" w:fill="FFFFFF" w:themeFill="background1"/>
            <w:vAlign w:val="center"/>
            <w:hideMark/>
          </w:tcPr>
          <w:p w:rsidRPr="00474E04" w:rsidR="005E3BD6" w:rsidP="004D12F5" w:rsidRDefault="1F325162" w14:paraId="35972A04"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Arquitectura institucional</w:t>
            </w:r>
          </w:p>
        </w:tc>
      </w:tr>
      <w:tr w:rsidRPr="00B34900" w:rsidR="005E3BD6" w:rsidTr="00B92E02" w14:paraId="2F050DAB"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F0CEEF4"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5E37FE01" w14:textId="769C2A48">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Fortalecer la capacidad de PMO TIC. </w:t>
            </w:r>
          </w:p>
        </w:tc>
        <w:tc>
          <w:tcPr>
            <w:tcW w:w="3184" w:type="dxa"/>
            <w:shd w:val="clear" w:color="auto" w:fill="FFFFFF" w:themeFill="background1"/>
            <w:vAlign w:val="center"/>
            <w:hideMark/>
          </w:tcPr>
          <w:p w:rsidRPr="00474E04" w:rsidR="005E3BD6" w:rsidP="004D12F5" w:rsidRDefault="1F325162" w14:paraId="25184468"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Arquitectura institucional - PMO</w:t>
            </w:r>
          </w:p>
        </w:tc>
      </w:tr>
      <w:tr w:rsidRPr="00B34900" w:rsidR="005E3BD6" w:rsidTr="00B92E02" w14:paraId="2A24DD64"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FEA225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0433B5C1" w14:textId="600EF295">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Fortalecimiento de competencias digitales y de negocio. </w:t>
            </w:r>
          </w:p>
        </w:tc>
        <w:tc>
          <w:tcPr>
            <w:tcW w:w="3184" w:type="dxa"/>
            <w:shd w:val="clear" w:color="auto" w:fill="FFFFFF" w:themeFill="background1"/>
            <w:vAlign w:val="center"/>
            <w:hideMark/>
          </w:tcPr>
          <w:p w:rsidRPr="00474E04" w:rsidR="005E3BD6" w:rsidP="004D12F5" w:rsidRDefault="1F325162" w14:paraId="4ED05A4B"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Arquitectura institucional - PMO</w:t>
            </w:r>
          </w:p>
        </w:tc>
      </w:tr>
      <w:tr w:rsidRPr="00B34900" w:rsidR="005E3BD6" w:rsidTr="00B92E02" w14:paraId="174850A9"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34E1F9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471FC584" w14:textId="387D23A8">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Sistematización y Automatización de procesos de la Entidad y estrategia cero papeles. </w:t>
            </w:r>
          </w:p>
        </w:tc>
        <w:tc>
          <w:tcPr>
            <w:tcW w:w="3184" w:type="dxa"/>
            <w:shd w:val="clear" w:color="auto" w:fill="FFFFFF" w:themeFill="background1"/>
            <w:vAlign w:val="center"/>
            <w:hideMark/>
          </w:tcPr>
          <w:p w:rsidRPr="00474E04" w:rsidR="005E3BD6" w:rsidP="004D12F5" w:rsidRDefault="1F325162" w14:paraId="28E93FFB"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Sistemas de información</w:t>
            </w:r>
          </w:p>
        </w:tc>
      </w:tr>
      <w:tr w:rsidRPr="00B34900" w:rsidR="005E3BD6" w:rsidTr="00B92E02" w14:paraId="55D50E8C"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C4B1A04"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7831F540" w14:textId="77777777">
            <w:pPr>
              <w:jc w:val="both"/>
              <w:rPr>
                <w:rFonts w:ascii="Nunito Sans" w:hAnsi="Nunito Sans" w:cs="Calibri"/>
                <w:color w:val="FFFFFF" w:themeColor="background1"/>
                <w:sz w:val="18"/>
                <w:szCs w:val="18"/>
              </w:rPr>
            </w:pPr>
            <w:r w:rsidRPr="00474E04">
              <w:rPr>
                <w:rFonts w:ascii="Nunito Sans" w:hAnsi="Nunito Sans" w:cs="Calibri"/>
                <w:sz w:val="18"/>
                <w:szCs w:val="18"/>
              </w:rPr>
              <w:t>Implementación y mantenimiento de controles MSPI, actualización de inventario y seguridad de aplicaciones.</w:t>
            </w:r>
          </w:p>
        </w:tc>
        <w:tc>
          <w:tcPr>
            <w:tcW w:w="3184" w:type="dxa"/>
            <w:shd w:val="clear" w:color="auto" w:fill="FFFFFF" w:themeFill="background1"/>
            <w:vAlign w:val="center"/>
            <w:hideMark/>
          </w:tcPr>
          <w:p w:rsidRPr="00474E04" w:rsidR="005E3BD6" w:rsidP="004D12F5" w:rsidRDefault="1F325162" w14:paraId="2F9A845F" w14:textId="77777777">
            <w:pPr>
              <w:jc w:val="both"/>
              <w:rPr>
                <w:rFonts w:ascii="Nunito Sans" w:hAnsi="Nunito Sans" w:cs="Calibri"/>
                <w:color w:val="FFFFFF" w:themeColor="background1"/>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45DB14D7"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99BE91F"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1D4B496B" w14:textId="33CDC298">
            <w:pPr>
              <w:jc w:val="both"/>
              <w:rPr>
                <w:rFonts w:ascii="Nunito Sans" w:hAnsi="Nunito Sans" w:cs="Calibri"/>
                <w:color w:val="FFFFFF" w:themeColor="background1"/>
                <w:sz w:val="18"/>
                <w:szCs w:val="18"/>
              </w:rPr>
            </w:pPr>
            <w:r w:rsidRPr="00474E04">
              <w:rPr>
                <w:rFonts w:ascii="Nunito Sans" w:hAnsi="Nunito Sans" w:cs="Calibri"/>
                <w:sz w:val="18"/>
                <w:szCs w:val="18"/>
              </w:rPr>
              <w:t xml:space="preserve">Promover el Desarrollo Tecnológico, la Gestión de Conocimiento e Innovación (DT+I) de TIC. </w:t>
            </w:r>
          </w:p>
        </w:tc>
        <w:tc>
          <w:tcPr>
            <w:tcW w:w="3184" w:type="dxa"/>
            <w:shd w:val="clear" w:color="auto" w:fill="FFFFFF" w:themeFill="background1"/>
            <w:vAlign w:val="center"/>
            <w:hideMark/>
          </w:tcPr>
          <w:p w:rsidRPr="00474E04" w:rsidR="005E3BD6" w:rsidP="004D12F5" w:rsidRDefault="1F325162" w14:paraId="6C4C4AB6" w14:textId="77777777">
            <w:pPr>
              <w:jc w:val="both"/>
              <w:rPr>
                <w:rFonts w:ascii="Nunito Sans" w:hAnsi="Nunito Sans" w:cs="Calibri"/>
                <w:color w:val="FFFFFF" w:themeColor="background1"/>
                <w:sz w:val="18"/>
                <w:szCs w:val="18"/>
              </w:rPr>
            </w:pPr>
            <w:r w:rsidRPr="00474E04">
              <w:rPr>
                <w:rFonts w:ascii="Nunito Sans" w:hAnsi="Nunito Sans" w:cs="Calibri"/>
                <w:sz w:val="18"/>
                <w:szCs w:val="18"/>
              </w:rPr>
              <w:t>Arquitectura institucional</w:t>
            </w:r>
          </w:p>
        </w:tc>
      </w:tr>
      <w:tr w:rsidRPr="00B34900" w:rsidR="005E3BD6" w:rsidTr="00B92E02" w14:paraId="00AAD76A" w14:textId="77777777">
        <w:trPr>
          <w:trHeight w:val="520"/>
          <w:jc w:val="center"/>
        </w:trPr>
        <w:tc>
          <w:tcPr>
            <w:tcW w:w="1065"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00BB452A"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ANH</w:t>
            </w: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2B59138E" w14:textId="48030650">
            <w:pPr>
              <w:jc w:val="both"/>
              <w:rPr>
                <w:rFonts w:ascii="Nunito Sans" w:hAnsi="Nunito Sans" w:cs="Calibri"/>
                <w:sz w:val="18"/>
                <w:szCs w:val="18"/>
              </w:rPr>
            </w:pPr>
            <w:r w:rsidRPr="00474E04">
              <w:rPr>
                <w:rFonts w:ascii="Nunito Sans" w:hAnsi="Nunito Sans" w:cs="Calibri"/>
                <w:sz w:val="18"/>
                <w:szCs w:val="18"/>
              </w:rPr>
              <w:t xml:space="preserve">Definir e implementar el Gobierno de Datos.  </w:t>
            </w:r>
          </w:p>
        </w:tc>
        <w:tc>
          <w:tcPr>
            <w:tcW w:w="3184" w:type="dxa"/>
            <w:shd w:val="clear" w:color="auto" w:fill="FFFFFF" w:themeFill="background1"/>
            <w:vAlign w:val="center"/>
            <w:hideMark/>
          </w:tcPr>
          <w:p w:rsidRPr="00474E04" w:rsidR="005E3BD6" w:rsidP="004D12F5" w:rsidRDefault="1F325162" w14:paraId="13500A61"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Gobernanza de datos. </w:t>
            </w:r>
          </w:p>
        </w:tc>
      </w:tr>
      <w:tr w:rsidRPr="00B34900" w:rsidR="005E3BD6" w:rsidTr="00B92E02" w14:paraId="4146F8C6"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516A0C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40223138" w14:textId="3715FCBC">
            <w:pPr>
              <w:jc w:val="both"/>
              <w:rPr>
                <w:rFonts w:ascii="Nunito Sans" w:hAnsi="Nunito Sans" w:cs="Calibri"/>
                <w:sz w:val="18"/>
                <w:szCs w:val="18"/>
              </w:rPr>
            </w:pPr>
            <w:r w:rsidRPr="00474E04">
              <w:rPr>
                <w:rFonts w:ascii="Nunito Sans" w:hAnsi="Nunito Sans" w:cs="Calibri"/>
                <w:sz w:val="18"/>
                <w:szCs w:val="18"/>
              </w:rPr>
              <w:t xml:space="preserve">Fortalecimiento de las capacidades institucionales para el análisis de información.  </w:t>
            </w:r>
          </w:p>
        </w:tc>
        <w:tc>
          <w:tcPr>
            <w:tcW w:w="3184" w:type="dxa"/>
            <w:shd w:val="clear" w:color="auto" w:fill="FFFFFF" w:themeFill="background1"/>
            <w:vAlign w:val="center"/>
            <w:hideMark/>
          </w:tcPr>
          <w:p w:rsidRPr="00474E04" w:rsidR="005E3BD6" w:rsidP="004D12F5" w:rsidRDefault="1F325162" w14:paraId="7AC70CE7"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Analítica de datos. </w:t>
            </w:r>
          </w:p>
        </w:tc>
      </w:tr>
      <w:tr w:rsidRPr="00B34900" w:rsidR="005E3BD6" w:rsidTr="00B92E02" w14:paraId="414626A4"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AC28B56"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7468400D" w14:textId="618D91AF">
            <w:pPr>
              <w:jc w:val="both"/>
              <w:rPr>
                <w:rFonts w:ascii="Nunito Sans" w:hAnsi="Nunito Sans" w:cs="Calibri"/>
                <w:sz w:val="18"/>
                <w:szCs w:val="18"/>
              </w:rPr>
            </w:pPr>
            <w:r w:rsidRPr="00474E04">
              <w:rPr>
                <w:rFonts w:ascii="Nunito Sans" w:hAnsi="Nunito Sans" w:cs="Calibri"/>
                <w:sz w:val="18"/>
                <w:szCs w:val="18"/>
              </w:rPr>
              <w:t xml:space="preserve">Fortalecimiento de las capacidades institucionales para la interoperabilidad de información.  </w:t>
            </w:r>
          </w:p>
        </w:tc>
        <w:tc>
          <w:tcPr>
            <w:tcW w:w="3184" w:type="dxa"/>
            <w:shd w:val="clear" w:color="auto" w:fill="FFFFFF" w:themeFill="background1"/>
            <w:vAlign w:val="center"/>
            <w:hideMark/>
          </w:tcPr>
          <w:p w:rsidRPr="00474E04" w:rsidR="005E3BD6" w:rsidP="004D12F5" w:rsidRDefault="1F325162" w14:paraId="5E6E1C72"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 Interoperabilidad</w:t>
            </w:r>
          </w:p>
        </w:tc>
      </w:tr>
      <w:tr w:rsidRPr="00B34900" w:rsidR="005E3BD6" w:rsidTr="00B92E02" w14:paraId="2FA795DA"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B454AA1"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6C4CCF4A" w14:textId="0F1ADB2A">
            <w:pPr>
              <w:jc w:val="both"/>
              <w:rPr>
                <w:rFonts w:ascii="Nunito Sans" w:hAnsi="Nunito Sans" w:cs="Calibri"/>
                <w:sz w:val="18"/>
                <w:szCs w:val="18"/>
              </w:rPr>
            </w:pPr>
            <w:r w:rsidRPr="00474E04">
              <w:rPr>
                <w:rFonts w:ascii="Nunito Sans" w:hAnsi="Nunito Sans" w:cs="Calibri"/>
                <w:sz w:val="18"/>
                <w:szCs w:val="18"/>
              </w:rPr>
              <w:t xml:space="preserve">Fortalecimiento de la capacidad de fábrica de software - Adopción DevOps y Orquestador de contenedores.  </w:t>
            </w:r>
          </w:p>
        </w:tc>
        <w:tc>
          <w:tcPr>
            <w:tcW w:w="3184" w:type="dxa"/>
            <w:shd w:val="clear" w:color="auto" w:fill="FFFFFF" w:themeFill="background1"/>
            <w:vAlign w:val="center"/>
            <w:hideMark/>
          </w:tcPr>
          <w:p w:rsidRPr="00474E04" w:rsidR="005E3BD6" w:rsidP="004D12F5" w:rsidRDefault="1F325162" w14:paraId="59B92AB0"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 T.D. - Tecnologías emergentes</w:t>
            </w:r>
          </w:p>
        </w:tc>
      </w:tr>
      <w:tr w:rsidRPr="00B34900" w:rsidR="005E3BD6" w:rsidTr="00B92E02" w14:paraId="71E23192"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B2CA5F6"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0AE79913" w14:textId="1456A603">
            <w:pPr>
              <w:jc w:val="both"/>
              <w:rPr>
                <w:rFonts w:ascii="Nunito Sans" w:hAnsi="Nunito Sans" w:cs="Calibri"/>
                <w:sz w:val="18"/>
                <w:szCs w:val="18"/>
              </w:rPr>
            </w:pPr>
            <w:r w:rsidRPr="00474E04">
              <w:rPr>
                <w:rFonts w:ascii="Nunito Sans" w:hAnsi="Nunito Sans" w:cs="Calibri"/>
                <w:sz w:val="18"/>
                <w:szCs w:val="18"/>
              </w:rPr>
              <w:t xml:space="preserve">Continuación a la implementación de pilotos tecnologías emergentes.  </w:t>
            </w:r>
          </w:p>
        </w:tc>
        <w:tc>
          <w:tcPr>
            <w:tcW w:w="3184" w:type="dxa"/>
            <w:shd w:val="clear" w:color="auto" w:fill="FFFFFF" w:themeFill="background1"/>
            <w:vAlign w:val="center"/>
            <w:hideMark/>
          </w:tcPr>
          <w:p w:rsidRPr="00474E04" w:rsidR="005E3BD6" w:rsidP="004D12F5" w:rsidRDefault="1F325162" w14:paraId="71E8250C" w14:textId="77777777">
            <w:pPr>
              <w:jc w:val="both"/>
              <w:rPr>
                <w:rFonts w:ascii="Nunito Sans" w:hAnsi="Nunito Sans" w:cs="Calibri"/>
                <w:sz w:val="18"/>
                <w:szCs w:val="18"/>
              </w:rPr>
            </w:pPr>
            <w:r w:rsidRPr="00474E04">
              <w:rPr>
                <w:rFonts w:ascii="Nunito Sans" w:hAnsi="Nunito Sans" w:cs="Calibri"/>
                <w:sz w:val="18"/>
                <w:szCs w:val="18"/>
              </w:rPr>
              <w:t>T.D. - Tecnologías emergentes</w:t>
            </w:r>
          </w:p>
        </w:tc>
      </w:tr>
      <w:tr w:rsidRPr="00B34900" w:rsidR="005E3BD6" w:rsidTr="00B92E02" w14:paraId="67D9A050"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D94A3C1"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1A5AE461" w14:textId="5B2B8D11">
            <w:pPr>
              <w:jc w:val="both"/>
              <w:rPr>
                <w:rFonts w:ascii="Nunito Sans" w:hAnsi="Nunito Sans" w:cs="Calibri"/>
                <w:sz w:val="18"/>
                <w:szCs w:val="18"/>
              </w:rPr>
            </w:pPr>
            <w:r w:rsidRPr="00474E04">
              <w:rPr>
                <w:rFonts w:ascii="Nunito Sans" w:hAnsi="Nunito Sans" w:cs="Calibri"/>
                <w:sz w:val="18"/>
                <w:szCs w:val="18"/>
              </w:rPr>
              <w:t xml:space="preserve">Formulación de la Arquitectura Empresarial para la Gestión de TI.  </w:t>
            </w:r>
          </w:p>
        </w:tc>
        <w:tc>
          <w:tcPr>
            <w:tcW w:w="3184" w:type="dxa"/>
            <w:shd w:val="clear" w:color="auto" w:fill="FFFFFF" w:themeFill="background1"/>
            <w:vAlign w:val="center"/>
            <w:hideMark/>
          </w:tcPr>
          <w:p w:rsidRPr="00474E04" w:rsidR="005E3BD6" w:rsidP="004D12F5" w:rsidRDefault="1F325162" w14:paraId="2BF818BC"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5469C969"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22E809DC"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3ACF0CDF" w14:textId="30CFA60F">
            <w:pPr>
              <w:jc w:val="both"/>
              <w:rPr>
                <w:rFonts w:ascii="Nunito Sans" w:hAnsi="Nunito Sans" w:cs="Calibri"/>
                <w:sz w:val="18"/>
                <w:szCs w:val="18"/>
              </w:rPr>
            </w:pPr>
            <w:r w:rsidRPr="00474E04">
              <w:rPr>
                <w:rFonts w:ascii="Nunito Sans" w:hAnsi="Nunito Sans" w:cs="Calibri"/>
                <w:sz w:val="18"/>
                <w:szCs w:val="18"/>
              </w:rPr>
              <w:t xml:space="preserve">Adoptar el Modelo de Gobierno y Gestión de TI (MGGTI).  </w:t>
            </w:r>
          </w:p>
        </w:tc>
        <w:tc>
          <w:tcPr>
            <w:tcW w:w="3184" w:type="dxa"/>
            <w:shd w:val="clear" w:color="auto" w:fill="FFFFFF" w:themeFill="background1"/>
            <w:vAlign w:val="center"/>
            <w:hideMark/>
          </w:tcPr>
          <w:p w:rsidRPr="00474E04" w:rsidR="005E3BD6" w:rsidP="004D12F5" w:rsidRDefault="1F325162" w14:paraId="342D9995" w14:textId="77777777">
            <w:pPr>
              <w:jc w:val="both"/>
              <w:rPr>
                <w:rFonts w:ascii="Nunito Sans" w:hAnsi="Nunito Sans" w:cs="Calibri"/>
                <w:sz w:val="18"/>
                <w:szCs w:val="18"/>
              </w:rPr>
            </w:pPr>
            <w:r w:rsidRPr="00474E04">
              <w:rPr>
                <w:rFonts w:ascii="Nunito Sans" w:hAnsi="Nunito Sans" w:cs="Calibri"/>
                <w:sz w:val="18"/>
                <w:szCs w:val="18"/>
              </w:rPr>
              <w:t>Arquitectura institucional</w:t>
            </w:r>
          </w:p>
        </w:tc>
      </w:tr>
      <w:tr w:rsidRPr="00B34900" w:rsidR="005E3BD6" w:rsidTr="00B92E02" w14:paraId="6D297CC5"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7960AAA4"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0C7F4C31" w14:textId="292261F8">
            <w:pPr>
              <w:jc w:val="both"/>
              <w:rPr>
                <w:rFonts w:ascii="Nunito Sans" w:hAnsi="Nunito Sans" w:cs="Calibri"/>
                <w:sz w:val="18"/>
                <w:szCs w:val="18"/>
              </w:rPr>
            </w:pPr>
            <w:r w:rsidRPr="00474E04">
              <w:rPr>
                <w:rFonts w:ascii="Nunito Sans" w:hAnsi="Nunito Sans" w:cs="Calibri"/>
                <w:sz w:val="18"/>
                <w:szCs w:val="18"/>
              </w:rPr>
              <w:t xml:space="preserve">Fortalecimiento de las capacidades en Seguridad Digital. </w:t>
            </w:r>
          </w:p>
        </w:tc>
        <w:tc>
          <w:tcPr>
            <w:tcW w:w="3184" w:type="dxa"/>
            <w:shd w:val="clear" w:color="auto" w:fill="FFFFFF" w:themeFill="background1"/>
            <w:vAlign w:val="center"/>
            <w:hideMark/>
          </w:tcPr>
          <w:p w:rsidRPr="00474E04" w:rsidR="005E3BD6" w:rsidP="004D12F5" w:rsidRDefault="1F325162" w14:paraId="0A9ABBF6"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772C61AC" w14:textId="77777777">
        <w:trPr>
          <w:trHeight w:val="104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BA47871"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1FAD7007" w14:textId="27153CBD">
            <w:pPr>
              <w:jc w:val="both"/>
              <w:rPr>
                <w:rFonts w:ascii="Nunito Sans" w:hAnsi="Nunito Sans" w:cs="Calibri"/>
                <w:sz w:val="18"/>
                <w:szCs w:val="18"/>
              </w:rPr>
            </w:pPr>
            <w:r w:rsidRPr="00474E04">
              <w:rPr>
                <w:rFonts w:ascii="Nunito Sans" w:hAnsi="Nunito Sans" w:cs="Calibri"/>
                <w:sz w:val="18"/>
                <w:szCs w:val="18"/>
              </w:rPr>
              <w:t xml:space="preserve">Implementar y fortalecer el sistema de información que permite soportar y automatizar la Planeación Estratégica y operativa institucional.  </w:t>
            </w:r>
          </w:p>
        </w:tc>
        <w:tc>
          <w:tcPr>
            <w:tcW w:w="3184" w:type="dxa"/>
            <w:shd w:val="clear" w:color="auto" w:fill="FFFFFF" w:themeFill="background1"/>
            <w:vAlign w:val="center"/>
            <w:hideMark/>
          </w:tcPr>
          <w:p w:rsidRPr="00474E04" w:rsidR="005E3BD6" w:rsidP="004D12F5" w:rsidRDefault="1F325162" w14:paraId="5BAF8273"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w:t>
            </w:r>
          </w:p>
        </w:tc>
      </w:tr>
      <w:tr w:rsidRPr="00B34900" w:rsidR="005E3BD6" w:rsidTr="00B92E02" w14:paraId="7DFDEA73"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7CABF2E6"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6B9265A7" w14:textId="74C7E9BC">
            <w:pPr>
              <w:jc w:val="both"/>
              <w:rPr>
                <w:rFonts w:ascii="Nunito Sans" w:hAnsi="Nunito Sans" w:cs="Calibri"/>
                <w:sz w:val="18"/>
                <w:szCs w:val="18"/>
              </w:rPr>
            </w:pPr>
            <w:r w:rsidRPr="00474E04">
              <w:rPr>
                <w:rFonts w:ascii="Nunito Sans" w:hAnsi="Nunito Sans" w:cs="Calibri"/>
                <w:sz w:val="18"/>
                <w:szCs w:val="18"/>
              </w:rPr>
              <w:t xml:space="preserve">Fortalecimiento de las capacidades de la Infraestructura tecnológica de la ANH.  </w:t>
            </w:r>
          </w:p>
        </w:tc>
        <w:tc>
          <w:tcPr>
            <w:tcW w:w="3184" w:type="dxa"/>
            <w:shd w:val="clear" w:color="auto" w:fill="FFFFFF" w:themeFill="background1"/>
            <w:vAlign w:val="center"/>
            <w:hideMark/>
          </w:tcPr>
          <w:p w:rsidRPr="00474E04" w:rsidR="005E3BD6" w:rsidP="004D12F5" w:rsidRDefault="1F325162" w14:paraId="6A529A7F" w14:textId="77777777">
            <w:pPr>
              <w:jc w:val="both"/>
              <w:rPr>
                <w:rFonts w:ascii="Nunito Sans" w:hAnsi="Nunito Sans" w:cs="Calibri"/>
                <w:sz w:val="18"/>
                <w:szCs w:val="18"/>
              </w:rPr>
            </w:pPr>
            <w:r w:rsidRPr="00474E04">
              <w:rPr>
                <w:rFonts w:ascii="Nunito Sans" w:hAnsi="Nunito Sans" w:cs="Calibri"/>
                <w:sz w:val="18"/>
                <w:szCs w:val="18"/>
                <w:lang w:val="es-ES"/>
              </w:rPr>
              <w:t xml:space="preserve">Infraestructura y servicios tecnológicos. </w:t>
            </w:r>
          </w:p>
        </w:tc>
      </w:tr>
      <w:tr w:rsidRPr="00B34900" w:rsidR="005E3BD6" w:rsidTr="00B92E02" w14:paraId="2A212A6E"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111848B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6BA9A582" w14:textId="345ED1A6">
            <w:pPr>
              <w:jc w:val="both"/>
              <w:rPr>
                <w:rFonts w:ascii="Nunito Sans" w:hAnsi="Nunito Sans" w:cs="Calibri"/>
                <w:sz w:val="18"/>
                <w:szCs w:val="18"/>
              </w:rPr>
            </w:pPr>
            <w:r w:rsidRPr="00474E04">
              <w:rPr>
                <w:rFonts w:ascii="Nunito Sans" w:hAnsi="Nunito Sans" w:cs="Calibri"/>
                <w:sz w:val="18"/>
                <w:szCs w:val="18"/>
              </w:rPr>
              <w:t xml:space="preserve">Desarrollo, implementación y ampliación de los sistemas de información.  </w:t>
            </w:r>
          </w:p>
        </w:tc>
        <w:tc>
          <w:tcPr>
            <w:tcW w:w="3184" w:type="dxa"/>
            <w:shd w:val="clear" w:color="auto" w:fill="FFFFFF" w:themeFill="background1"/>
            <w:vAlign w:val="center"/>
            <w:hideMark/>
          </w:tcPr>
          <w:p w:rsidRPr="00474E04" w:rsidR="005E3BD6" w:rsidP="004D12F5" w:rsidRDefault="1F325162" w14:paraId="663F6C0D"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w:t>
            </w:r>
          </w:p>
        </w:tc>
      </w:tr>
      <w:tr w:rsidRPr="00B34900" w:rsidR="005E3BD6" w:rsidTr="00B92E02" w14:paraId="5DBA7F0B"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5659387"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34D98C84" w14:textId="77777777">
            <w:pPr>
              <w:jc w:val="both"/>
              <w:rPr>
                <w:rFonts w:ascii="Nunito Sans" w:hAnsi="Nunito Sans" w:cs="Calibri"/>
                <w:sz w:val="18"/>
                <w:szCs w:val="18"/>
              </w:rPr>
            </w:pPr>
            <w:r w:rsidRPr="00474E04">
              <w:rPr>
                <w:rFonts w:ascii="Nunito Sans" w:hAnsi="Nunito Sans" w:cs="Calibri"/>
                <w:sz w:val="18"/>
                <w:szCs w:val="18"/>
              </w:rPr>
              <w:t>Alineación a ISO/27001, clasificación de activos estratégicos geológicos y gestión de riesgos.</w:t>
            </w:r>
          </w:p>
        </w:tc>
        <w:tc>
          <w:tcPr>
            <w:tcW w:w="3184" w:type="dxa"/>
            <w:shd w:val="clear" w:color="auto" w:fill="FFFFFF" w:themeFill="background1"/>
            <w:vAlign w:val="center"/>
            <w:hideMark/>
          </w:tcPr>
          <w:p w:rsidRPr="00474E04" w:rsidR="005E3BD6" w:rsidP="004D12F5" w:rsidRDefault="1F325162" w14:paraId="18F08211"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3A20639B"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6A8C407"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23752420" w14:textId="349DACFD">
            <w:pPr>
              <w:jc w:val="both"/>
              <w:rPr>
                <w:rFonts w:ascii="Nunito Sans" w:hAnsi="Nunito Sans" w:cs="Calibri"/>
                <w:sz w:val="18"/>
                <w:szCs w:val="18"/>
              </w:rPr>
            </w:pPr>
            <w:r w:rsidRPr="00474E04">
              <w:rPr>
                <w:rFonts w:ascii="Nunito Sans" w:hAnsi="Nunito Sans" w:cs="Calibri"/>
                <w:sz w:val="18"/>
                <w:szCs w:val="18"/>
              </w:rPr>
              <w:t xml:space="preserve">Adquisición e implementación de un sistema para la gestión administrativa, financiera y de talento humano. </w:t>
            </w:r>
          </w:p>
        </w:tc>
        <w:tc>
          <w:tcPr>
            <w:tcW w:w="3184" w:type="dxa"/>
            <w:shd w:val="clear" w:color="auto" w:fill="FFFFFF" w:themeFill="background1"/>
            <w:vAlign w:val="center"/>
            <w:hideMark/>
          </w:tcPr>
          <w:p w:rsidRPr="00474E04" w:rsidR="005E3BD6" w:rsidP="004D12F5" w:rsidRDefault="1F325162" w14:paraId="5FF7A276"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w:t>
            </w:r>
          </w:p>
        </w:tc>
      </w:tr>
      <w:tr w:rsidRPr="00B34900" w:rsidR="005E3BD6" w:rsidTr="00B92E02" w14:paraId="1525CFE6" w14:textId="77777777">
        <w:trPr>
          <w:trHeight w:val="1040"/>
          <w:jc w:val="center"/>
        </w:trPr>
        <w:tc>
          <w:tcPr>
            <w:tcW w:w="1065"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079A09E1"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IPSE</w:t>
            </w: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3B79A4AD" w14:textId="20023E07">
            <w:pPr>
              <w:jc w:val="both"/>
              <w:rPr>
                <w:rFonts w:ascii="Nunito Sans" w:hAnsi="Nunito Sans" w:cs="Calibri"/>
                <w:sz w:val="18"/>
                <w:szCs w:val="18"/>
              </w:rPr>
            </w:pPr>
            <w:r w:rsidRPr="00474E04">
              <w:rPr>
                <w:rFonts w:ascii="Nunito Sans" w:hAnsi="Nunito Sans" w:cs="Calibri"/>
                <w:sz w:val="18"/>
                <w:szCs w:val="18"/>
              </w:rPr>
              <w:t xml:space="preserve">Innovación y apropiación de las tecnologías de la información y las comunicaciones del IPSE hacia una sociedad movida por el sol, el viento y el agua en Bogotá </w:t>
            </w:r>
          </w:p>
        </w:tc>
        <w:tc>
          <w:tcPr>
            <w:tcW w:w="3184" w:type="dxa"/>
            <w:shd w:val="clear" w:color="auto" w:fill="FFFFFF" w:themeFill="background1"/>
            <w:vAlign w:val="center"/>
            <w:hideMark/>
          </w:tcPr>
          <w:p w:rsidRPr="00474E04" w:rsidR="005E3BD6" w:rsidP="004D12F5" w:rsidRDefault="1F325162" w14:paraId="44AF5392" w14:textId="77777777">
            <w:pPr>
              <w:jc w:val="both"/>
              <w:rPr>
                <w:rFonts w:ascii="Nunito Sans" w:hAnsi="Nunito Sans" w:cs="Calibri"/>
                <w:sz w:val="18"/>
                <w:szCs w:val="18"/>
              </w:rPr>
            </w:pPr>
            <w:r w:rsidRPr="00474E04">
              <w:rPr>
                <w:rFonts w:ascii="Nunito Sans" w:hAnsi="Nunito Sans" w:cs="Calibri"/>
                <w:sz w:val="18"/>
                <w:szCs w:val="18"/>
              </w:rPr>
              <w:t>T.D. - Tecnologías emergentes- Innovación- Datos e información</w:t>
            </w:r>
          </w:p>
        </w:tc>
      </w:tr>
      <w:tr w:rsidRPr="00B34900" w:rsidR="005E3BD6" w:rsidTr="00B92E02" w14:paraId="2FF955D5"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6A56572"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7231BDC6" w14:textId="77777777">
            <w:pPr>
              <w:jc w:val="both"/>
              <w:rPr>
                <w:rFonts w:ascii="Nunito Sans" w:hAnsi="Nunito Sans" w:cs="Calibri"/>
                <w:sz w:val="18"/>
                <w:szCs w:val="18"/>
              </w:rPr>
            </w:pPr>
            <w:r w:rsidRPr="00474E04">
              <w:rPr>
                <w:rFonts w:ascii="Nunito Sans" w:hAnsi="Nunito Sans" w:cs="Calibri"/>
                <w:sz w:val="18"/>
                <w:szCs w:val="18"/>
              </w:rPr>
              <w:t>Seguridad en operación territorial, continuidad y riesgos en proyectos energéticos en zonas no interconectadas.</w:t>
            </w:r>
          </w:p>
        </w:tc>
        <w:tc>
          <w:tcPr>
            <w:tcW w:w="3184" w:type="dxa"/>
            <w:shd w:val="clear" w:color="auto" w:fill="FFFFFF" w:themeFill="background1"/>
            <w:vAlign w:val="center"/>
            <w:hideMark/>
          </w:tcPr>
          <w:p w:rsidRPr="00474E04" w:rsidR="005E3BD6" w:rsidP="004D12F5" w:rsidRDefault="1F325162" w14:paraId="794A3C54"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23E18BA7" w14:textId="77777777">
        <w:trPr>
          <w:trHeight w:val="1561"/>
          <w:jc w:val="center"/>
        </w:trPr>
        <w:tc>
          <w:tcPr>
            <w:tcW w:w="1065"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0B5E94D7"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UPME</w:t>
            </w: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4680A205" w14:textId="11125D66">
            <w:pPr>
              <w:jc w:val="both"/>
              <w:rPr>
                <w:rFonts w:ascii="Nunito Sans" w:hAnsi="Nunito Sans" w:cs="Calibri"/>
                <w:sz w:val="18"/>
                <w:szCs w:val="18"/>
              </w:rPr>
            </w:pPr>
            <w:r w:rsidRPr="00474E04">
              <w:rPr>
                <w:rFonts w:ascii="Nunito Sans" w:hAnsi="Nunito Sans" w:cs="Calibri"/>
                <w:sz w:val="18"/>
                <w:szCs w:val="18"/>
              </w:rPr>
              <w:t xml:space="preserve">Fortalecimiento de los procesos que realizan las áreas de la Entidad a través de la automatización, digitalización o sistematización de sus procesos, de acuerdo con los recursos disponibles y el alcance que se defina para cada año de los que componen el horizonte del PETI  </w:t>
            </w:r>
          </w:p>
        </w:tc>
        <w:tc>
          <w:tcPr>
            <w:tcW w:w="3184" w:type="dxa"/>
            <w:shd w:val="clear" w:color="auto" w:fill="FFFFFF" w:themeFill="background1"/>
            <w:vAlign w:val="center"/>
            <w:hideMark/>
          </w:tcPr>
          <w:p w:rsidRPr="00474E04" w:rsidR="005E3BD6" w:rsidP="004D12F5" w:rsidRDefault="1F325162" w14:paraId="4FD47035" w14:textId="77777777">
            <w:pPr>
              <w:jc w:val="both"/>
              <w:rPr>
                <w:rFonts w:ascii="Nunito Sans" w:hAnsi="Nunito Sans" w:cs="Calibri"/>
                <w:sz w:val="18"/>
                <w:szCs w:val="18"/>
              </w:rPr>
            </w:pPr>
            <w:r w:rsidRPr="00474E04">
              <w:rPr>
                <w:rFonts w:ascii="Nunito Sans" w:hAnsi="Nunito Sans" w:cs="Calibri"/>
                <w:sz w:val="18"/>
                <w:szCs w:val="18"/>
              </w:rPr>
              <w:t>Arquitectura institucional - T.D. - Tecnologías emergentes</w:t>
            </w:r>
          </w:p>
        </w:tc>
      </w:tr>
      <w:tr w:rsidRPr="00B34900" w:rsidR="005E3BD6" w:rsidTr="00B92E02" w14:paraId="0BCA61EB" w14:textId="77777777">
        <w:trPr>
          <w:trHeight w:val="2342"/>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1EB75CD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7B70548D" w14:textId="6978CFC8">
            <w:pPr>
              <w:jc w:val="both"/>
              <w:rPr>
                <w:rFonts w:ascii="Nunito Sans" w:hAnsi="Nunito Sans" w:cs="Calibri"/>
                <w:sz w:val="18"/>
                <w:szCs w:val="18"/>
              </w:rPr>
            </w:pPr>
            <w:r w:rsidRPr="00474E04">
              <w:rPr>
                <w:rFonts w:ascii="Nunito Sans" w:hAnsi="Nunito Sans" w:cs="Calibri"/>
                <w:sz w:val="18"/>
                <w:szCs w:val="18"/>
              </w:rPr>
              <w:t xml:space="preserve">Construcción del marco conceptual y metodológico del Gobierno y la Gestión de Datos aplicable al sector minero energético, en el marco del rol CIO asignado a la UPME, a partir de los lineamientos y definiciones existentes; así como su implementación y puesta en operación, de acuerdo con las fases o etapas que se definan para cada año de los que componen el horizonte del PETI  </w:t>
            </w:r>
          </w:p>
        </w:tc>
        <w:tc>
          <w:tcPr>
            <w:tcW w:w="3184" w:type="dxa"/>
            <w:shd w:val="clear" w:color="auto" w:fill="FFFFFF" w:themeFill="background1"/>
            <w:vAlign w:val="center"/>
            <w:hideMark/>
          </w:tcPr>
          <w:p w:rsidRPr="00474E04" w:rsidR="005E3BD6" w:rsidP="004D12F5" w:rsidRDefault="1F325162" w14:paraId="1F689FE2"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Gobernanza de datos. </w:t>
            </w:r>
          </w:p>
        </w:tc>
      </w:tr>
      <w:tr w:rsidRPr="00B34900" w:rsidR="005E3BD6" w:rsidTr="00B92E02" w14:paraId="00E38715" w14:textId="77777777">
        <w:trPr>
          <w:trHeight w:val="208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E1B2C6A"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2383D99E" w14:textId="5AC824E4">
            <w:pPr>
              <w:jc w:val="both"/>
              <w:rPr>
                <w:rFonts w:ascii="Nunito Sans" w:hAnsi="Nunito Sans" w:cs="Calibri"/>
                <w:sz w:val="18"/>
                <w:szCs w:val="18"/>
              </w:rPr>
            </w:pPr>
            <w:r w:rsidRPr="00474E04">
              <w:rPr>
                <w:rFonts w:ascii="Nunito Sans" w:hAnsi="Nunito Sans" w:cs="Calibri"/>
                <w:sz w:val="18"/>
                <w:szCs w:val="18"/>
              </w:rPr>
              <w:t xml:space="preserve">Mejorar la obtención de datos e información de Entidades externas, a través de la implementación de los servicios de interoperabilidad que se definan, de acuerdo con el alcance que se establezca para cada año de los que componen el horizonte del PETI, aplicando lineamientos y estándares definidos por MinTIC  </w:t>
            </w:r>
          </w:p>
        </w:tc>
        <w:tc>
          <w:tcPr>
            <w:tcW w:w="3184" w:type="dxa"/>
            <w:shd w:val="clear" w:color="auto" w:fill="FFFFFF" w:themeFill="background1"/>
            <w:vAlign w:val="center"/>
            <w:hideMark/>
          </w:tcPr>
          <w:p w:rsidRPr="00474E04" w:rsidR="005E3BD6" w:rsidP="004D12F5" w:rsidRDefault="1F325162" w14:paraId="144046A9"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 Datos e información- Interoperabilidad</w:t>
            </w:r>
          </w:p>
        </w:tc>
      </w:tr>
      <w:tr w:rsidRPr="00B34900" w:rsidR="005E3BD6" w:rsidTr="00B92E02" w14:paraId="1DD21C93" w14:textId="77777777">
        <w:trPr>
          <w:trHeight w:val="130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3C1E142"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2FEB7666" w14:textId="4B3C149F">
            <w:pPr>
              <w:jc w:val="both"/>
              <w:rPr>
                <w:rFonts w:ascii="Nunito Sans" w:hAnsi="Nunito Sans" w:cs="Calibri"/>
                <w:sz w:val="18"/>
                <w:szCs w:val="18"/>
              </w:rPr>
            </w:pPr>
            <w:r w:rsidRPr="00474E04">
              <w:rPr>
                <w:rFonts w:ascii="Nunito Sans" w:hAnsi="Nunito Sans" w:cs="Calibri"/>
                <w:sz w:val="18"/>
                <w:szCs w:val="18"/>
              </w:rPr>
              <w:t xml:space="preserve">Fortalecer la línea de acción de "Decisiones basadas en datos", de la política de Gobierno Digital, a través de la construcción y publicación de tableros con datos e información de interés para los grupos de valor de la Entidad  </w:t>
            </w:r>
          </w:p>
        </w:tc>
        <w:tc>
          <w:tcPr>
            <w:tcW w:w="3184" w:type="dxa"/>
            <w:shd w:val="clear" w:color="auto" w:fill="FFFFFF" w:themeFill="background1"/>
            <w:vAlign w:val="center"/>
            <w:hideMark/>
          </w:tcPr>
          <w:p w:rsidRPr="00474E04" w:rsidR="005E3BD6" w:rsidP="004D12F5" w:rsidRDefault="1F325162" w14:paraId="7729E8BA" w14:textId="77777777">
            <w:pPr>
              <w:jc w:val="both"/>
              <w:rPr>
                <w:rFonts w:ascii="Nunito Sans" w:hAnsi="Nunito Sans" w:cs="Calibri"/>
                <w:sz w:val="18"/>
                <w:szCs w:val="18"/>
              </w:rPr>
            </w:pPr>
            <w:r w:rsidRPr="00474E04">
              <w:rPr>
                <w:rFonts w:ascii="Nunito Sans" w:hAnsi="Nunito Sans" w:cs="Calibri"/>
                <w:sz w:val="18"/>
                <w:szCs w:val="18"/>
                <w:lang w:val="es-ES"/>
              </w:rPr>
              <w:t xml:space="preserve">Infraestructura y servicios tecnológicos- Seguridad TI. </w:t>
            </w:r>
          </w:p>
        </w:tc>
      </w:tr>
      <w:tr w:rsidRPr="00B34900" w:rsidR="005E3BD6" w:rsidTr="00B92E02" w14:paraId="555FD3C8" w14:textId="77777777">
        <w:trPr>
          <w:trHeight w:val="130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209EEBFA"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0BCF8E9F" w14:textId="5AEFF0C6">
            <w:pPr>
              <w:jc w:val="both"/>
              <w:rPr>
                <w:rFonts w:ascii="Nunito Sans" w:hAnsi="Nunito Sans" w:cs="Calibri"/>
                <w:sz w:val="18"/>
                <w:szCs w:val="18"/>
              </w:rPr>
            </w:pPr>
            <w:r w:rsidRPr="00474E04">
              <w:rPr>
                <w:rFonts w:ascii="Nunito Sans" w:hAnsi="Nunito Sans" w:cs="Calibri"/>
                <w:sz w:val="18"/>
                <w:szCs w:val="18"/>
              </w:rPr>
              <w:t xml:space="preserve">Impulsar el uso y apropiación de los productos, servicios y trámites que genera y ofrece la Entidad, a través de actividades de difusión, comunicación y mejoramiento de la página web de la Entidad  </w:t>
            </w:r>
          </w:p>
        </w:tc>
        <w:tc>
          <w:tcPr>
            <w:tcW w:w="3184" w:type="dxa"/>
            <w:shd w:val="clear" w:color="auto" w:fill="FFFFFF" w:themeFill="background1"/>
            <w:vAlign w:val="center"/>
            <w:hideMark/>
          </w:tcPr>
          <w:p w:rsidRPr="00474E04" w:rsidR="005E3BD6" w:rsidP="004D12F5" w:rsidRDefault="1F325162" w14:paraId="349F111A"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Analítica de datos. </w:t>
            </w:r>
          </w:p>
        </w:tc>
      </w:tr>
      <w:tr w:rsidRPr="00B34900" w:rsidR="005E3BD6" w:rsidTr="00B92E02" w14:paraId="79E27BA1" w14:textId="77777777">
        <w:trPr>
          <w:trHeight w:val="104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84C887B"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0B1CB4F2" w14:textId="41F4D40A">
            <w:pPr>
              <w:jc w:val="both"/>
              <w:rPr>
                <w:rFonts w:ascii="Nunito Sans" w:hAnsi="Nunito Sans" w:cs="Calibri"/>
                <w:sz w:val="18"/>
                <w:szCs w:val="18"/>
              </w:rPr>
            </w:pPr>
            <w:r w:rsidRPr="00474E04">
              <w:rPr>
                <w:rFonts w:ascii="Nunito Sans" w:hAnsi="Nunito Sans" w:cs="Calibri"/>
                <w:sz w:val="18"/>
                <w:szCs w:val="18"/>
              </w:rPr>
              <w:t xml:space="preserve">Ampliar la capacidad de la infraestructura y servicios tecnológicos con el fin de atender las necesidades que se deriven de la evolución de los procesos de la Entidad  </w:t>
            </w:r>
          </w:p>
        </w:tc>
        <w:tc>
          <w:tcPr>
            <w:tcW w:w="3184" w:type="dxa"/>
            <w:shd w:val="clear" w:color="auto" w:fill="FFFFFF" w:themeFill="background1"/>
            <w:vAlign w:val="center"/>
            <w:hideMark/>
          </w:tcPr>
          <w:p w:rsidRPr="00474E04" w:rsidR="005E3BD6" w:rsidP="004D12F5" w:rsidRDefault="1F325162" w14:paraId="67566EB8" w14:textId="77777777">
            <w:pPr>
              <w:jc w:val="both"/>
              <w:rPr>
                <w:rFonts w:ascii="Nunito Sans" w:hAnsi="Nunito Sans" w:cs="Calibri"/>
                <w:sz w:val="18"/>
                <w:szCs w:val="18"/>
              </w:rPr>
            </w:pPr>
            <w:r w:rsidRPr="00474E04">
              <w:rPr>
                <w:rFonts w:ascii="Nunito Sans" w:hAnsi="Nunito Sans" w:cs="Calibri"/>
                <w:sz w:val="18"/>
                <w:szCs w:val="18"/>
                <w:lang w:val="es-ES"/>
              </w:rPr>
              <w:t>Infraestructura y servicios tecnológicos</w:t>
            </w:r>
          </w:p>
        </w:tc>
      </w:tr>
      <w:tr w:rsidRPr="00B34900" w:rsidR="005E3BD6" w:rsidTr="00B92E02" w14:paraId="5AB9E3D6" w14:textId="77777777">
        <w:trPr>
          <w:trHeight w:val="156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0ADDA2F"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2897F8F2" w14:textId="687763FD">
            <w:pPr>
              <w:jc w:val="both"/>
              <w:rPr>
                <w:rFonts w:ascii="Nunito Sans" w:hAnsi="Nunito Sans" w:cs="Calibri"/>
                <w:sz w:val="18"/>
                <w:szCs w:val="18"/>
              </w:rPr>
            </w:pPr>
            <w:r w:rsidRPr="00474E04">
              <w:rPr>
                <w:rFonts w:ascii="Nunito Sans" w:hAnsi="Nunito Sans" w:cs="Calibri"/>
                <w:sz w:val="18"/>
                <w:szCs w:val="18"/>
              </w:rPr>
              <w:t xml:space="preserve">Adoptar el modelo de Gestión y Gobierno de TI (MGGTI) e implementarlo en la Entidad, de acuerdo con el alcance que se establezca para cada año de los que componen el horizonte del PETI, aplicando lineamientos definidos por MinTIC  </w:t>
            </w:r>
          </w:p>
        </w:tc>
        <w:tc>
          <w:tcPr>
            <w:tcW w:w="3184" w:type="dxa"/>
            <w:shd w:val="clear" w:color="auto" w:fill="FFFFFF" w:themeFill="background1"/>
            <w:vAlign w:val="center"/>
            <w:hideMark/>
          </w:tcPr>
          <w:p w:rsidRPr="00474E04" w:rsidR="005E3BD6" w:rsidP="004D12F5" w:rsidRDefault="1F325162" w14:paraId="69361469" w14:textId="77777777">
            <w:pPr>
              <w:jc w:val="both"/>
              <w:rPr>
                <w:rFonts w:ascii="Nunito Sans" w:hAnsi="Nunito Sans" w:cs="Calibri"/>
                <w:sz w:val="18"/>
                <w:szCs w:val="18"/>
              </w:rPr>
            </w:pPr>
            <w:r w:rsidRPr="00474E04">
              <w:rPr>
                <w:rFonts w:ascii="Nunito Sans" w:hAnsi="Nunito Sans" w:cs="Calibri"/>
                <w:sz w:val="18"/>
                <w:szCs w:val="18"/>
              </w:rPr>
              <w:t>Arquitectura institucional</w:t>
            </w:r>
          </w:p>
        </w:tc>
      </w:tr>
      <w:tr w:rsidRPr="00B34900" w:rsidR="005E3BD6" w:rsidTr="00B92E02" w14:paraId="7F8872B4" w14:textId="77777777">
        <w:trPr>
          <w:trHeight w:val="130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2866694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D12F5" w:rsidRDefault="1F325162" w14:paraId="7BE0944A" w14:textId="4743D161">
            <w:pPr>
              <w:jc w:val="both"/>
              <w:rPr>
                <w:rFonts w:ascii="Nunito Sans" w:hAnsi="Nunito Sans" w:cs="Calibri"/>
                <w:sz w:val="18"/>
                <w:szCs w:val="18"/>
              </w:rPr>
            </w:pPr>
            <w:r w:rsidRPr="00474E04">
              <w:rPr>
                <w:rFonts w:ascii="Nunito Sans" w:hAnsi="Nunito Sans" w:cs="Calibri"/>
                <w:sz w:val="18"/>
                <w:szCs w:val="18"/>
              </w:rPr>
              <w:t xml:space="preserve">Implementar el Modelo de Gestión de Proyectos de TI (MGPTI), basado en los lineamientos definidos por MinTIC, de acuerdo con las fases o etapas que se definan para cada año de los que componen el horizonte del PETI  </w:t>
            </w:r>
          </w:p>
        </w:tc>
        <w:tc>
          <w:tcPr>
            <w:tcW w:w="3184" w:type="dxa"/>
            <w:shd w:val="clear" w:color="auto" w:fill="FFFFFF" w:themeFill="background1"/>
            <w:vAlign w:val="center"/>
            <w:hideMark/>
          </w:tcPr>
          <w:p w:rsidRPr="00474E04" w:rsidR="005E3BD6" w:rsidP="004D12F5" w:rsidRDefault="1F325162" w14:paraId="71A5C521" w14:textId="77777777">
            <w:pPr>
              <w:jc w:val="both"/>
              <w:rPr>
                <w:rFonts w:ascii="Nunito Sans" w:hAnsi="Nunito Sans" w:cs="Calibri"/>
                <w:sz w:val="18"/>
                <w:szCs w:val="18"/>
              </w:rPr>
            </w:pPr>
            <w:r w:rsidRPr="00474E04">
              <w:rPr>
                <w:rFonts w:ascii="Nunito Sans" w:hAnsi="Nunito Sans" w:cs="Calibri"/>
                <w:sz w:val="18"/>
                <w:szCs w:val="18"/>
              </w:rPr>
              <w:t>Arquitectura institucional</w:t>
            </w:r>
          </w:p>
        </w:tc>
      </w:tr>
      <w:tr w:rsidRPr="00B34900" w:rsidR="005E3BD6" w:rsidTr="00B92E02" w14:paraId="0189C59F" w14:textId="77777777">
        <w:trPr>
          <w:trHeight w:val="2342"/>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0A55D0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52ED9B58" w14:textId="395DA6C7">
            <w:pPr>
              <w:jc w:val="both"/>
              <w:rPr>
                <w:rFonts w:ascii="Nunito Sans" w:hAnsi="Nunito Sans" w:cs="Calibri"/>
                <w:sz w:val="18"/>
                <w:szCs w:val="18"/>
              </w:rPr>
            </w:pPr>
            <w:r w:rsidRPr="00474E04">
              <w:rPr>
                <w:rFonts w:ascii="Nunito Sans" w:hAnsi="Nunito Sans" w:cs="Calibri"/>
                <w:sz w:val="18"/>
                <w:szCs w:val="18"/>
              </w:rPr>
              <w:t xml:space="preserve">Actualizar los elementos del modelo de Arquitectura Empresarial en sus distintos dominios, incluyendo la normativa vigente para su operacionalización, considerando la debida integración con el Modelo de Gestión y Gobierno de TI y el Modelo de Gestión de Proyectos de TI, de acuerdo con el alcance que se establezca para cada año de los que componen el horizonte del PETI  </w:t>
            </w:r>
          </w:p>
        </w:tc>
        <w:tc>
          <w:tcPr>
            <w:tcW w:w="3184" w:type="dxa"/>
            <w:shd w:val="clear" w:color="auto" w:fill="FFFFFF" w:themeFill="background1"/>
            <w:vAlign w:val="center"/>
            <w:hideMark/>
          </w:tcPr>
          <w:p w:rsidRPr="00474E04" w:rsidR="005E3BD6" w:rsidP="00773CC3" w:rsidRDefault="1F325162" w14:paraId="006D70B7" w14:textId="77777777">
            <w:pPr>
              <w:jc w:val="both"/>
              <w:rPr>
                <w:rFonts w:ascii="Nunito Sans" w:hAnsi="Nunito Sans" w:cs="Calibri"/>
                <w:sz w:val="18"/>
                <w:szCs w:val="18"/>
              </w:rPr>
            </w:pPr>
            <w:r w:rsidRPr="00474E04">
              <w:rPr>
                <w:rFonts w:ascii="Nunito Sans" w:hAnsi="Nunito Sans" w:cs="Calibri"/>
                <w:sz w:val="18"/>
                <w:szCs w:val="18"/>
              </w:rPr>
              <w:t>Arquitectura institucional</w:t>
            </w:r>
          </w:p>
        </w:tc>
      </w:tr>
      <w:tr w:rsidRPr="00B34900" w:rsidR="005E3BD6" w:rsidTr="00B92E02" w14:paraId="4EB495C1" w14:textId="77777777">
        <w:trPr>
          <w:trHeight w:val="156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1D6F0D87"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4866ABD3" w14:textId="58D405E5">
            <w:pPr>
              <w:jc w:val="both"/>
              <w:rPr>
                <w:rFonts w:ascii="Nunito Sans" w:hAnsi="Nunito Sans" w:cs="Calibri"/>
                <w:sz w:val="18"/>
                <w:szCs w:val="18"/>
              </w:rPr>
            </w:pPr>
            <w:r w:rsidRPr="00474E04">
              <w:rPr>
                <w:rFonts w:ascii="Nunito Sans" w:hAnsi="Nunito Sans" w:cs="Calibri"/>
                <w:sz w:val="18"/>
                <w:szCs w:val="18"/>
              </w:rPr>
              <w:t xml:space="preserve">Fortalecer la Arquitectura Empresarial y adoptar el modelo de Gestión y Gobierno de TI con el fin de generar capacidades y servicios institucionales que generen valor público y permitan avanzar en la transformación digital de la Entidad  </w:t>
            </w:r>
          </w:p>
        </w:tc>
        <w:tc>
          <w:tcPr>
            <w:tcW w:w="3184" w:type="dxa"/>
            <w:shd w:val="clear" w:color="auto" w:fill="FFFFFF" w:themeFill="background1"/>
            <w:vAlign w:val="center"/>
            <w:hideMark/>
          </w:tcPr>
          <w:p w:rsidRPr="00474E04" w:rsidR="005E3BD6" w:rsidP="00773CC3" w:rsidRDefault="1F325162" w14:paraId="25DA9C8D" w14:textId="77777777">
            <w:pPr>
              <w:jc w:val="both"/>
              <w:rPr>
                <w:rFonts w:ascii="Nunito Sans" w:hAnsi="Nunito Sans" w:cs="Calibri"/>
                <w:sz w:val="18"/>
                <w:szCs w:val="18"/>
              </w:rPr>
            </w:pPr>
            <w:r w:rsidRPr="00474E04">
              <w:rPr>
                <w:rFonts w:ascii="Nunito Sans" w:hAnsi="Nunito Sans" w:cs="Calibri"/>
                <w:sz w:val="18"/>
                <w:szCs w:val="18"/>
              </w:rPr>
              <w:t>Arquitectura institucional</w:t>
            </w:r>
          </w:p>
        </w:tc>
      </w:tr>
      <w:tr w:rsidRPr="00B34900" w:rsidR="005E3BD6" w:rsidTr="00B92E02" w14:paraId="7FE5D822" w14:textId="77777777">
        <w:trPr>
          <w:trHeight w:val="104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0E1E05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7468FBB1" w14:textId="58F307B8">
            <w:pPr>
              <w:jc w:val="both"/>
              <w:rPr>
                <w:rFonts w:ascii="Nunito Sans" w:hAnsi="Nunito Sans" w:cs="Calibri"/>
                <w:sz w:val="18"/>
                <w:szCs w:val="18"/>
              </w:rPr>
            </w:pPr>
            <w:r w:rsidRPr="00474E04">
              <w:rPr>
                <w:rFonts w:ascii="Nunito Sans" w:hAnsi="Nunito Sans" w:cs="Calibri"/>
                <w:sz w:val="18"/>
                <w:szCs w:val="18"/>
              </w:rPr>
              <w:t xml:space="preserve">Explorar tecnologías disruptivas o emergentes que puedan aportar en la transformación digital de la Entidad e innovación de sus procesos a través del concepto de I+D+I.  </w:t>
            </w:r>
          </w:p>
        </w:tc>
        <w:tc>
          <w:tcPr>
            <w:tcW w:w="3184" w:type="dxa"/>
            <w:shd w:val="clear" w:color="auto" w:fill="FFFFFF" w:themeFill="background1"/>
            <w:vAlign w:val="center"/>
            <w:hideMark/>
          </w:tcPr>
          <w:p w:rsidRPr="00474E04" w:rsidR="005E3BD6" w:rsidP="00773CC3" w:rsidRDefault="1F325162" w14:paraId="7A8CA012" w14:textId="77777777">
            <w:pPr>
              <w:jc w:val="both"/>
              <w:rPr>
                <w:rFonts w:ascii="Nunito Sans" w:hAnsi="Nunito Sans" w:cs="Calibri"/>
                <w:sz w:val="18"/>
                <w:szCs w:val="18"/>
              </w:rPr>
            </w:pPr>
            <w:r w:rsidRPr="00474E04">
              <w:rPr>
                <w:rFonts w:ascii="Nunito Sans" w:hAnsi="Nunito Sans" w:cs="Calibri"/>
                <w:sz w:val="18"/>
                <w:szCs w:val="18"/>
              </w:rPr>
              <w:t>T.D. - Tecnologías emergentes</w:t>
            </w:r>
          </w:p>
        </w:tc>
      </w:tr>
      <w:tr w:rsidRPr="00B34900" w:rsidR="005E3BD6" w:rsidTr="00B92E02" w14:paraId="584F1A7A"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2FA18B76"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636FF220" w14:textId="7E7BFC66">
            <w:pPr>
              <w:jc w:val="both"/>
              <w:rPr>
                <w:rFonts w:ascii="Nunito Sans" w:hAnsi="Nunito Sans" w:cs="Calibri"/>
                <w:sz w:val="18"/>
                <w:szCs w:val="18"/>
              </w:rPr>
            </w:pPr>
            <w:r w:rsidRPr="00474E04">
              <w:rPr>
                <w:rFonts w:ascii="Nunito Sans" w:hAnsi="Nunito Sans" w:cs="Calibri"/>
                <w:sz w:val="18"/>
                <w:szCs w:val="18"/>
              </w:rPr>
              <w:t xml:space="preserve">Potenciar la analítica de datos en la Entidad para el fortalecimiento de la Planeación Minero-Energética del país  </w:t>
            </w:r>
          </w:p>
        </w:tc>
        <w:tc>
          <w:tcPr>
            <w:tcW w:w="3184" w:type="dxa"/>
            <w:shd w:val="clear" w:color="auto" w:fill="FFFFFF" w:themeFill="background1"/>
            <w:vAlign w:val="center"/>
            <w:hideMark/>
          </w:tcPr>
          <w:p w:rsidRPr="00474E04" w:rsidR="005E3BD6" w:rsidP="00773CC3" w:rsidRDefault="1F325162" w14:paraId="58A8A1AC"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Analítica de datos. </w:t>
            </w:r>
          </w:p>
        </w:tc>
      </w:tr>
      <w:tr w:rsidRPr="00B34900" w:rsidR="005E3BD6" w:rsidTr="00B92E02" w14:paraId="2DBA8C4F" w14:textId="77777777">
        <w:trPr>
          <w:trHeight w:val="1301"/>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DB78FBC"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36122233" w14:textId="758EDE18">
            <w:pPr>
              <w:jc w:val="both"/>
              <w:rPr>
                <w:rFonts w:ascii="Nunito Sans" w:hAnsi="Nunito Sans" w:cs="Calibri"/>
                <w:sz w:val="18"/>
                <w:szCs w:val="18"/>
              </w:rPr>
            </w:pPr>
            <w:r w:rsidRPr="00474E04">
              <w:rPr>
                <w:rFonts w:ascii="Nunito Sans" w:hAnsi="Nunito Sans" w:cs="Calibri"/>
                <w:sz w:val="18"/>
                <w:szCs w:val="18"/>
              </w:rPr>
              <w:t xml:space="preserve">Fortalecer la implementación del Sistema de Gestión de Seguridad de la Información en la Entidad, de acuerdo con el alcance que se establezca para cada año de los que componen el horizonte del PETI  </w:t>
            </w:r>
          </w:p>
        </w:tc>
        <w:tc>
          <w:tcPr>
            <w:tcW w:w="3184" w:type="dxa"/>
            <w:shd w:val="clear" w:color="auto" w:fill="FFFFFF" w:themeFill="background1"/>
            <w:vAlign w:val="center"/>
            <w:hideMark/>
          </w:tcPr>
          <w:p w:rsidRPr="00474E04" w:rsidR="005E3BD6" w:rsidP="00773CC3" w:rsidRDefault="1F325162" w14:paraId="70B6BE97"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289A049F"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68A58A7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31BCDF6D" w14:textId="04EB4778">
            <w:pPr>
              <w:jc w:val="both"/>
              <w:rPr>
                <w:rFonts w:ascii="Nunito Sans" w:hAnsi="Nunito Sans" w:cs="Calibri"/>
                <w:sz w:val="18"/>
                <w:szCs w:val="18"/>
              </w:rPr>
            </w:pPr>
            <w:r w:rsidRPr="00474E04">
              <w:rPr>
                <w:rFonts w:ascii="Nunito Sans" w:hAnsi="Nunito Sans" w:cs="Calibri"/>
                <w:sz w:val="18"/>
                <w:szCs w:val="18"/>
              </w:rPr>
              <w:t xml:space="preserve">Fortalecer la comunicación con el ciudadano mediante el desarrollo de herramientas automatizadas con IA  </w:t>
            </w:r>
          </w:p>
        </w:tc>
        <w:tc>
          <w:tcPr>
            <w:tcW w:w="3184" w:type="dxa"/>
            <w:shd w:val="clear" w:color="auto" w:fill="FFFFFF" w:themeFill="background1"/>
            <w:vAlign w:val="center"/>
            <w:hideMark/>
          </w:tcPr>
          <w:p w:rsidRPr="00474E04" w:rsidR="005E3BD6" w:rsidP="00773CC3" w:rsidRDefault="1F325162" w14:paraId="35D4324A" w14:textId="77777777">
            <w:pPr>
              <w:jc w:val="both"/>
              <w:rPr>
                <w:rFonts w:ascii="Nunito Sans" w:hAnsi="Nunito Sans" w:cs="Calibri"/>
                <w:sz w:val="18"/>
                <w:szCs w:val="18"/>
              </w:rPr>
            </w:pPr>
            <w:r w:rsidRPr="00474E04">
              <w:rPr>
                <w:rFonts w:ascii="Nunito Sans" w:hAnsi="Nunito Sans" w:cs="Calibri"/>
                <w:sz w:val="18"/>
                <w:szCs w:val="18"/>
              </w:rPr>
              <w:t>T.D. - Tecnologías emergentes - IA</w:t>
            </w:r>
          </w:p>
        </w:tc>
      </w:tr>
      <w:tr w:rsidRPr="00B34900" w:rsidR="005E3BD6" w:rsidTr="00B92E02" w14:paraId="2F2C60F5"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7B00308"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76711761" w14:textId="512166BD">
            <w:pPr>
              <w:jc w:val="both"/>
              <w:rPr>
                <w:rFonts w:ascii="Nunito Sans" w:hAnsi="Nunito Sans" w:cs="Calibri"/>
                <w:sz w:val="18"/>
                <w:szCs w:val="18"/>
              </w:rPr>
            </w:pPr>
            <w:r w:rsidRPr="00474E04">
              <w:rPr>
                <w:rFonts w:ascii="Nunito Sans" w:hAnsi="Nunito Sans" w:cs="Calibri"/>
                <w:sz w:val="18"/>
                <w:szCs w:val="18"/>
              </w:rPr>
              <w:t xml:space="preserve">Sistema de IA para optimización de la demanda energética  </w:t>
            </w:r>
          </w:p>
        </w:tc>
        <w:tc>
          <w:tcPr>
            <w:tcW w:w="3184" w:type="dxa"/>
            <w:shd w:val="clear" w:color="auto" w:fill="FFFFFF" w:themeFill="background1"/>
            <w:vAlign w:val="center"/>
            <w:hideMark/>
          </w:tcPr>
          <w:p w:rsidRPr="00474E04" w:rsidR="005E3BD6" w:rsidP="00773CC3" w:rsidRDefault="1F325162" w14:paraId="6B9ADD65" w14:textId="77777777">
            <w:pPr>
              <w:jc w:val="both"/>
              <w:rPr>
                <w:rFonts w:ascii="Nunito Sans" w:hAnsi="Nunito Sans" w:cs="Calibri"/>
                <w:sz w:val="18"/>
                <w:szCs w:val="18"/>
              </w:rPr>
            </w:pPr>
            <w:r w:rsidRPr="00474E04">
              <w:rPr>
                <w:rFonts w:ascii="Nunito Sans" w:hAnsi="Nunito Sans" w:cs="Calibri"/>
                <w:sz w:val="18"/>
                <w:szCs w:val="18"/>
              </w:rPr>
              <w:t>T.D. - Tecnologías emergentes -IA</w:t>
            </w:r>
          </w:p>
        </w:tc>
      </w:tr>
      <w:tr w:rsidRPr="00B34900" w:rsidR="005E3BD6" w:rsidTr="00B92E02" w14:paraId="25B303FC"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49054D2"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4012D082" w14:textId="77777777">
            <w:pPr>
              <w:jc w:val="both"/>
              <w:rPr>
                <w:rFonts w:ascii="Nunito Sans" w:hAnsi="Nunito Sans" w:cs="Calibri"/>
                <w:sz w:val="18"/>
                <w:szCs w:val="18"/>
              </w:rPr>
            </w:pPr>
            <w:r w:rsidRPr="00474E04">
              <w:rPr>
                <w:rFonts w:ascii="Nunito Sans" w:hAnsi="Nunito Sans" w:cs="Calibri"/>
                <w:sz w:val="18"/>
                <w:szCs w:val="18"/>
              </w:rPr>
              <w:t>Seguridad de modelos de planeación energética y gestión de datos sensibles en proyección tarifaria y de demanda.</w:t>
            </w:r>
          </w:p>
        </w:tc>
        <w:tc>
          <w:tcPr>
            <w:tcW w:w="3184" w:type="dxa"/>
            <w:shd w:val="clear" w:color="auto" w:fill="FFFFFF" w:themeFill="background1"/>
            <w:vAlign w:val="center"/>
            <w:hideMark/>
          </w:tcPr>
          <w:p w:rsidRPr="00474E04" w:rsidR="005E3BD6" w:rsidP="00773CC3" w:rsidRDefault="1F325162" w14:paraId="2CD5EB5C" w14:textId="77777777">
            <w:pPr>
              <w:jc w:val="both"/>
              <w:rPr>
                <w:rFonts w:ascii="Nunito Sans" w:hAnsi="Nunito Sans" w:cs="Calibri"/>
                <w:sz w:val="18"/>
                <w:szCs w:val="18"/>
              </w:rPr>
            </w:pPr>
            <w:r w:rsidRPr="00474E04">
              <w:rPr>
                <w:rFonts w:ascii="Nunito Sans" w:hAnsi="Nunito Sans" w:cs="Calibri"/>
                <w:sz w:val="18"/>
                <w:szCs w:val="18"/>
                <w:lang w:val="es-ES"/>
              </w:rPr>
              <w:t>Seguridad de la información y ciberseguridad.  Datos e información</w:t>
            </w:r>
          </w:p>
        </w:tc>
      </w:tr>
      <w:tr w:rsidRPr="00B34900" w:rsidR="005E3BD6" w:rsidTr="00B92E02" w14:paraId="37B575F6" w14:textId="77777777">
        <w:trPr>
          <w:trHeight w:val="1561"/>
          <w:jc w:val="center"/>
        </w:trPr>
        <w:tc>
          <w:tcPr>
            <w:tcW w:w="1065"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5FACB309"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SGC</w:t>
            </w: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7F5D4DF6" w14:textId="77777777">
            <w:pPr>
              <w:jc w:val="both"/>
              <w:rPr>
                <w:rFonts w:ascii="Nunito Sans" w:hAnsi="Nunito Sans" w:cs="Calibri"/>
                <w:sz w:val="18"/>
                <w:szCs w:val="18"/>
              </w:rPr>
            </w:pPr>
            <w:r w:rsidRPr="00474E04">
              <w:rPr>
                <w:rFonts w:ascii="Nunito Sans" w:hAnsi="Nunito Sans" w:cs="Calibri"/>
                <w:sz w:val="18"/>
                <w:szCs w:val="18"/>
              </w:rPr>
              <w:t xml:space="preserve">Modernizar la a solución de  hiperconvergencia, modernizar la solución de almacenamiento y respaldo. Modernizar los balanceadores, el switch Core, los switches de borde y de la infraestructura de red con los equipos de gestión. </w:t>
            </w:r>
          </w:p>
        </w:tc>
        <w:tc>
          <w:tcPr>
            <w:tcW w:w="3184" w:type="dxa"/>
            <w:shd w:val="clear" w:color="auto" w:fill="FFFFFF" w:themeFill="background1"/>
            <w:vAlign w:val="center"/>
            <w:hideMark/>
          </w:tcPr>
          <w:p w:rsidRPr="00474E04" w:rsidR="005E3BD6" w:rsidP="00773CC3" w:rsidRDefault="1F325162" w14:paraId="3984D393" w14:textId="77777777">
            <w:pPr>
              <w:jc w:val="both"/>
              <w:rPr>
                <w:rFonts w:ascii="Nunito Sans" w:hAnsi="Nunito Sans" w:cs="Calibri"/>
                <w:sz w:val="18"/>
                <w:szCs w:val="18"/>
              </w:rPr>
            </w:pPr>
            <w:r w:rsidRPr="00474E04">
              <w:rPr>
                <w:rFonts w:ascii="Nunito Sans" w:hAnsi="Nunito Sans" w:cs="Calibri"/>
                <w:sz w:val="18"/>
                <w:szCs w:val="18"/>
                <w:lang w:val="es-ES"/>
              </w:rPr>
              <w:t xml:space="preserve">Infraestructura y servicios tecnológicos- Seguridad TI. </w:t>
            </w:r>
          </w:p>
        </w:tc>
      </w:tr>
      <w:tr w:rsidRPr="00B34900" w:rsidR="005E3BD6" w:rsidTr="00B92E02" w14:paraId="4ACC3548"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77B23C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5A175E3B" w14:textId="096F3795">
            <w:pPr>
              <w:jc w:val="both"/>
              <w:rPr>
                <w:rFonts w:ascii="Nunito Sans" w:hAnsi="Nunito Sans" w:cs="Calibri"/>
                <w:sz w:val="18"/>
                <w:szCs w:val="18"/>
              </w:rPr>
            </w:pPr>
            <w:r w:rsidRPr="00474E04">
              <w:rPr>
                <w:rFonts w:ascii="Nunito Sans" w:hAnsi="Nunito Sans" w:cs="Calibri"/>
                <w:sz w:val="18"/>
                <w:szCs w:val="18"/>
              </w:rPr>
              <w:t xml:space="preserve">Adecuar y actualizar la infraestructura de seguridad informática para salvaguardar la información y procesos críticos de la entidad. </w:t>
            </w:r>
          </w:p>
        </w:tc>
        <w:tc>
          <w:tcPr>
            <w:tcW w:w="3184" w:type="dxa"/>
            <w:shd w:val="clear" w:color="auto" w:fill="FFFFFF" w:themeFill="background1"/>
            <w:vAlign w:val="center"/>
            <w:hideMark/>
          </w:tcPr>
          <w:p w:rsidRPr="00474E04" w:rsidR="005E3BD6" w:rsidP="00773CC3" w:rsidRDefault="1F325162" w14:paraId="4D86E356"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492CBCBF"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1724D93C"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7BAE909C" w14:textId="0AB3F738">
            <w:pPr>
              <w:jc w:val="both"/>
              <w:rPr>
                <w:rFonts w:ascii="Nunito Sans" w:hAnsi="Nunito Sans" w:cs="Calibri"/>
                <w:sz w:val="18"/>
                <w:szCs w:val="18"/>
              </w:rPr>
            </w:pPr>
            <w:r w:rsidRPr="00474E04">
              <w:rPr>
                <w:rFonts w:ascii="Nunito Sans" w:hAnsi="Nunito Sans" w:cs="Calibri"/>
                <w:sz w:val="18"/>
                <w:szCs w:val="18"/>
              </w:rPr>
              <w:t xml:space="preserve">Renovar del ODA (Oracle Database Appliance). Modernizar el parque tecnológico.  </w:t>
            </w:r>
          </w:p>
        </w:tc>
        <w:tc>
          <w:tcPr>
            <w:tcW w:w="3184" w:type="dxa"/>
            <w:vMerge w:val="restart"/>
            <w:shd w:val="clear" w:color="auto" w:fill="FFFFFF" w:themeFill="background1"/>
            <w:vAlign w:val="center"/>
            <w:hideMark/>
          </w:tcPr>
          <w:p w:rsidRPr="00474E04" w:rsidR="005E3BD6" w:rsidP="00773CC3" w:rsidRDefault="1F325162" w14:paraId="72EEAB40" w14:textId="77777777">
            <w:pPr>
              <w:jc w:val="both"/>
              <w:rPr>
                <w:rFonts w:ascii="Nunito Sans" w:hAnsi="Nunito Sans" w:cs="Calibri"/>
                <w:sz w:val="18"/>
                <w:szCs w:val="18"/>
              </w:rPr>
            </w:pPr>
            <w:r w:rsidRPr="00474E04">
              <w:rPr>
                <w:rFonts w:ascii="Nunito Sans" w:hAnsi="Nunito Sans" w:cs="Calibri"/>
                <w:sz w:val="18"/>
                <w:szCs w:val="18"/>
                <w:lang w:val="es-ES"/>
              </w:rPr>
              <w:t>Infraestructura y servicios tecnológicos- Seguridad TI Datos e información</w:t>
            </w:r>
          </w:p>
        </w:tc>
      </w:tr>
      <w:tr w:rsidRPr="00B34900" w:rsidR="005E3BD6" w:rsidTr="00B92E02" w14:paraId="73D0EA99" w14:textId="77777777">
        <w:trPr>
          <w:trHeight w:val="26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451C706"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773CC3" w:rsidRDefault="1F325162" w14:paraId="604D10A3" w14:textId="351FD9A4">
            <w:pPr>
              <w:jc w:val="both"/>
              <w:rPr>
                <w:rFonts w:ascii="Nunito Sans" w:hAnsi="Nunito Sans" w:cs="Calibri"/>
                <w:sz w:val="18"/>
                <w:szCs w:val="18"/>
              </w:rPr>
            </w:pPr>
            <w:r w:rsidRPr="00474E04">
              <w:rPr>
                <w:rFonts w:ascii="Nunito Sans" w:hAnsi="Nunito Sans" w:cs="Calibri"/>
                <w:sz w:val="18"/>
                <w:szCs w:val="18"/>
              </w:rPr>
              <w:t xml:space="preserve">Levantamiento de requerimientos. </w:t>
            </w:r>
          </w:p>
        </w:tc>
        <w:tc>
          <w:tcPr>
            <w:tcW w:w="3184" w:type="dxa"/>
            <w:vMerge/>
            <w:vAlign w:val="center"/>
            <w:hideMark/>
          </w:tcPr>
          <w:p w:rsidRPr="00474E04" w:rsidR="005E3BD6" w:rsidP="00B4771C" w:rsidRDefault="005E3BD6" w14:paraId="078426CB" w14:textId="77777777">
            <w:pPr>
              <w:rPr>
                <w:rFonts w:ascii="Nunito Sans" w:hAnsi="Nunito Sans" w:cs="Calibri"/>
                <w:color w:val="000000"/>
                <w:sz w:val="18"/>
                <w:szCs w:val="18"/>
              </w:rPr>
            </w:pPr>
          </w:p>
        </w:tc>
      </w:tr>
      <w:tr w:rsidRPr="00B34900" w:rsidR="005E3BD6" w:rsidTr="00B92E02" w14:paraId="5F40E135"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0C4D9E8"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0AE86988" w14:textId="77777777">
            <w:pPr>
              <w:jc w:val="both"/>
              <w:rPr>
                <w:rFonts w:ascii="Nunito Sans" w:hAnsi="Nunito Sans" w:cs="Calibri"/>
                <w:sz w:val="18"/>
                <w:szCs w:val="18"/>
              </w:rPr>
            </w:pPr>
            <w:r w:rsidRPr="00474E04">
              <w:rPr>
                <w:rFonts w:ascii="Nunito Sans" w:hAnsi="Nunito Sans" w:cs="Calibri"/>
                <w:sz w:val="18"/>
                <w:szCs w:val="18"/>
              </w:rPr>
              <w:t>Protección de información científica geológica y continuidad del laboratorio digital.</w:t>
            </w:r>
          </w:p>
        </w:tc>
        <w:tc>
          <w:tcPr>
            <w:tcW w:w="3184" w:type="dxa"/>
            <w:shd w:val="clear" w:color="auto" w:fill="FFFFFF" w:themeFill="background1"/>
            <w:vAlign w:val="center"/>
            <w:hideMark/>
          </w:tcPr>
          <w:p w:rsidRPr="00474E04" w:rsidR="005E3BD6" w:rsidP="004818A1" w:rsidRDefault="1F325162" w14:paraId="11254E7E"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12CA6281" w14:textId="77777777">
        <w:trPr>
          <w:trHeight w:val="520"/>
          <w:jc w:val="center"/>
        </w:trPr>
        <w:tc>
          <w:tcPr>
            <w:tcW w:w="1065" w:type="dxa"/>
            <w:vMerge w:val="restart"/>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4E60D266" w:rsidRDefault="1F325162" w14:paraId="570C9940"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lang w:val="es-ES"/>
              </w:rPr>
              <w:t xml:space="preserve"> CREG</w:t>
            </w: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196014C7" w14:textId="212687DA">
            <w:pPr>
              <w:jc w:val="both"/>
              <w:rPr>
                <w:rFonts w:ascii="Nunito Sans" w:hAnsi="Nunito Sans" w:cs="Calibri"/>
                <w:sz w:val="18"/>
                <w:szCs w:val="18"/>
              </w:rPr>
            </w:pPr>
            <w:r w:rsidRPr="00474E04">
              <w:rPr>
                <w:rFonts w:ascii="Nunito Sans" w:hAnsi="Nunito Sans" w:cs="Calibri"/>
                <w:sz w:val="18"/>
                <w:szCs w:val="18"/>
              </w:rPr>
              <w:t xml:space="preserve">Renovación tecnológica de infraestructura de seguridad y redes. </w:t>
            </w:r>
          </w:p>
        </w:tc>
        <w:tc>
          <w:tcPr>
            <w:tcW w:w="3184" w:type="dxa"/>
            <w:vMerge w:val="restart"/>
            <w:shd w:val="clear" w:color="auto" w:fill="FFFFFF" w:themeFill="background1"/>
            <w:vAlign w:val="center"/>
            <w:hideMark/>
          </w:tcPr>
          <w:p w:rsidRPr="00474E04" w:rsidR="005E3BD6" w:rsidP="004818A1" w:rsidRDefault="1F325162" w14:paraId="1609D8AF" w14:textId="77777777">
            <w:pPr>
              <w:jc w:val="both"/>
              <w:rPr>
                <w:rFonts w:ascii="Nunito Sans" w:hAnsi="Nunito Sans" w:cs="Calibri"/>
                <w:sz w:val="18"/>
                <w:szCs w:val="18"/>
              </w:rPr>
            </w:pPr>
            <w:r w:rsidRPr="00474E04">
              <w:rPr>
                <w:rFonts w:ascii="Nunito Sans" w:hAnsi="Nunito Sans" w:cs="Calibri"/>
                <w:sz w:val="18"/>
                <w:szCs w:val="18"/>
                <w:lang w:val="es-ES"/>
              </w:rPr>
              <w:t xml:space="preserve">Infraestructura y servicios tecnológicos- Seguridad TI </w:t>
            </w:r>
          </w:p>
        </w:tc>
      </w:tr>
      <w:tr w:rsidRPr="00B34900" w:rsidR="005E3BD6" w:rsidTr="00B92E02" w14:paraId="64FF4EA2"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7931B9CA"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03B16CCD" w14:textId="5E3679C7">
            <w:pPr>
              <w:jc w:val="both"/>
              <w:rPr>
                <w:rFonts w:ascii="Nunito Sans" w:hAnsi="Nunito Sans" w:cs="Calibri"/>
                <w:sz w:val="18"/>
                <w:szCs w:val="18"/>
              </w:rPr>
            </w:pPr>
            <w:r w:rsidRPr="00474E04">
              <w:rPr>
                <w:rFonts w:ascii="Nunito Sans" w:hAnsi="Nunito Sans" w:cs="Calibri"/>
                <w:sz w:val="18"/>
                <w:szCs w:val="18"/>
              </w:rPr>
              <w:t xml:space="preserve">Diseño de arquitectura de referencia para la gestión de dato. </w:t>
            </w:r>
          </w:p>
        </w:tc>
        <w:tc>
          <w:tcPr>
            <w:tcW w:w="3184" w:type="dxa"/>
            <w:vMerge/>
            <w:vAlign w:val="center"/>
            <w:hideMark/>
          </w:tcPr>
          <w:p w:rsidRPr="00474E04" w:rsidR="005E3BD6" w:rsidP="004818A1" w:rsidRDefault="005E3BD6" w14:paraId="48A7B609" w14:textId="77777777">
            <w:pPr>
              <w:jc w:val="both"/>
              <w:rPr>
                <w:rFonts w:ascii="Nunito Sans" w:hAnsi="Nunito Sans" w:cs="Calibri"/>
                <w:color w:val="000000"/>
                <w:sz w:val="18"/>
                <w:szCs w:val="18"/>
              </w:rPr>
            </w:pPr>
          </w:p>
        </w:tc>
      </w:tr>
      <w:tr w:rsidRPr="00B34900" w:rsidR="005E3BD6" w:rsidTr="00B92E02" w14:paraId="452C0775"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178951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79FD4177" w14:textId="6AEAC159">
            <w:pPr>
              <w:jc w:val="both"/>
              <w:rPr>
                <w:rFonts w:ascii="Nunito Sans" w:hAnsi="Nunito Sans" w:cs="Calibri"/>
                <w:sz w:val="18"/>
                <w:szCs w:val="18"/>
              </w:rPr>
            </w:pPr>
            <w:r w:rsidRPr="00474E04">
              <w:rPr>
                <w:rFonts w:ascii="Nunito Sans" w:hAnsi="Nunito Sans" w:cs="Calibri"/>
                <w:sz w:val="18"/>
                <w:szCs w:val="18"/>
              </w:rPr>
              <w:t xml:space="preserve">Diseño e Implementación del Marco de Gobierno de TI en la CREG.  </w:t>
            </w:r>
          </w:p>
        </w:tc>
        <w:tc>
          <w:tcPr>
            <w:tcW w:w="3184" w:type="dxa"/>
            <w:shd w:val="clear" w:color="auto" w:fill="FFFFFF" w:themeFill="background1"/>
            <w:vAlign w:val="center"/>
            <w:hideMark/>
          </w:tcPr>
          <w:p w:rsidRPr="00474E04" w:rsidR="005E3BD6" w:rsidP="004818A1" w:rsidRDefault="1F325162" w14:paraId="03C55A76" w14:textId="77777777">
            <w:pPr>
              <w:jc w:val="both"/>
              <w:rPr>
                <w:rFonts w:ascii="Nunito Sans" w:hAnsi="Nunito Sans" w:cs="Calibri"/>
                <w:sz w:val="18"/>
                <w:szCs w:val="18"/>
              </w:rPr>
            </w:pPr>
            <w:r w:rsidRPr="00474E04">
              <w:rPr>
                <w:rFonts w:ascii="Nunito Sans" w:hAnsi="Nunito Sans" w:cs="Calibri"/>
                <w:sz w:val="18"/>
                <w:szCs w:val="18"/>
                <w:lang w:val="es-ES"/>
              </w:rPr>
              <w:t xml:space="preserve">Arquitectura institucional </w:t>
            </w:r>
          </w:p>
        </w:tc>
      </w:tr>
      <w:tr w:rsidRPr="00B34900" w:rsidR="005E3BD6" w:rsidTr="00B92E02" w14:paraId="586F9F13"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526DBE2"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7ECE58C5" w14:textId="4B086F6A">
            <w:pPr>
              <w:jc w:val="both"/>
              <w:rPr>
                <w:rFonts w:ascii="Nunito Sans" w:hAnsi="Nunito Sans" w:cs="Calibri"/>
                <w:sz w:val="18"/>
                <w:szCs w:val="18"/>
              </w:rPr>
            </w:pPr>
            <w:r w:rsidRPr="00474E04">
              <w:rPr>
                <w:rFonts w:ascii="Nunito Sans" w:hAnsi="Nunito Sans" w:cs="Calibri"/>
                <w:sz w:val="18"/>
                <w:szCs w:val="18"/>
              </w:rPr>
              <w:t xml:space="preserve">Diseño e implementación del Sistema de gestión de planes y proyecto. </w:t>
            </w:r>
          </w:p>
        </w:tc>
        <w:tc>
          <w:tcPr>
            <w:tcW w:w="3184" w:type="dxa"/>
            <w:shd w:val="clear" w:color="auto" w:fill="FFFFFF" w:themeFill="background1"/>
            <w:vAlign w:val="center"/>
            <w:hideMark/>
          </w:tcPr>
          <w:p w:rsidRPr="00474E04" w:rsidR="005E3BD6" w:rsidP="004818A1" w:rsidRDefault="1F325162" w14:paraId="4D307E71"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7C1B6A8A"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D367691"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3D6F6A46" w14:textId="1DA7078F">
            <w:pPr>
              <w:jc w:val="both"/>
              <w:rPr>
                <w:rFonts w:ascii="Nunito Sans" w:hAnsi="Nunito Sans" w:cs="Calibri"/>
                <w:sz w:val="18"/>
                <w:szCs w:val="18"/>
              </w:rPr>
            </w:pPr>
            <w:r w:rsidRPr="00474E04">
              <w:rPr>
                <w:rFonts w:ascii="Nunito Sans" w:hAnsi="Nunito Sans" w:cs="Calibri"/>
                <w:sz w:val="18"/>
                <w:szCs w:val="18"/>
              </w:rPr>
              <w:t xml:space="preserve">Actualización Gobierno de Datos. </w:t>
            </w:r>
          </w:p>
        </w:tc>
        <w:tc>
          <w:tcPr>
            <w:tcW w:w="3184" w:type="dxa"/>
            <w:shd w:val="clear" w:color="auto" w:fill="FFFFFF" w:themeFill="background1"/>
            <w:vAlign w:val="center"/>
            <w:hideMark/>
          </w:tcPr>
          <w:p w:rsidRPr="00474E04" w:rsidR="005E3BD6" w:rsidP="004818A1" w:rsidRDefault="1F325162" w14:paraId="764CD1D9"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Gobernanza de datos. </w:t>
            </w:r>
          </w:p>
        </w:tc>
      </w:tr>
      <w:tr w:rsidRPr="00B34900" w:rsidR="005E3BD6" w:rsidTr="00B92E02" w14:paraId="75FCA03D"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2D321F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38CA3DD2" w14:textId="2BD9A875">
            <w:pPr>
              <w:jc w:val="both"/>
              <w:rPr>
                <w:rFonts w:ascii="Nunito Sans" w:hAnsi="Nunito Sans" w:cs="Calibri"/>
                <w:sz w:val="18"/>
                <w:szCs w:val="18"/>
              </w:rPr>
            </w:pPr>
            <w:r w:rsidRPr="00474E04">
              <w:rPr>
                <w:rFonts w:ascii="Nunito Sans" w:hAnsi="Nunito Sans" w:cs="Calibri"/>
                <w:sz w:val="18"/>
                <w:szCs w:val="18"/>
              </w:rPr>
              <w:t xml:space="preserve">Omnicanalidad. </w:t>
            </w:r>
          </w:p>
        </w:tc>
        <w:tc>
          <w:tcPr>
            <w:tcW w:w="3184" w:type="dxa"/>
            <w:shd w:val="clear" w:color="auto" w:fill="FFFFFF" w:themeFill="background1"/>
            <w:vAlign w:val="center"/>
            <w:hideMark/>
          </w:tcPr>
          <w:p w:rsidRPr="00474E04" w:rsidR="005E3BD6" w:rsidP="004818A1" w:rsidRDefault="1F325162" w14:paraId="41B27343" w14:textId="77777777">
            <w:pPr>
              <w:jc w:val="both"/>
              <w:rPr>
                <w:rFonts w:ascii="Nunito Sans" w:hAnsi="Nunito Sans" w:cs="Calibri"/>
                <w:sz w:val="18"/>
                <w:szCs w:val="18"/>
              </w:rPr>
            </w:pPr>
            <w:r w:rsidRPr="00474E04">
              <w:rPr>
                <w:rFonts w:ascii="Nunito Sans" w:hAnsi="Nunito Sans" w:cs="Calibri"/>
                <w:sz w:val="18"/>
                <w:szCs w:val="18"/>
              </w:rPr>
              <w:t>T.D. - Tecnologías emergentes - Datos e información - Interoperabilidad</w:t>
            </w:r>
          </w:p>
        </w:tc>
      </w:tr>
      <w:tr w:rsidRPr="00B34900" w:rsidR="005E3BD6" w:rsidTr="00B92E02" w14:paraId="21839D41"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779C284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3CC185F4" w14:textId="58204A1F">
            <w:pPr>
              <w:jc w:val="both"/>
              <w:rPr>
                <w:rFonts w:ascii="Nunito Sans" w:hAnsi="Nunito Sans" w:cs="Calibri"/>
                <w:sz w:val="18"/>
                <w:szCs w:val="18"/>
              </w:rPr>
            </w:pPr>
            <w:r w:rsidRPr="00474E04">
              <w:rPr>
                <w:rFonts w:ascii="Nunito Sans" w:hAnsi="Nunito Sans" w:cs="Calibri"/>
                <w:sz w:val="18"/>
                <w:szCs w:val="18"/>
              </w:rPr>
              <w:t xml:space="preserve">Evaluación, selección y adquisición de un sistema de gestión de contenido empresarial. </w:t>
            </w:r>
          </w:p>
        </w:tc>
        <w:tc>
          <w:tcPr>
            <w:tcW w:w="3184" w:type="dxa"/>
            <w:shd w:val="clear" w:color="auto" w:fill="FFFFFF" w:themeFill="background1"/>
            <w:vAlign w:val="center"/>
            <w:hideMark/>
          </w:tcPr>
          <w:p w:rsidRPr="00474E04" w:rsidR="005E3BD6" w:rsidP="004818A1" w:rsidRDefault="1F325162" w14:paraId="673CC5F8" w14:textId="77777777">
            <w:pPr>
              <w:jc w:val="both"/>
              <w:rPr>
                <w:rFonts w:ascii="Nunito Sans" w:hAnsi="Nunito Sans" w:cs="Calibri"/>
                <w:sz w:val="18"/>
                <w:szCs w:val="18"/>
              </w:rPr>
            </w:pPr>
            <w:r w:rsidRPr="00474E04">
              <w:rPr>
                <w:rFonts w:ascii="Nunito Sans" w:hAnsi="Nunito Sans" w:cs="Calibri"/>
                <w:sz w:val="18"/>
                <w:szCs w:val="18"/>
                <w:lang w:val="es-ES"/>
              </w:rPr>
              <w:t>Sistemas de información</w:t>
            </w:r>
          </w:p>
        </w:tc>
      </w:tr>
      <w:tr w:rsidRPr="00B34900" w:rsidR="005E3BD6" w:rsidTr="00B92E02" w14:paraId="4ACA70C7"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1347824"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64F1D963" w14:textId="69C87B40">
            <w:pPr>
              <w:jc w:val="both"/>
              <w:rPr>
                <w:rFonts w:ascii="Nunito Sans" w:hAnsi="Nunito Sans" w:cs="Calibri"/>
                <w:sz w:val="18"/>
                <w:szCs w:val="18"/>
              </w:rPr>
            </w:pPr>
            <w:r w:rsidRPr="00474E04">
              <w:rPr>
                <w:rFonts w:ascii="Nunito Sans" w:hAnsi="Nunito Sans" w:cs="Calibri"/>
                <w:sz w:val="18"/>
                <w:szCs w:val="18"/>
              </w:rPr>
              <w:t xml:space="preserve">Adquisición e implementación de herramientas de seguridad de datos. </w:t>
            </w:r>
          </w:p>
        </w:tc>
        <w:tc>
          <w:tcPr>
            <w:tcW w:w="3184" w:type="dxa"/>
            <w:shd w:val="clear" w:color="auto" w:fill="FFFFFF" w:themeFill="background1"/>
            <w:vAlign w:val="center"/>
            <w:hideMark/>
          </w:tcPr>
          <w:p w:rsidRPr="00474E04" w:rsidR="005E3BD6" w:rsidP="004818A1" w:rsidRDefault="1F325162" w14:paraId="2D2DA2C7"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4FD3BA4B"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3555CE1"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0CD914BC" w14:textId="4B2D26FB">
            <w:pPr>
              <w:jc w:val="both"/>
              <w:rPr>
                <w:rFonts w:ascii="Nunito Sans" w:hAnsi="Nunito Sans" w:cs="Calibri"/>
                <w:sz w:val="18"/>
                <w:szCs w:val="18"/>
              </w:rPr>
            </w:pPr>
            <w:r w:rsidRPr="00474E04">
              <w:rPr>
                <w:rFonts w:ascii="Nunito Sans" w:hAnsi="Nunito Sans" w:cs="Calibri"/>
                <w:sz w:val="18"/>
                <w:szCs w:val="18"/>
              </w:rPr>
              <w:t xml:space="preserve">Diseño e implementación del Sistema Integrado de Información.   </w:t>
            </w:r>
          </w:p>
        </w:tc>
        <w:tc>
          <w:tcPr>
            <w:tcW w:w="3184" w:type="dxa"/>
            <w:shd w:val="clear" w:color="auto" w:fill="FFFFFF" w:themeFill="background1"/>
            <w:vAlign w:val="center"/>
            <w:hideMark/>
          </w:tcPr>
          <w:p w:rsidRPr="00474E04" w:rsidR="005E3BD6" w:rsidP="004818A1" w:rsidRDefault="1F325162" w14:paraId="7EFD2079" w14:textId="77777777">
            <w:pPr>
              <w:jc w:val="both"/>
              <w:rPr>
                <w:rFonts w:ascii="Nunito Sans" w:hAnsi="Nunito Sans" w:cs="Calibri"/>
                <w:sz w:val="18"/>
                <w:szCs w:val="18"/>
              </w:rPr>
            </w:pPr>
            <w:r w:rsidRPr="00474E04">
              <w:rPr>
                <w:rFonts w:ascii="Nunito Sans" w:hAnsi="Nunito Sans" w:cs="Calibri"/>
                <w:sz w:val="18"/>
                <w:szCs w:val="18"/>
              </w:rPr>
              <w:t>Sistemas de información. Interoperabilidad</w:t>
            </w:r>
          </w:p>
        </w:tc>
      </w:tr>
      <w:tr w:rsidRPr="00B34900" w:rsidR="005E3BD6" w:rsidTr="00B92E02" w14:paraId="7F949BD4"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89E9E4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482B9549" w14:textId="1E3D5822">
            <w:pPr>
              <w:jc w:val="both"/>
              <w:rPr>
                <w:rFonts w:ascii="Nunito Sans" w:hAnsi="Nunito Sans" w:cs="Calibri"/>
                <w:sz w:val="18"/>
                <w:szCs w:val="18"/>
              </w:rPr>
            </w:pPr>
            <w:r w:rsidRPr="00474E04">
              <w:rPr>
                <w:rFonts w:ascii="Nunito Sans" w:hAnsi="Nunito Sans" w:cs="Calibri"/>
                <w:sz w:val="18"/>
                <w:szCs w:val="18"/>
              </w:rPr>
              <w:t xml:space="preserve">Contratación del Centro de Operaciones de Seguridad (SOC).  </w:t>
            </w:r>
          </w:p>
        </w:tc>
        <w:tc>
          <w:tcPr>
            <w:tcW w:w="3184" w:type="dxa"/>
            <w:shd w:val="clear" w:color="auto" w:fill="FFFFFF" w:themeFill="background1"/>
            <w:vAlign w:val="center"/>
            <w:hideMark/>
          </w:tcPr>
          <w:p w:rsidRPr="00474E04" w:rsidR="005E3BD6" w:rsidP="004818A1" w:rsidRDefault="1F325162" w14:paraId="4B0AFCE4"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4B97122D"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32B0E87"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25D903EC" w14:textId="326AC7E0">
            <w:pPr>
              <w:jc w:val="both"/>
              <w:rPr>
                <w:rFonts w:ascii="Nunito Sans" w:hAnsi="Nunito Sans" w:cs="Calibri"/>
                <w:sz w:val="18"/>
                <w:szCs w:val="18"/>
              </w:rPr>
            </w:pPr>
            <w:r w:rsidRPr="00474E04">
              <w:rPr>
                <w:rFonts w:ascii="Nunito Sans" w:hAnsi="Nunito Sans" w:cs="Calibri"/>
                <w:sz w:val="18"/>
                <w:szCs w:val="18"/>
              </w:rPr>
              <w:t xml:space="preserve">Implementación de interoperabilidad para el intercambio de datos (dos Etapas). </w:t>
            </w:r>
          </w:p>
        </w:tc>
        <w:tc>
          <w:tcPr>
            <w:tcW w:w="3184" w:type="dxa"/>
            <w:shd w:val="clear" w:color="auto" w:fill="FFFFFF" w:themeFill="background1"/>
            <w:vAlign w:val="center"/>
            <w:hideMark/>
          </w:tcPr>
          <w:p w:rsidRPr="00474E04" w:rsidR="005E3BD6" w:rsidP="004818A1" w:rsidRDefault="1F325162" w14:paraId="11783507" w14:textId="77777777">
            <w:pPr>
              <w:jc w:val="both"/>
              <w:rPr>
                <w:rFonts w:ascii="Nunito Sans" w:hAnsi="Nunito Sans" w:cs="Calibri"/>
                <w:sz w:val="18"/>
                <w:szCs w:val="18"/>
              </w:rPr>
            </w:pPr>
            <w:r w:rsidRPr="00474E04">
              <w:rPr>
                <w:rFonts w:ascii="Nunito Sans" w:hAnsi="Nunito Sans" w:cs="Calibri"/>
                <w:sz w:val="18"/>
                <w:szCs w:val="18"/>
              </w:rPr>
              <w:t>Sistemas de información. Interoperabilidad Datos e información</w:t>
            </w:r>
          </w:p>
        </w:tc>
      </w:tr>
      <w:tr w:rsidRPr="00B34900" w:rsidR="005E3BD6" w:rsidTr="00B92E02" w14:paraId="210B8E06" w14:textId="77777777">
        <w:trPr>
          <w:trHeight w:val="78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7DA130DF"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2BDCC3C3" w14:textId="4582A6B4">
            <w:pPr>
              <w:jc w:val="both"/>
              <w:rPr>
                <w:rFonts w:ascii="Nunito Sans" w:hAnsi="Nunito Sans" w:cs="Calibri"/>
                <w:sz w:val="18"/>
                <w:szCs w:val="18"/>
              </w:rPr>
            </w:pPr>
            <w:r w:rsidRPr="00474E04">
              <w:rPr>
                <w:rFonts w:ascii="Nunito Sans" w:hAnsi="Nunito Sans" w:cs="Calibri"/>
                <w:sz w:val="18"/>
                <w:szCs w:val="18"/>
              </w:rPr>
              <w:t xml:space="preserve">Adquisición e implementación de la plataforma de integración.  </w:t>
            </w:r>
          </w:p>
        </w:tc>
        <w:tc>
          <w:tcPr>
            <w:tcW w:w="3184" w:type="dxa"/>
            <w:shd w:val="clear" w:color="auto" w:fill="FFFFFF" w:themeFill="background1"/>
            <w:vAlign w:val="center"/>
            <w:hideMark/>
          </w:tcPr>
          <w:p w:rsidRPr="00474E04" w:rsidR="005E3BD6" w:rsidP="004818A1" w:rsidRDefault="1F325162" w14:paraId="4F4EE748" w14:textId="77777777">
            <w:pPr>
              <w:jc w:val="both"/>
              <w:rPr>
                <w:rFonts w:ascii="Nunito Sans" w:hAnsi="Nunito Sans" w:cs="Calibri"/>
                <w:sz w:val="18"/>
                <w:szCs w:val="18"/>
              </w:rPr>
            </w:pPr>
            <w:r w:rsidRPr="00474E04">
              <w:rPr>
                <w:rFonts w:ascii="Nunito Sans" w:hAnsi="Nunito Sans" w:cs="Calibri"/>
                <w:sz w:val="18"/>
                <w:szCs w:val="18"/>
              </w:rPr>
              <w:t>Sistemas de información. Interoperabilidad Datos e información</w:t>
            </w:r>
          </w:p>
        </w:tc>
      </w:tr>
      <w:tr w:rsidRPr="00B34900" w:rsidR="005E3BD6" w:rsidTr="00B92E02" w14:paraId="3281B616"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3543FF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6227B582" w14:textId="4042286C">
            <w:pPr>
              <w:jc w:val="both"/>
              <w:rPr>
                <w:rFonts w:ascii="Nunito Sans" w:hAnsi="Nunito Sans" w:cs="Calibri"/>
                <w:sz w:val="18"/>
                <w:szCs w:val="18"/>
              </w:rPr>
            </w:pPr>
            <w:r w:rsidRPr="00474E04">
              <w:rPr>
                <w:rFonts w:ascii="Nunito Sans" w:hAnsi="Nunito Sans" w:cs="Calibri"/>
                <w:sz w:val="18"/>
                <w:szCs w:val="18"/>
              </w:rPr>
              <w:t xml:space="preserve">Implementación de repositorio de datos maestros y de referencia. </w:t>
            </w:r>
          </w:p>
        </w:tc>
        <w:tc>
          <w:tcPr>
            <w:tcW w:w="3184" w:type="dxa"/>
            <w:shd w:val="clear" w:color="auto" w:fill="FFFFFF" w:themeFill="background1"/>
            <w:vAlign w:val="center"/>
            <w:hideMark/>
          </w:tcPr>
          <w:p w:rsidRPr="00474E04" w:rsidR="005E3BD6" w:rsidP="004818A1" w:rsidRDefault="1F325162" w14:paraId="286B2BF2"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Gobernanza de datos. </w:t>
            </w:r>
          </w:p>
        </w:tc>
      </w:tr>
      <w:tr w:rsidRPr="00B34900" w:rsidR="005E3BD6" w:rsidTr="00B92E02" w14:paraId="51E62F6C"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3533354C"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08906D25" w14:textId="451599B1">
            <w:pPr>
              <w:jc w:val="both"/>
              <w:rPr>
                <w:rFonts w:ascii="Nunito Sans" w:hAnsi="Nunito Sans" w:cs="Calibri"/>
                <w:sz w:val="18"/>
                <w:szCs w:val="18"/>
              </w:rPr>
            </w:pPr>
            <w:r w:rsidRPr="00474E04">
              <w:rPr>
                <w:rFonts w:ascii="Nunito Sans" w:hAnsi="Nunito Sans" w:cs="Calibri"/>
                <w:sz w:val="18"/>
                <w:szCs w:val="18"/>
              </w:rPr>
              <w:t xml:space="preserve">Diseño e implementación de programa de calidad de datos  </w:t>
            </w:r>
          </w:p>
        </w:tc>
        <w:tc>
          <w:tcPr>
            <w:tcW w:w="3184" w:type="dxa"/>
            <w:shd w:val="clear" w:color="auto" w:fill="FFFFFF" w:themeFill="background1"/>
            <w:vAlign w:val="center"/>
            <w:hideMark/>
          </w:tcPr>
          <w:p w:rsidRPr="00474E04" w:rsidR="005E3BD6" w:rsidP="004818A1" w:rsidRDefault="1F325162" w14:paraId="27B7D153"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Gobernanza de datos. </w:t>
            </w:r>
          </w:p>
        </w:tc>
      </w:tr>
      <w:tr w:rsidRPr="00B34900" w:rsidR="005E3BD6" w:rsidTr="00B92E02" w14:paraId="2EB26DCC"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6B62D03"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15E97959" w14:textId="68B5E8B3">
            <w:pPr>
              <w:jc w:val="both"/>
              <w:rPr>
                <w:rFonts w:ascii="Nunito Sans" w:hAnsi="Nunito Sans" w:cs="Calibri"/>
                <w:sz w:val="18"/>
                <w:szCs w:val="18"/>
              </w:rPr>
            </w:pPr>
            <w:r w:rsidRPr="00474E04">
              <w:rPr>
                <w:rFonts w:ascii="Nunito Sans" w:hAnsi="Nunito Sans" w:cs="Calibri"/>
                <w:sz w:val="18"/>
                <w:szCs w:val="18"/>
              </w:rPr>
              <w:t>Diseño e implementación CoE de BI y Analítica.</w:t>
            </w:r>
          </w:p>
        </w:tc>
        <w:tc>
          <w:tcPr>
            <w:tcW w:w="3184" w:type="dxa"/>
            <w:shd w:val="clear" w:color="auto" w:fill="FFFFFF" w:themeFill="background1"/>
            <w:vAlign w:val="center"/>
            <w:hideMark/>
          </w:tcPr>
          <w:p w:rsidRPr="00474E04" w:rsidR="005E3BD6" w:rsidP="004818A1" w:rsidRDefault="1F325162" w14:paraId="38E11A15" w14:textId="77777777">
            <w:pPr>
              <w:jc w:val="both"/>
              <w:rPr>
                <w:rFonts w:ascii="Nunito Sans" w:hAnsi="Nunito Sans" w:cs="Calibri"/>
                <w:sz w:val="18"/>
                <w:szCs w:val="18"/>
              </w:rPr>
            </w:pPr>
            <w:r w:rsidRPr="00474E04">
              <w:rPr>
                <w:rFonts w:ascii="Nunito Sans" w:hAnsi="Nunito Sans" w:cs="Calibri"/>
                <w:sz w:val="18"/>
                <w:szCs w:val="18"/>
                <w:lang w:val="es-ES"/>
              </w:rPr>
              <w:t xml:space="preserve">Datos e información:  Analítica de datos. </w:t>
            </w:r>
          </w:p>
        </w:tc>
      </w:tr>
      <w:tr w:rsidRPr="00B34900" w:rsidR="005E3BD6" w:rsidTr="00B92E02" w14:paraId="71E10095"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0E2B009B"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22C2F774" w14:textId="25AD0D38">
            <w:pPr>
              <w:jc w:val="both"/>
              <w:rPr>
                <w:rFonts w:ascii="Nunito Sans" w:hAnsi="Nunito Sans" w:cs="Calibri"/>
                <w:sz w:val="18"/>
                <w:szCs w:val="18"/>
              </w:rPr>
            </w:pPr>
            <w:r w:rsidRPr="00474E04">
              <w:rPr>
                <w:rFonts w:ascii="Nunito Sans" w:hAnsi="Nunito Sans" w:cs="Calibri"/>
                <w:sz w:val="18"/>
                <w:szCs w:val="18"/>
              </w:rPr>
              <w:t xml:space="preserve">Adquisición y puesta en funcionamiento de una plataforma de hiperconvergencia.  </w:t>
            </w:r>
          </w:p>
        </w:tc>
        <w:tc>
          <w:tcPr>
            <w:tcW w:w="3184" w:type="dxa"/>
            <w:vMerge w:val="restart"/>
            <w:shd w:val="clear" w:color="auto" w:fill="FFFFFF" w:themeFill="background1"/>
            <w:vAlign w:val="center"/>
            <w:hideMark/>
          </w:tcPr>
          <w:p w:rsidRPr="00474E04" w:rsidR="005E3BD6" w:rsidP="004818A1" w:rsidRDefault="1F325162" w14:paraId="2C9BD903" w14:textId="77777777">
            <w:pPr>
              <w:jc w:val="both"/>
              <w:rPr>
                <w:rFonts w:ascii="Nunito Sans" w:hAnsi="Nunito Sans" w:cs="Calibri"/>
                <w:sz w:val="18"/>
                <w:szCs w:val="18"/>
              </w:rPr>
            </w:pPr>
            <w:r w:rsidRPr="00474E04">
              <w:rPr>
                <w:rFonts w:ascii="Nunito Sans" w:hAnsi="Nunito Sans" w:cs="Calibri"/>
                <w:sz w:val="18"/>
                <w:szCs w:val="18"/>
                <w:lang w:val="es-ES"/>
              </w:rPr>
              <w:t xml:space="preserve">Infraestructura y servicios tecnológicos- Seguridad </w:t>
            </w:r>
          </w:p>
        </w:tc>
      </w:tr>
      <w:tr w:rsidRPr="00B34900" w:rsidR="005E3BD6" w:rsidTr="00B92E02" w14:paraId="1B37CEB1"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FE052AE"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3BD0D579" w14:textId="77777777">
            <w:pPr>
              <w:jc w:val="both"/>
              <w:rPr>
                <w:rFonts w:ascii="Nunito Sans" w:hAnsi="Nunito Sans" w:cs="Calibri"/>
                <w:sz w:val="18"/>
                <w:szCs w:val="18"/>
              </w:rPr>
            </w:pPr>
            <w:r w:rsidRPr="00474E04">
              <w:rPr>
                <w:rFonts w:ascii="Nunito Sans" w:hAnsi="Nunito Sans" w:cs="Calibri"/>
                <w:sz w:val="18"/>
                <w:szCs w:val="18"/>
              </w:rPr>
              <w:t>Fortalecimiento de seguridad de información regulatoria y modelos de publicación segura.</w:t>
            </w:r>
          </w:p>
        </w:tc>
        <w:tc>
          <w:tcPr>
            <w:tcW w:w="3184" w:type="dxa"/>
            <w:vMerge/>
            <w:vAlign w:val="center"/>
            <w:hideMark/>
          </w:tcPr>
          <w:p w:rsidRPr="00474E04" w:rsidR="005E3BD6" w:rsidP="004818A1" w:rsidRDefault="005E3BD6" w14:paraId="559A4AE3" w14:textId="77777777">
            <w:pPr>
              <w:jc w:val="both"/>
              <w:rPr>
                <w:rFonts w:ascii="Nunito Sans" w:hAnsi="Nunito Sans" w:cs="Calibri"/>
                <w:color w:val="000000"/>
                <w:sz w:val="18"/>
                <w:szCs w:val="18"/>
              </w:rPr>
            </w:pPr>
          </w:p>
        </w:tc>
      </w:tr>
      <w:tr w:rsidRPr="00B34900" w:rsidR="005E3BD6" w:rsidTr="00B92E02" w14:paraId="4099373A"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4701292D"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12958B20" w14:textId="7AE0F049">
            <w:pPr>
              <w:jc w:val="both"/>
              <w:rPr>
                <w:rFonts w:ascii="Nunito Sans" w:hAnsi="Nunito Sans" w:cs="Calibri"/>
                <w:sz w:val="18"/>
                <w:szCs w:val="18"/>
              </w:rPr>
            </w:pPr>
            <w:r w:rsidRPr="00474E04">
              <w:rPr>
                <w:rFonts w:ascii="Nunito Sans" w:hAnsi="Nunito Sans" w:cs="Calibri"/>
                <w:sz w:val="18"/>
                <w:szCs w:val="18"/>
              </w:rPr>
              <w:t xml:space="preserve">Diseñar e implementar una solución de gestión de accesos e identidades.  </w:t>
            </w:r>
          </w:p>
        </w:tc>
        <w:tc>
          <w:tcPr>
            <w:tcW w:w="3184" w:type="dxa"/>
            <w:shd w:val="clear" w:color="auto" w:fill="FFFFFF" w:themeFill="background1"/>
            <w:vAlign w:val="center"/>
            <w:hideMark/>
          </w:tcPr>
          <w:p w:rsidRPr="00474E04" w:rsidR="005E3BD6" w:rsidP="004818A1" w:rsidRDefault="1F325162" w14:paraId="0E07140F"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2926DEAA" w14:textId="77777777">
        <w:trPr>
          <w:trHeight w:val="520"/>
          <w:jc w:val="center"/>
        </w:trPr>
        <w:tc>
          <w:tcPr>
            <w:tcW w:w="1065" w:type="dxa"/>
            <w:vMerge/>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B4771C" w:rsidRDefault="005E3BD6" w14:paraId="50E87340" w14:textId="77777777">
            <w:pPr>
              <w:rPr>
                <w:rFonts w:ascii="Nunito Sans" w:hAnsi="Nunito Sans" w:cs="Calibri"/>
                <w:b/>
                <w:bCs/>
                <w:color w:val="FFFFFF" w:themeColor="background1"/>
                <w:sz w:val="18"/>
                <w:szCs w:val="18"/>
              </w:rPr>
            </w:pP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009A4D86" w14:textId="226F23A5">
            <w:pPr>
              <w:jc w:val="both"/>
              <w:rPr>
                <w:rFonts w:ascii="Nunito Sans" w:hAnsi="Nunito Sans" w:cs="Calibri"/>
                <w:sz w:val="18"/>
                <w:szCs w:val="18"/>
              </w:rPr>
            </w:pPr>
            <w:r w:rsidRPr="00474E04">
              <w:rPr>
                <w:rFonts w:ascii="Nunito Sans" w:hAnsi="Nunito Sans" w:cs="Calibri"/>
                <w:sz w:val="18"/>
                <w:szCs w:val="18"/>
              </w:rPr>
              <w:t xml:space="preserve">Diseño e implementación arquitectura de seguridad basado en el modelo. Zero Trust.  </w:t>
            </w:r>
          </w:p>
        </w:tc>
        <w:tc>
          <w:tcPr>
            <w:tcW w:w="3184" w:type="dxa"/>
            <w:shd w:val="clear" w:color="auto" w:fill="FFFFFF" w:themeFill="background1"/>
            <w:vAlign w:val="center"/>
            <w:hideMark/>
          </w:tcPr>
          <w:p w:rsidRPr="00474E04" w:rsidR="005E3BD6" w:rsidP="004818A1" w:rsidRDefault="1F325162" w14:paraId="3A9CB70A"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w:t>
            </w:r>
          </w:p>
        </w:tc>
      </w:tr>
      <w:tr w:rsidRPr="00B34900" w:rsidR="005E3BD6" w:rsidTr="00B92E02" w14:paraId="7A32CDB0" w14:textId="77777777">
        <w:trPr>
          <w:trHeight w:val="780"/>
          <w:jc w:val="center"/>
        </w:trPr>
        <w:tc>
          <w:tcPr>
            <w:tcW w:w="106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B92E02" w:rsidR="005E3BD6" w:rsidP="004818A1" w:rsidRDefault="1F325162" w14:paraId="5338F181" w14:textId="77777777">
            <w:pPr>
              <w:jc w:val="center"/>
              <w:rPr>
                <w:rFonts w:ascii="Nunito Sans" w:hAnsi="Nunito Sans" w:cs="Calibri"/>
                <w:b/>
                <w:bCs/>
                <w:color w:val="FFFFFF" w:themeColor="background1"/>
                <w:sz w:val="18"/>
                <w:szCs w:val="18"/>
              </w:rPr>
            </w:pPr>
            <w:r w:rsidRPr="00B92E02">
              <w:rPr>
                <w:rFonts w:ascii="Nunito Sans" w:hAnsi="Nunito Sans" w:cs="Calibri"/>
                <w:b/>
                <w:bCs/>
                <w:color w:val="FFFFFF" w:themeColor="background1"/>
                <w:sz w:val="18"/>
                <w:szCs w:val="18"/>
              </w:rPr>
              <w:t>FENOGE</w:t>
            </w:r>
          </w:p>
        </w:tc>
        <w:tc>
          <w:tcPr>
            <w:tcW w:w="4519" w:type="dxa"/>
            <w:tcBorders>
              <w:left w:val="single" w:color="FFFFFF" w:themeColor="background1" w:sz="4" w:space="0"/>
            </w:tcBorders>
            <w:shd w:val="clear" w:color="auto" w:fill="FFFFFF" w:themeFill="background1"/>
            <w:vAlign w:val="center"/>
            <w:hideMark/>
          </w:tcPr>
          <w:p w:rsidRPr="00474E04" w:rsidR="005E3BD6" w:rsidP="004818A1" w:rsidRDefault="1F325162" w14:paraId="4A95C239" w14:textId="77777777">
            <w:pPr>
              <w:jc w:val="both"/>
              <w:rPr>
                <w:rFonts w:ascii="Nunito Sans" w:hAnsi="Nunito Sans" w:cs="Calibri"/>
                <w:sz w:val="18"/>
                <w:szCs w:val="18"/>
              </w:rPr>
            </w:pPr>
            <w:r w:rsidRPr="00474E04">
              <w:rPr>
                <w:rFonts w:ascii="Nunito Sans" w:hAnsi="Nunito Sans" w:cs="Calibri"/>
                <w:sz w:val="18"/>
                <w:szCs w:val="18"/>
              </w:rPr>
              <w:t>Gestión documental, protección de datos personales y fortalecimiento de políticas internas.</w:t>
            </w:r>
          </w:p>
        </w:tc>
        <w:tc>
          <w:tcPr>
            <w:tcW w:w="3184" w:type="dxa"/>
            <w:shd w:val="clear" w:color="auto" w:fill="FFFFFF" w:themeFill="background1"/>
            <w:vAlign w:val="center"/>
            <w:hideMark/>
          </w:tcPr>
          <w:p w:rsidRPr="00474E04" w:rsidR="005E3BD6" w:rsidP="004818A1" w:rsidRDefault="1F325162" w14:paraId="6E48CECF" w14:textId="77777777">
            <w:pPr>
              <w:jc w:val="both"/>
              <w:rPr>
                <w:rFonts w:ascii="Nunito Sans" w:hAnsi="Nunito Sans" w:cs="Calibri"/>
                <w:sz w:val="18"/>
                <w:szCs w:val="18"/>
              </w:rPr>
            </w:pPr>
            <w:r w:rsidRPr="00474E04">
              <w:rPr>
                <w:rFonts w:ascii="Nunito Sans" w:hAnsi="Nunito Sans" w:cs="Calibri"/>
                <w:sz w:val="18"/>
                <w:szCs w:val="18"/>
                <w:lang w:val="es-ES"/>
              </w:rPr>
              <w:t xml:space="preserve">Seguridad de la información y ciberseguridad- Sistemas de información  </w:t>
            </w:r>
          </w:p>
        </w:tc>
      </w:tr>
    </w:tbl>
    <w:p w:rsidRPr="00C577BD" w:rsidR="005E3BD6" w:rsidP="00C577BD" w:rsidRDefault="005E3BD6" w14:paraId="344129D4" w14:textId="09FF1D09">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B34900" w:rsidR="005E3BD6" w:rsidRDefault="005E3BD6" w14:paraId="42EE8760" w14:textId="3ADC7C5D">
      <w:pPr>
        <w:pStyle w:val="Ttulo2"/>
        <w:numPr>
          <w:ilvl w:val="1"/>
          <w:numId w:val="36"/>
        </w:numPr>
      </w:pPr>
      <w:bookmarkStart w:name="_Toc1570448573" w:id="283"/>
      <w:bookmarkStart w:name="_Toc1208577969" w:id="284"/>
      <w:bookmarkStart w:name="_Toc234234494" w:id="285"/>
      <w:r w:rsidRPr="0E79E4E6">
        <w:lastRenderedPageBreak/>
        <w:t xml:space="preserve">Análisis </w:t>
      </w:r>
      <w:r w:rsidRPr="0E79E4E6" w:rsidR="00E000B5">
        <w:t xml:space="preserve">Proyectos Estratégicos </w:t>
      </w:r>
      <w:r w:rsidR="00E000B5">
        <w:t>d</w:t>
      </w:r>
      <w:r w:rsidRPr="0E79E4E6" w:rsidR="00E000B5">
        <w:t xml:space="preserve">e </w:t>
      </w:r>
      <w:r w:rsidRPr="0E79E4E6">
        <w:t xml:space="preserve">TI </w:t>
      </w:r>
      <w:r w:rsidR="00E000B5">
        <w:t>e</w:t>
      </w:r>
      <w:r w:rsidRPr="0E79E4E6" w:rsidR="00E000B5">
        <w:t xml:space="preserve">n Curso </w:t>
      </w:r>
      <w:r w:rsidR="00E000B5">
        <w:t>d</w:t>
      </w:r>
      <w:r w:rsidRPr="0E79E4E6" w:rsidR="00E000B5">
        <w:t xml:space="preserve">e </w:t>
      </w:r>
      <w:r w:rsidR="00E000B5">
        <w:t>l</w:t>
      </w:r>
      <w:r w:rsidRPr="0E79E4E6" w:rsidR="00E000B5">
        <w:t>as Entidades Adscritas</w:t>
      </w:r>
      <w:bookmarkEnd w:id="283"/>
      <w:bookmarkEnd w:id="284"/>
      <w:bookmarkEnd w:id="285"/>
      <w:r w:rsidRPr="0E79E4E6" w:rsidR="00E000B5">
        <w:t xml:space="preserve"> </w:t>
      </w:r>
    </w:p>
    <w:p w:rsidRPr="004661A2" w:rsidR="004661A2" w:rsidRDefault="004661A2" w14:paraId="25829E1E" w14:textId="77777777">
      <w:pPr>
        <w:pStyle w:val="Prrafodelista"/>
        <w:numPr>
          <w:ilvl w:val="1"/>
          <w:numId w:val="36"/>
        </w:numPr>
        <w:contextualSpacing w:val="0"/>
        <w:jc w:val="both"/>
        <w:outlineLvl w:val="2"/>
        <w:rPr>
          <w:rFonts w:ascii="Nunito Sans" w:hAnsi="Nunito Sans" w:eastAsia="Nunito Sans" w:cs="Nunito Sans"/>
          <w:b/>
          <w:bCs/>
          <w:iCs/>
          <w:vanish/>
          <w:color w:val="EDB600"/>
          <w:sz w:val="26"/>
          <w:lang w:val="es-ES"/>
        </w:rPr>
      </w:pPr>
      <w:bookmarkStart w:name="_Toc220407733" w:id="286"/>
      <w:bookmarkStart w:name="_Toc220408002" w:id="287"/>
      <w:bookmarkStart w:name="_Toc220614487" w:id="288"/>
      <w:bookmarkStart w:name="_Toc220664313" w:id="289"/>
      <w:bookmarkStart w:name="_Toc234231865" w:id="290"/>
      <w:bookmarkStart w:name="_Toc234232107" w:id="291"/>
      <w:bookmarkStart w:name="_Toc234232228" w:id="292"/>
      <w:bookmarkStart w:name="_Toc234232349" w:id="293"/>
      <w:bookmarkStart w:name="_Toc234233400" w:id="294"/>
      <w:bookmarkStart w:name="_Toc234233521" w:id="295"/>
      <w:bookmarkStart w:name="_Toc234233643" w:id="296"/>
      <w:bookmarkStart w:name="_Toc234233765" w:id="297"/>
      <w:bookmarkStart w:name="_Toc234233887" w:id="298"/>
      <w:bookmarkStart w:name="_Toc234234008" w:id="299"/>
      <w:bookmarkStart w:name="_Toc234234131" w:id="300"/>
      <w:bookmarkStart w:name="_Toc234234253" w:id="301"/>
      <w:bookmarkStart w:name="_Toc234234374" w:id="302"/>
      <w:bookmarkStart w:name="_Toc234234495" w:id="303"/>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rsidRPr="004661A2" w:rsidR="004661A2" w:rsidRDefault="004661A2" w14:paraId="46A9169E" w14:textId="77777777">
      <w:pPr>
        <w:pStyle w:val="Prrafodelista"/>
        <w:numPr>
          <w:ilvl w:val="1"/>
          <w:numId w:val="36"/>
        </w:numPr>
        <w:contextualSpacing w:val="0"/>
        <w:jc w:val="both"/>
        <w:outlineLvl w:val="2"/>
        <w:rPr>
          <w:rFonts w:ascii="Nunito Sans" w:hAnsi="Nunito Sans" w:eastAsia="Nunito Sans" w:cs="Nunito Sans"/>
          <w:b/>
          <w:bCs/>
          <w:iCs/>
          <w:vanish/>
          <w:color w:val="EDB600"/>
          <w:sz w:val="26"/>
          <w:lang w:val="es-ES"/>
        </w:rPr>
      </w:pPr>
      <w:bookmarkStart w:name="_Toc220407734" w:id="304"/>
      <w:bookmarkStart w:name="_Toc220408003" w:id="305"/>
      <w:bookmarkStart w:name="_Toc220614488" w:id="306"/>
      <w:bookmarkStart w:name="_Toc220664314" w:id="307"/>
      <w:bookmarkStart w:name="_Toc234231866" w:id="308"/>
      <w:bookmarkStart w:name="_Toc234232108" w:id="309"/>
      <w:bookmarkStart w:name="_Toc234232229" w:id="310"/>
      <w:bookmarkStart w:name="_Toc234232350" w:id="311"/>
      <w:bookmarkStart w:name="_Toc234233401" w:id="312"/>
      <w:bookmarkStart w:name="_Toc234233522" w:id="313"/>
      <w:bookmarkStart w:name="_Toc234233644" w:id="314"/>
      <w:bookmarkStart w:name="_Toc234233766" w:id="315"/>
      <w:bookmarkStart w:name="_Toc234233888" w:id="316"/>
      <w:bookmarkStart w:name="_Toc234234009" w:id="317"/>
      <w:bookmarkStart w:name="_Toc234234132" w:id="318"/>
      <w:bookmarkStart w:name="_Toc234234254" w:id="319"/>
      <w:bookmarkStart w:name="_Toc234234375" w:id="320"/>
      <w:bookmarkStart w:name="_Toc234234496" w:id="321"/>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rsidR="005E3BD6" w:rsidRDefault="005E3BD6" w14:paraId="53CC5427" w14:textId="4B4AB56F">
      <w:pPr>
        <w:pStyle w:val="Ttulo3"/>
        <w:numPr>
          <w:ilvl w:val="2"/>
          <w:numId w:val="37"/>
        </w:numPr>
      </w:pPr>
      <w:bookmarkStart w:name="_Toc234234497" w:id="322"/>
      <w:r w:rsidRPr="00F948EC">
        <w:t>Análisis UPME</w:t>
      </w:r>
      <w:bookmarkEnd w:id="322"/>
    </w:p>
    <w:p w:rsidRPr="00DF354F" w:rsidR="00DF354F" w:rsidP="00DF354F" w:rsidRDefault="00DF354F" w14:paraId="377BEE01" w14:textId="77777777">
      <w:pPr>
        <w:rPr>
          <w:lang w:val="es-ES"/>
        </w:rPr>
      </w:pPr>
    </w:p>
    <w:p w:rsidR="005E3BD6" w:rsidP="005E3BD6" w:rsidRDefault="005E3BD6" w14:paraId="60C533AF"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han analizado las iniciativas y proyectos de la Unidad de Planeación Minero-Energética (UPME) y del Ministerio de Minas y Energía (MME) para el año 2025. Se realizó una evaluación comparativa que identificando sinergias, similitudes y alineaciones estratégicas entre los portafolios de ambas entidades.</w:t>
      </w:r>
    </w:p>
    <w:p w:rsidR="005E3BD6" w:rsidP="005E3BD6" w:rsidRDefault="005E3BD6" w14:paraId="085CA069" w14:textId="77777777">
      <w:pPr>
        <w:jc w:val="both"/>
        <w:rPr>
          <w:rFonts w:ascii="Nunito Sans" w:hAnsi="Nunito Sans" w:eastAsia="Arial" w:cs="Calibri"/>
          <w:sz w:val="22"/>
          <w:szCs w:val="22"/>
          <w:lang w:val="es-ES"/>
        </w:rPr>
      </w:pPr>
    </w:p>
    <w:p w:rsidR="005E3BD6" w:rsidP="005E3BD6" w:rsidRDefault="005E3BD6" w14:paraId="64829BD5" w14:textId="77777777">
      <w:pPr>
        <w:pStyle w:val="Prrafodelista"/>
        <w:tabs>
          <w:tab w:val="left" w:pos="709"/>
        </w:tabs>
        <w:ind w:left="1134" w:hanging="708"/>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1: Gobierno de Datos, Analítica e Interoperabilidad</w:t>
      </w:r>
    </w:p>
    <w:p w:rsidR="005E3BD6" w:rsidP="005E3BD6" w:rsidRDefault="005E3BD6" w14:paraId="01A1235C" w14:textId="77777777">
      <w:pPr>
        <w:jc w:val="both"/>
        <w:rPr>
          <w:rFonts w:ascii="Nunito Sans" w:hAnsi="Nunito Sans" w:eastAsia="Arial" w:cs="Calibri"/>
          <w:sz w:val="22"/>
          <w:szCs w:val="22"/>
          <w:lang w:val="es-ES"/>
        </w:rPr>
      </w:pPr>
    </w:p>
    <w:p w:rsidR="005E3BD6" w:rsidP="005E3BD6" w:rsidRDefault="005E3BD6" w14:paraId="1DD61FE5"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Se identifica una sinergia evidente. Mientras el </w:t>
      </w:r>
      <w:r w:rsidRPr="761B0734">
        <w:rPr>
          <w:rFonts w:ascii="Nunito Sans" w:hAnsi="Nunito Sans" w:eastAsia="Arial" w:cs="Calibri"/>
          <w:b/>
          <w:bCs/>
          <w:sz w:val="22"/>
          <w:szCs w:val="22"/>
          <w:lang w:val="es-ES"/>
        </w:rPr>
        <w:t>MME</w:t>
      </w:r>
      <w:r w:rsidRPr="761B0734">
        <w:rPr>
          <w:rFonts w:ascii="Nunito Sans" w:hAnsi="Nunito Sans" w:eastAsia="Arial" w:cs="Calibri"/>
          <w:sz w:val="22"/>
          <w:szCs w:val="22"/>
          <w:lang w:val="es-ES"/>
        </w:rPr>
        <w:t xml:space="preserve"> se enfoca en la implementación de la interoperabilidad y el fortalecimiento del gobierno de datos a nivel ministerial, la </w:t>
      </w:r>
      <w:r w:rsidRPr="761B0734">
        <w:rPr>
          <w:rFonts w:ascii="Nunito Sans" w:hAnsi="Nunito Sans" w:eastAsia="Arial" w:cs="Calibri"/>
          <w:b/>
          <w:bCs/>
          <w:sz w:val="22"/>
          <w:szCs w:val="22"/>
          <w:lang w:val="es-ES"/>
        </w:rPr>
        <w:t>UPME</w:t>
      </w:r>
      <w:r w:rsidRPr="761B0734">
        <w:rPr>
          <w:rFonts w:ascii="Nunito Sans" w:hAnsi="Nunito Sans" w:eastAsia="Arial" w:cs="Calibri"/>
          <w:sz w:val="22"/>
          <w:szCs w:val="22"/>
          <w:lang w:val="es-ES"/>
        </w:rPr>
        <w:t xml:space="preserve"> tiene el rol de CIO sectorial, construyendo el marco conceptual y metodológico del gobierno de datos para todo el sector. </w:t>
      </w:r>
    </w:p>
    <w:p w:rsidR="005E3BD6" w:rsidP="005E3BD6" w:rsidRDefault="005E3BD6" w14:paraId="3A9252C2" w14:textId="77777777">
      <w:pPr>
        <w:jc w:val="both"/>
        <w:rPr>
          <w:rFonts w:ascii="Nunito Sans" w:hAnsi="Nunito Sans" w:eastAsia="Arial" w:cs="Calibri"/>
          <w:sz w:val="22"/>
          <w:szCs w:val="22"/>
          <w:lang w:val="es-ES"/>
        </w:rPr>
      </w:pPr>
    </w:p>
    <w:p w:rsidRPr="00EB43A6" w:rsidR="005E3BD6" w:rsidP="005E3BD6" w:rsidRDefault="00FB234F" w14:paraId="1A7DB528" w14:textId="7D028D63">
      <w:pPr>
        <w:ind w:left="360" w:hanging="360"/>
        <w:jc w:val="center"/>
        <w:rPr>
          <w:rFonts w:ascii="Nunito Sans" w:hAnsi="Nunito Sans" w:cs="Calibri"/>
          <w:b/>
          <w:bCs/>
          <w:sz w:val="18"/>
          <w:szCs w:val="18"/>
        </w:rPr>
      </w:pPr>
      <w:bookmarkStart w:name="_Toc220664202" w:id="323"/>
      <w:r w:rsidRPr="00FB234F">
        <w:rPr>
          <w:rFonts w:ascii="Nunito Sans" w:hAnsi="Nunito Sans" w:cs="Calibri"/>
          <w:b/>
          <w:bCs/>
          <w:sz w:val="18"/>
          <w:szCs w:val="18"/>
        </w:rPr>
        <w:t xml:space="preserve">Tabla </w:t>
      </w:r>
      <w:r w:rsidRPr="00FB234F">
        <w:rPr>
          <w:rFonts w:ascii="Nunito Sans" w:hAnsi="Nunito Sans" w:cs="Calibri"/>
          <w:b/>
          <w:bCs/>
          <w:sz w:val="18"/>
          <w:szCs w:val="18"/>
        </w:rPr>
        <w:fldChar w:fldCharType="begin"/>
      </w:r>
      <w:r w:rsidRPr="00FB234F">
        <w:rPr>
          <w:rFonts w:ascii="Nunito Sans" w:hAnsi="Nunito Sans" w:cs="Calibri"/>
          <w:b/>
          <w:bCs/>
          <w:sz w:val="18"/>
          <w:szCs w:val="18"/>
        </w:rPr>
        <w:instrText xml:space="preserve"> SEQ Tabla \* ARABIC </w:instrText>
      </w:r>
      <w:r w:rsidRPr="00FB234F">
        <w:rPr>
          <w:rFonts w:ascii="Nunito Sans" w:hAnsi="Nunito Sans" w:cs="Calibri"/>
          <w:b/>
          <w:bCs/>
          <w:sz w:val="18"/>
          <w:szCs w:val="18"/>
        </w:rPr>
        <w:fldChar w:fldCharType="separate"/>
      </w:r>
      <w:r w:rsidR="00C57F7B">
        <w:rPr>
          <w:rFonts w:ascii="Nunito Sans" w:hAnsi="Nunito Sans" w:cs="Calibri"/>
          <w:b/>
          <w:bCs/>
          <w:noProof/>
          <w:sz w:val="18"/>
          <w:szCs w:val="18"/>
        </w:rPr>
        <w:t>31</w:t>
      </w:r>
      <w:r w:rsidRPr="00FB234F">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MME–UPME</w:t>
      </w:r>
      <w:r w:rsidR="005E3BD6">
        <w:rPr>
          <w:rFonts w:ascii="Nunito Sans" w:hAnsi="Nunito Sans" w:cs="Calibri"/>
          <w:b/>
          <w:bCs/>
          <w:sz w:val="18"/>
          <w:szCs w:val="18"/>
        </w:rPr>
        <w:t xml:space="preserve"> en el Eje 1</w:t>
      </w:r>
      <w:bookmarkEnd w:id="323"/>
      <w:r w:rsidR="005E3BD6">
        <w:rPr>
          <w:rFonts w:ascii="Nunito Sans" w:hAnsi="Nunito Sans" w:cs="Calibri"/>
          <w:b/>
          <w:bCs/>
          <w:sz w:val="18"/>
          <w:szCs w:val="18"/>
        </w:rPr>
        <w:t xml:space="preserve"> </w:t>
      </w:r>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689"/>
        <w:gridCol w:w="2856"/>
        <w:gridCol w:w="2890"/>
      </w:tblGrid>
      <w:tr w:rsidRPr="00B34900" w:rsidR="005E3BD6" w:rsidTr="008D413F" w14:paraId="4C2DC155" w14:textId="77777777">
        <w:trPr>
          <w:trHeight w:val="630"/>
          <w:jc w:val="center"/>
        </w:trPr>
        <w:tc>
          <w:tcPr>
            <w:tcW w:w="268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639B8510" w14:textId="77777777">
            <w:pPr>
              <w:jc w:val="center"/>
              <w:rPr>
                <w:rFonts w:ascii="Nunito Sans" w:hAnsi="Nunito Sans" w:eastAsia="Arial" w:cs="Calibri"/>
                <w:b/>
                <w:bCs/>
                <w:color w:val="FFFFFF" w:themeColor="background1"/>
                <w:sz w:val="18"/>
                <w:szCs w:val="18"/>
              </w:rPr>
            </w:pPr>
            <w:r w:rsidRPr="00B34900">
              <w:rPr>
                <w:rFonts w:ascii="Nunito Sans" w:hAnsi="Nunito Sans" w:eastAsia="Arial" w:cs="Calibri"/>
                <w:b/>
                <w:bCs/>
                <w:color w:val="FFFFFF" w:themeColor="background1"/>
                <w:sz w:val="18"/>
                <w:szCs w:val="18"/>
              </w:rPr>
              <w:t>Ministerio de Minas</w:t>
            </w:r>
          </w:p>
          <w:p w:rsidRPr="00B34900" w:rsidR="005E3BD6" w:rsidP="00B4771C" w:rsidRDefault="005E3BD6" w14:paraId="604CA63B" w14:textId="77777777">
            <w:pPr>
              <w:jc w:val="center"/>
              <w:rPr>
                <w:rFonts w:ascii="Nunito Sans" w:hAnsi="Nunito Sans" w:eastAsia="Arial" w:cs="Calibri"/>
                <w:b/>
                <w:bCs/>
                <w:color w:val="FFFFFF" w:themeColor="background1"/>
                <w:sz w:val="18"/>
                <w:szCs w:val="18"/>
              </w:rPr>
            </w:pPr>
            <w:r w:rsidRPr="00B34900">
              <w:rPr>
                <w:rFonts w:ascii="Nunito Sans" w:hAnsi="Nunito Sans" w:eastAsia="Arial" w:cs="Calibri"/>
                <w:b/>
                <w:bCs/>
                <w:color w:val="FFFFFF" w:themeColor="background1"/>
                <w:sz w:val="18"/>
                <w:szCs w:val="18"/>
              </w:rPr>
              <w:t>y Energía (MME)</w:t>
            </w:r>
          </w:p>
        </w:tc>
        <w:tc>
          <w:tcPr>
            <w:tcW w:w="285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B34900" w:rsidR="005E3BD6" w:rsidP="00B4771C" w:rsidRDefault="005E3BD6" w14:paraId="77920317" w14:textId="77777777">
            <w:pPr>
              <w:jc w:val="center"/>
              <w:rPr>
                <w:rFonts w:ascii="Nunito Sans" w:hAnsi="Nunito Sans" w:eastAsia="Arial" w:cs="Calibri"/>
                <w:b/>
                <w:bCs/>
                <w:color w:val="FFFFFF" w:themeColor="background1"/>
                <w:sz w:val="18"/>
                <w:szCs w:val="18"/>
              </w:rPr>
            </w:pPr>
            <w:r w:rsidRPr="00B34900">
              <w:rPr>
                <w:rFonts w:ascii="Nunito Sans" w:hAnsi="Nunito Sans" w:eastAsia="Arial" w:cs="Calibri"/>
                <w:b/>
                <w:bCs/>
                <w:color w:val="FFFFFF" w:themeColor="background1"/>
                <w:sz w:val="18"/>
                <w:szCs w:val="18"/>
              </w:rPr>
              <w:t>Unidad de Planeación Minero-Energética (UPME)</w:t>
            </w:r>
          </w:p>
        </w:tc>
        <w:tc>
          <w:tcPr>
            <w:tcW w:w="289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B34900" w:rsidR="005E3BD6" w:rsidP="00B4771C" w:rsidRDefault="005E3BD6" w14:paraId="378D8B82" w14:textId="77777777">
            <w:pPr>
              <w:jc w:val="center"/>
              <w:rPr>
                <w:rFonts w:ascii="Nunito Sans" w:hAnsi="Nunito Sans" w:eastAsia="Arial" w:cs="Calibri"/>
                <w:b/>
                <w:bCs/>
                <w:color w:val="FFFFFF" w:themeColor="background1"/>
                <w:sz w:val="18"/>
                <w:szCs w:val="18"/>
              </w:rPr>
            </w:pPr>
            <w:r w:rsidRPr="00B34900">
              <w:rPr>
                <w:rFonts w:ascii="Nunito Sans" w:hAnsi="Nunito Sans" w:eastAsia="Arial" w:cs="Calibri"/>
                <w:b/>
                <w:bCs/>
                <w:color w:val="FFFFFF" w:themeColor="background1"/>
                <w:sz w:val="18"/>
                <w:szCs w:val="18"/>
              </w:rPr>
              <w:t>Observaciones de Arquitectura</w:t>
            </w:r>
          </w:p>
        </w:tc>
      </w:tr>
      <w:tr w:rsidRPr="00B34900" w:rsidR="005E3BD6" w:rsidTr="008D413F" w14:paraId="209E3CCA" w14:textId="77777777">
        <w:trPr>
          <w:trHeight w:val="1673"/>
          <w:jc w:val="center"/>
        </w:trPr>
        <w:tc>
          <w:tcPr>
            <w:tcW w:w="2689" w:type="dxa"/>
            <w:tcBorders>
              <w:top w:val="single" w:color="FFFFFF" w:themeColor="background1" w:sz="4" w:space="0"/>
            </w:tcBorders>
            <w:tcMar>
              <w:left w:w="70" w:type="dxa"/>
              <w:right w:w="70" w:type="dxa"/>
            </w:tcMar>
            <w:vAlign w:val="center"/>
          </w:tcPr>
          <w:p w:rsidRPr="00B34900" w:rsidR="005E3BD6" w:rsidP="00B4771C" w:rsidRDefault="005E3BD6" w14:paraId="125EC22F"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101:</w:t>
            </w:r>
            <w:r w:rsidRPr="00B34900">
              <w:rPr>
                <w:rFonts w:ascii="Nunito Sans" w:hAnsi="Nunito Sans" w:eastAsia="Arial" w:cs="Calibri"/>
                <w:color w:val="000000" w:themeColor="text1"/>
                <w:sz w:val="18"/>
                <w:szCs w:val="18"/>
              </w:rPr>
              <w:t xml:space="preserve"> Implementación de Interoperabilidad para los sistemas de información del MINENERGÍA.</w:t>
            </w:r>
          </w:p>
        </w:tc>
        <w:tc>
          <w:tcPr>
            <w:tcW w:w="2856" w:type="dxa"/>
            <w:tcBorders>
              <w:top w:val="single" w:color="FFFFFF" w:themeColor="background1" w:sz="4" w:space="0"/>
            </w:tcBorders>
            <w:tcMar>
              <w:left w:w="70" w:type="dxa"/>
              <w:right w:w="70" w:type="dxa"/>
            </w:tcMar>
            <w:vAlign w:val="center"/>
          </w:tcPr>
          <w:p w:rsidRPr="00B34900" w:rsidR="005E3BD6" w:rsidP="00B4771C" w:rsidRDefault="005E3BD6" w14:paraId="584C328E"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3:</w:t>
            </w:r>
            <w:r w:rsidRPr="00B34900">
              <w:rPr>
                <w:rFonts w:ascii="Nunito Sans" w:hAnsi="Nunito Sans" w:eastAsia="Arial" w:cs="Calibri"/>
                <w:color w:val="000000" w:themeColor="text1"/>
                <w:sz w:val="18"/>
                <w:szCs w:val="18"/>
              </w:rPr>
              <w:t xml:space="preserve"> Mejorar la obtención de</w:t>
            </w:r>
          </w:p>
          <w:p w:rsidRPr="00B34900" w:rsidR="005E3BD6" w:rsidP="00B4771C" w:rsidRDefault="005E3BD6" w14:paraId="7E3C553D" w14:textId="77777777">
            <w:pPr>
              <w:jc w:val="center"/>
              <w:rPr>
                <w:rFonts w:ascii="Nunito Sans" w:hAnsi="Nunito Sans" w:eastAsia="Arial" w:cs="Calibri"/>
                <w:color w:val="000000" w:themeColor="text1"/>
                <w:sz w:val="18"/>
                <w:szCs w:val="18"/>
              </w:rPr>
            </w:pPr>
            <w:r w:rsidRPr="00B34900">
              <w:rPr>
                <w:rFonts w:ascii="Nunito Sans" w:hAnsi="Nunito Sans" w:eastAsia="Arial" w:cs="Calibri"/>
                <w:color w:val="000000" w:themeColor="text1"/>
                <w:sz w:val="18"/>
                <w:szCs w:val="18"/>
              </w:rPr>
              <w:t>datos e información de</w:t>
            </w:r>
          </w:p>
          <w:p w:rsidRPr="00B34900" w:rsidR="005E3BD6" w:rsidP="00B4771C" w:rsidRDefault="005E3BD6" w14:paraId="6B9EF553" w14:textId="77777777">
            <w:pPr>
              <w:jc w:val="center"/>
              <w:rPr>
                <w:rFonts w:ascii="Nunito Sans" w:hAnsi="Nunito Sans" w:eastAsia="Arial" w:cs="Calibri"/>
                <w:color w:val="000000" w:themeColor="text1"/>
                <w:sz w:val="18"/>
                <w:szCs w:val="18"/>
              </w:rPr>
            </w:pPr>
            <w:r w:rsidRPr="00B34900">
              <w:rPr>
                <w:rFonts w:ascii="Nunito Sans" w:hAnsi="Nunito Sans" w:eastAsia="Arial" w:cs="Calibri"/>
                <w:color w:val="000000" w:themeColor="text1"/>
                <w:sz w:val="18"/>
                <w:szCs w:val="18"/>
              </w:rPr>
              <w:t>Entidades externas, a través de la implementación de los</w:t>
            </w:r>
          </w:p>
          <w:p w:rsidRPr="00B34900" w:rsidR="005E3BD6" w:rsidP="00B4771C" w:rsidRDefault="005E3BD6" w14:paraId="4C366E35" w14:textId="77777777">
            <w:pPr>
              <w:jc w:val="center"/>
              <w:rPr>
                <w:rFonts w:ascii="Nunito Sans" w:hAnsi="Nunito Sans" w:eastAsia="Arial" w:cs="Calibri"/>
                <w:color w:val="000000" w:themeColor="text1"/>
                <w:sz w:val="18"/>
                <w:szCs w:val="18"/>
              </w:rPr>
            </w:pPr>
            <w:r w:rsidRPr="00B34900">
              <w:rPr>
                <w:rFonts w:ascii="Nunito Sans" w:hAnsi="Nunito Sans" w:eastAsia="Arial" w:cs="Calibri"/>
                <w:color w:val="000000" w:themeColor="text1"/>
                <w:sz w:val="18"/>
                <w:szCs w:val="18"/>
              </w:rPr>
              <w:t>servicios de interoperabilidad.</w:t>
            </w:r>
          </w:p>
        </w:tc>
        <w:tc>
          <w:tcPr>
            <w:tcW w:w="2890" w:type="dxa"/>
            <w:tcBorders>
              <w:top w:val="single" w:color="FFFFFF" w:themeColor="background1" w:sz="4" w:space="0"/>
            </w:tcBorders>
            <w:tcMar>
              <w:left w:w="70" w:type="dxa"/>
              <w:right w:w="70" w:type="dxa"/>
            </w:tcMar>
            <w:vAlign w:val="center"/>
          </w:tcPr>
          <w:p w:rsidRPr="00B34900" w:rsidR="005E3BD6" w:rsidP="00B4771C" w:rsidRDefault="005E3BD6" w14:paraId="5F2EC73C" w14:textId="77777777">
            <w:pPr>
              <w:jc w:val="center"/>
              <w:rPr>
                <w:rFonts w:ascii="Nunito Sans" w:hAnsi="Nunito Sans" w:eastAsia="Arial" w:cs="Calibri"/>
                <w:color w:val="000000" w:themeColor="text1"/>
                <w:sz w:val="18"/>
                <w:szCs w:val="18"/>
              </w:rPr>
            </w:pPr>
            <w:r w:rsidRPr="00B34900">
              <w:rPr>
                <w:rFonts w:ascii="Nunito Sans" w:hAnsi="Nunito Sans" w:eastAsia="Arial" w:cs="Calibri"/>
                <w:color w:val="000000" w:themeColor="text1"/>
                <w:sz w:val="18"/>
                <w:szCs w:val="18"/>
              </w:rPr>
              <w:t>Ambas entidades buscan fortalecer la interoperabilidad. MME con un enfoque de implementación directa y UPME desde la perspectiva de la gestión de servicios.</w:t>
            </w:r>
          </w:p>
        </w:tc>
      </w:tr>
      <w:tr w:rsidRPr="00B34900" w:rsidR="005E3BD6" w:rsidTr="00581061" w14:paraId="0BFA707A" w14:textId="77777777">
        <w:trPr>
          <w:trHeight w:val="1451"/>
          <w:jc w:val="center"/>
        </w:trPr>
        <w:tc>
          <w:tcPr>
            <w:tcW w:w="2689" w:type="dxa"/>
            <w:tcMar>
              <w:left w:w="70" w:type="dxa"/>
              <w:right w:w="70" w:type="dxa"/>
            </w:tcMar>
            <w:vAlign w:val="center"/>
          </w:tcPr>
          <w:p w:rsidRPr="00B34900" w:rsidR="005E3BD6" w:rsidP="00B4771C" w:rsidRDefault="005E3BD6" w14:paraId="718ECBC0"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102:</w:t>
            </w:r>
            <w:r w:rsidRPr="00B34900">
              <w:rPr>
                <w:rFonts w:ascii="Nunito Sans" w:hAnsi="Nunito Sans" w:eastAsia="Arial" w:cs="Calibri"/>
                <w:color w:val="000000" w:themeColor="text1"/>
                <w:sz w:val="18"/>
                <w:szCs w:val="18"/>
              </w:rPr>
              <w:t xml:space="preserve"> Fortalecimiento para la Implementación del gobierno de datos conforme a los lineamientos sectoriales. A partir de la Definición y construcción de tableros de Analítica de Datos.</w:t>
            </w:r>
          </w:p>
        </w:tc>
        <w:tc>
          <w:tcPr>
            <w:tcW w:w="2856" w:type="dxa"/>
            <w:tcMar>
              <w:left w:w="70" w:type="dxa"/>
              <w:right w:w="70" w:type="dxa"/>
            </w:tcMar>
            <w:vAlign w:val="center"/>
          </w:tcPr>
          <w:p w:rsidRPr="00B34900" w:rsidR="005E3BD6" w:rsidP="00B4771C" w:rsidRDefault="005E3BD6" w14:paraId="0E2B71B3"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2:</w:t>
            </w:r>
            <w:r w:rsidRPr="00B34900">
              <w:rPr>
                <w:rFonts w:ascii="Nunito Sans" w:hAnsi="Nunito Sans" w:eastAsia="Arial" w:cs="Calibri"/>
                <w:color w:val="000000" w:themeColor="text1"/>
                <w:sz w:val="18"/>
                <w:szCs w:val="18"/>
              </w:rPr>
              <w:t xml:space="preserve"> Construcción del marco conceptual y metodológico del Gobierno y la Gestión de Datos aplicable al sector minero energético.</w:t>
            </w:r>
          </w:p>
        </w:tc>
        <w:tc>
          <w:tcPr>
            <w:tcW w:w="2890" w:type="dxa"/>
            <w:tcMar>
              <w:left w:w="70" w:type="dxa"/>
              <w:right w:w="70" w:type="dxa"/>
            </w:tcMar>
            <w:vAlign w:val="center"/>
          </w:tcPr>
          <w:p w:rsidRPr="00B34900" w:rsidR="005E3BD6" w:rsidP="00B4771C" w:rsidRDefault="005E3BD6" w14:paraId="33B597B3" w14:textId="77777777">
            <w:pPr>
              <w:jc w:val="center"/>
              <w:rPr>
                <w:rFonts w:ascii="Nunito Sans" w:hAnsi="Nunito Sans" w:eastAsia="Arial" w:cs="Calibri"/>
                <w:color w:val="000000" w:themeColor="text1"/>
                <w:sz w:val="18"/>
                <w:szCs w:val="18"/>
              </w:rPr>
            </w:pPr>
            <w:r w:rsidRPr="00B34900">
              <w:rPr>
                <w:rFonts w:ascii="Nunito Sans" w:hAnsi="Nunito Sans" w:eastAsia="Arial" w:cs="Calibri"/>
                <w:color w:val="000000" w:themeColor="text1"/>
                <w:sz w:val="18"/>
                <w:szCs w:val="18"/>
              </w:rPr>
              <w:t>UPME define el marco y MME lo implementa. La colaboración aquí es crucial para el éxito sectorial.</w:t>
            </w:r>
          </w:p>
          <w:p w:rsidRPr="00B34900" w:rsidR="005E3BD6" w:rsidP="00B4771C" w:rsidRDefault="005E3BD6" w14:paraId="5889864B" w14:textId="77777777">
            <w:pPr>
              <w:jc w:val="center"/>
              <w:rPr>
                <w:rFonts w:ascii="Nunito Sans" w:hAnsi="Nunito Sans" w:eastAsia="Arial" w:cs="Calibri"/>
                <w:color w:val="000000" w:themeColor="text1"/>
                <w:sz w:val="18"/>
                <w:szCs w:val="18"/>
              </w:rPr>
            </w:pPr>
          </w:p>
          <w:p w:rsidRPr="00B34900" w:rsidR="005E3BD6" w:rsidP="00B4771C" w:rsidRDefault="005E3BD6" w14:paraId="2EF1C40A" w14:textId="77777777">
            <w:pPr>
              <w:jc w:val="center"/>
              <w:rPr>
                <w:rFonts w:ascii="Nunito Sans" w:hAnsi="Nunito Sans" w:eastAsia="Arial" w:cs="Calibri"/>
                <w:color w:val="000000" w:themeColor="text1"/>
                <w:sz w:val="18"/>
                <w:szCs w:val="18"/>
              </w:rPr>
            </w:pPr>
          </w:p>
        </w:tc>
      </w:tr>
      <w:tr w:rsidRPr="00B34900" w:rsidR="005E3BD6" w:rsidTr="00581061" w14:paraId="7547E9C1" w14:textId="77777777">
        <w:trPr>
          <w:trHeight w:val="1146"/>
          <w:jc w:val="center"/>
        </w:trPr>
        <w:tc>
          <w:tcPr>
            <w:tcW w:w="2689" w:type="dxa"/>
            <w:tcMar>
              <w:left w:w="70" w:type="dxa"/>
              <w:right w:w="70" w:type="dxa"/>
            </w:tcMar>
            <w:vAlign w:val="center"/>
          </w:tcPr>
          <w:p w:rsidRPr="00B34900" w:rsidR="005E3BD6" w:rsidP="00B4771C" w:rsidRDefault="005E3BD6" w14:paraId="21B9BEAE"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111:</w:t>
            </w:r>
            <w:r w:rsidRPr="00B34900">
              <w:rPr>
                <w:rFonts w:ascii="Nunito Sans" w:hAnsi="Nunito Sans" w:eastAsia="Arial" w:cs="Calibri"/>
                <w:color w:val="000000" w:themeColor="text1"/>
                <w:sz w:val="18"/>
                <w:szCs w:val="18"/>
              </w:rPr>
              <w:t xml:space="preserve"> Actualización y maduración del Modelo de Gobierno de TI del MINENERGÍA.</w:t>
            </w:r>
          </w:p>
        </w:tc>
        <w:tc>
          <w:tcPr>
            <w:tcW w:w="2856" w:type="dxa"/>
            <w:tcMar>
              <w:left w:w="70" w:type="dxa"/>
              <w:right w:w="70" w:type="dxa"/>
            </w:tcMar>
            <w:vAlign w:val="center"/>
          </w:tcPr>
          <w:p w:rsidRPr="00B34900" w:rsidR="005E3BD6" w:rsidP="00B4771C" w:rsidRDefault="005E3BD6" w14:paraId="6DD4E230"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10:</w:t>
            </w:r>
            <w:r w:rsidRPr="00B34900">
              <w:rPr>
                <w:rFonts w:ascii="Nunito Sans" w:hAnsi="Nunito Sans" w:eastAsia="Arial" w:cs="Calibri"/>
                <w:color w:val="000000" w:themeColor="text1"/>
                <w:sz w:val="18"/>
                <w:szCs w:val="18"/>
              </w:rPr>
              <w:t xml:space="preserve"> Consolidar la implementación del direccionamiento estratégico de TI de la UPME.</w:t>
            </w:r>
          </w:p>
        </w:tc>
        <w:tc>
          <w:tcPr>
            <w:tcW w:w="2890" w:type="dxa"/>
            <w:tcMar>
              <w:left w:w="70" w:type="dxa"/>
              <w:right w:w="70" w:type="dxa"/>
            </w:tcMar>
            <w:vAlign w:val="center"/>
          </w:tcPr>
          <w:p w:rsidRPr="00B34900" w:rsidR="005E3BD6" w:rsidP="00B4771C" w:rsidRDefault="005E3BD6" w14:paraId="1AF6487F" w14:textId="77777777">
            <w:pPr>
              <w:jc w:val="center"/>
              <w:rPr>
                <w:rFonts w:ascii="Nunito Sans" w:hAnsi="Nunito Sans" w:eastAsia="Arial" w:cs="Calibri"/>
                <w:color w:val="000000" w:themeColor="text1"/>
                <w:sz w:val="18"/>
                <w:szCs w:val="18"/>
              </w:rPr>
            </w:pPr>
            <w:r w:rsidRPr="00B34900">
              <w:rPr>
                <w:rFonts w:ascii="Nunito Sans" w:hAnsi="Nunito Sans" w:eastAsia="Arial" w:cs="Calibri"/>
                <w:color w:val="000000" w:themeColor="text1"/>
                <w:sz w:val="18"/>
                <w:szCs w:val="18"/>
              </w:rPr>
              <w:t>Ambos proyectos buscan madurar la gestión y el gobierno de TI. Es una buena práctica que puede ser compartida.</w:t>
            </w:r>
          </w:p>
        </w:tc>
      </w:tr>
    </w:tbl>
    <w:p w:rsidRPr="00EF5DE4" w:rsidR="005E3BD6" w:rsidP="005E3BD6" w:rsidRDefault="005E3BD6" w14:paraId="62DF851A"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3402172E" w14:textId="77777777">
      <w:pPr>
        <w:jc w:val="both"/>
        <w:rPr>
          <w:rFonts w:ascii="Nunito Sans" w:hAnsi="Nunito Sans" w:eastAsia="Arial" w:cs="Calibri"/>
          <w:sz w:val="22"/>
          <w:szCs w:val="22"/>
          <w:lang w:val="es-ES"/>
        </w:rPr>
      </w:pPr>
    </w:p>
    <w:p w:rsidR="005E3BD6" w:rsidP="005E3BD6" w:rsidRDefault="005E3BD6" w14:paraId="4F40064B" w14:textId="77777777">
      <w:pPr>
        <w:jc w:val="both"/>
        <w:rPr>
          <w:rFonts w:ascii="Nunito Sans" w:hAnsi="Nunito Sans" w:eastAsia="Arial" w:cs="Calibri"/>
          <w:sz w:val="22"/>
          <w:szCs w:val="22"/>
          <w:lang w:val="es-ES"/>
        </w:rPr>
      </w:pPr>
    </w:p>
    <w:p w:rsidR="005E3BD6" w:rsidP="005E3BD6" w:rsidRDefault="005E3BD6" w14:paraId="663E4921" w14:textId="77777777">
      <w:pPr>
        <w:pStyle w:val="Prrafodelista"/>
        <w:ind w:left="709" w:hanging="283"/>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2: Seguridad de la Información y Continuidad del Negocio.</w:t>
      </w:r>
    </w:p>
    <w:p w:rsidR="005E3BD6" w:rsidP="005E3BD6" w:rsidRDefault="005E3BD6" w14:paraId="7E8867AD" w14:textId="77777777">
      <w:pPr>
        <w:jc w:val="both"/>
        <w:rPr>
          <w:rFonts w:ascii="Nunito Sans" w:hAnsi="Nunito Sans" w:eastAsia="Arial" w:cs="Calibri"/>
          <w:b/>
          <w:bCs/>
          <w:sz w:val="22"/>
          <w:szCs w:val="22"/>
          <w:lang w:val="es-ES"/>
        </w:rPr>
      </w:pPr>
    </w:p>
    <w:p w:rsidR="005E3BD6" w:rsidP="005E3BD6" w:rsidRDefault="005E3BD6" w14:paraId="51FE5F3E"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lastRenderedPageBreak/>
        <w:t>La protección de los activos de información y la resiliencia operativa son una prioridad compartida, con un enfoque claro en la maduración de los modelos de seguridad.</w:t>
      </w:r>
    </w:p>
    <w:p w:rsidR="005E3BD6" w:rsidP="005E3BD6" w:rsidRDefault="005E3BD6" w14:paraId="2698B00E"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observa que Las dos entidades están trabajando en la maduración de su Modelo de Seguridad y Privacidad de la Información (MSPI) y en la gestión de la continuidad del negocio</w:t>
      </w:r>
    </w:p>
    <w:p w:rsidR="005E3BD6" w:rsidP="005E3BD6" w:rsidRDefault="005E3BD6" w14:paraId="4AA6DD74" w14:textId="77777777">
      <w:pPr>
        <w:jc w:val="both"/>
        <w:rPr>
          <w:rFonts w:ascii="Nunito Sans" w:hAnsi="Nunito Sans" w:eastAsia="Arial" w:cs="Calibri"/>
          <w:sz w:val="22"/>
          <w:szCs w:val="22"/>
          <w:lang w:val="es-ES"/>
        </w:rPr>
      </w:pPr>
    </w:p>
    <w:p w:rsidRPr="00EB43A6" w:rsidR="005E3BD6" w:rsidP="005E3BD6" w:rsidRDefault="00FB234F" w14:paraId="7E8A9935" w14:textId="67391E37">
      <w:pPr>
        <w:ind w:left="360" w:hanging="360"/>
        <w:jc w:val="center"/>
        <w:rPr>
          <w:rFonts w:ascii="Nunito Sans" w:hAnsi="Nunito Sans" w:cs="Calibri"/>
          <w:b/>
          <w:bCs/>
          <w:sz w:val="18"/>
          <w:szCs w:val="18"/>
        </w:rPr>
      </w:pPr>
      <w:bookmarkStart w:name="_Toc220664203" w:id="324"/>
      <w:r w:rsidRPr="00FB234F">
        <w:rPr>
          <w:rFonts w:ascii="Nunito Sans" w:hAnsi="Nunito Sans" w:cs="Calibri"/>
          <w:b/>
          <w:bCs/>
          <w:sz w:val="18"/>
          <w:szCs w:val="18"/>
        </w:rPr>
        <w:t xml:space="preserve">Tabla </w:t>
      </w:r>
      <w:r w:rsidRPr="00FB234F">
        <w:rPr>
          <w:rFonts w:ascii="Nunito Sans" w:hAnsi="Nunito Sans" w:cs="Calibri"/>
          <w:b/>
          <w:bCs/>
          <w:sz w:val="18"/>
          <w:szCs w:val="18"/>
        </w:rPr>
        <w:fldChar w:fldCharType="begin"/>
      </w:r>
      <w:r w:rsidRPr="00FB234F">
        <w:rPr>
          <w:rFonts w:ascii="Nunito Sans" w:hAnsi="Nunito Sans" w:cs="Calibri"/>
          <w:b/>
          <w:bCs/>
          <w:sz w:val="18"/>
          <w:szCs w:val="18"/>
        </w:rPr>
        <w:instrText xml:space="preserve"> SEQ Tabla \* ARABIC </w:instrText>
      </w:r>
      <w:r w:rsidRPr="00FB234F">
        <w:rPr>
          <w:rFonts w:ascii="Nunito Sans" w:hAnsi="Nunito Sans" w:cs="Calibri"/>
          <w:b/>
          <w:bCs/>
          <w:sz w:val="18"/>
          <w:szCs w:val="18"/>
        </w:rPr>
        <w:fldChar w:fldCharType="separate"/>
      </w:r>
      <w:r w:rsidR="00C57F7B">
        <w:rPr>
          <w:rFonts w:ascii="Nunito Sans" w:hAnsi="Nunito Sans" w:cs="Calibri"/>
          <w:b/>
          <w:bCs/>
          <w:noProof/>
          <w:sz w:val="18"/>
          <w:szCs w:val="18"/>
        </w:rPr>
        <w:t>32</w:t>
      </w:r>
      <w:r w:rsidRPr="00FB234F">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MME–UPME</w:t>
      </w:r>
      <w:r w:rsidR="005E3BD6">
        <w:rPr>
          <w:rFonts w:ascii="Nunito Sans" w:hAnsi="Nunito Sans" w:cs="Calibri"/>
          <w:b/>
          <w:bCs/>
          <w:sz w:val="18"/>
          <w:szCs w:val="18"/>
        </w:rPr>
        <w:t xml:space="preserve"> en el Eje 2</w:t>
      </w:r>
      <w:bookmarkEnd w:id="324"/>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3109"/>
        <w:gridCol w:w="2551"/>
        <w:gridCol w:w="2930"/>
      </w:tblGrid>
      <w:tr w:rsidRPr="00E601E6" w:rsidR="005E3BD6" w:rsidTr="008D413F" w14:paraId="36B5F61E" w14:textId="77777777">
        <w:trPr>
          <w:trHeight w:val="615"/>
          <w:jc w:val="center"/>
        </w:trPr>
        <w:tc>
          <w:tcPr>
            <w:tcW w:w="310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26247FF0"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Ministerio de Minas</w:t>
            </w:r>
          </w:p>
          <w:p w:rsidRPr="00E601E6" w:rsidR="005E3BD6" w:rsidP="00B4771C" w:rsidRDefault="005E3BD6" w14:paraId="614CF36D"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y Energía (MME)</w:t>
            </w:r>
          </w:p>
        </w:tc>
        <w:tc>
          <w:tcPr>
            <w:tcW w:w="255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6023833F"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Unidad de Planeación Minero-Energética (UPME)</w:t>
            </w:r>
          </w:p>
        </w:tc>
        <w:tc>
          <w:tcPr>
            <w:tcW w:w="293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4D6F023E"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Observaciones de Arquitectura</w:t>
            </w:r>
          </w:p>
        </w:tc>
      </w:tr>
      <w:tr w:rsidRPr="00E601E6" w:rsidR="005E3BD6" w:rsidTr="008D413F" w14:paraId="5E96B356" w14:textId="77777777">
        <w:trPr>
          <w:trHeight w:val="1553"/>
          <w:jc w:val="center"/>
        </w:trPr>
        <w:tc>
          <w:tcPr>
            <w:tcW w:w="3109" w:type="dxa"/>
            <w:tcBorders>
              <w:top w:val="single" w:color="FFFFFF" w:themeColor="background1" w:sz="4" w:space="0"/>
            </w:tcBorders>
            <w:tcMar>
              <w:left w:w="70" w:type="dxa"/>
              <w:right w:w="70" w:type="dxa"/>
            </w:tcMar>
            <w:vAlign w:val="center"/>
          </w:tcPr>
          <w:p w:rsidRPr="00E601E6" w:rsidR="005E3BD6" w:rsidP="00B4771C" w:rsidRDefault="005E3BD6" w14:paraId="7DAF9E75"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112:</w:t>
            </w:r>
            <w:r w:rsidRPr="00E601E6">
              <w:rPr>
                <w:rFonts w:ascii="Nunito Sans" w:hAnsi="Nunito Sans" w:eastAsia="Arial" w:cs="Calibri"/>
                <w:color w:val="000000" w:themeColor="text1"/>
                <w:sz w:val="18"/>
                <w:szCs w:val="18"/>
              </w:rPr>
              <w:t xml:space="preserve"> Actualización y maduración del Modelo de Seguridad y Privacidad de la Información del MME.</w:t>
            </w:r>
          </w:p>
        </w:tc>
        <w:tc>
          <w:tcPr>
            <w:tcW w:w="2551" w:type="dxa"/>
            <w:tcBorders>
              <w:top w:val="single" w:color="FFFFFF" w:themeColor="background1" w:sz="4" w:space="0"/>
            </w:tcBorders>
            <w:tcMar>
              <w:left w:w="70" w:type="dxa"/>
              <w:right w:w="70" w:type="dxa"/>
            </w:tcMar>
            <w:vAlign w:val="center"/>
          </w:tcPr>
          <w:p w:rsidRPr="00E601E6" w:rsidR="005E3BD6" w:rsidP="00B4771C" w:rsidRDefault="005E3BD6" w14:paraId="555EEC3C"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13:</w:t>
            </w:r>
            <w:r w:rsidRPr="00E601E6">
              <w:rPr>
                <w:rFonts w:ascii="Nunito Sans" w:hAnsi="Nunito Sans" w:eastAsia="Arial" w:cs="Calibri"/>
                <w:color w:val="000000" w:themeColor="text1"/>
                <w:sz w:val="18"/>
                <w:szCs w:val="18"/>
              </w:rPr>
              <w:t xml:space="preserve"> Fortalecer la implementación del Sistema de Gestión de Seguridad de la Información en la Entidad.</w:t>
            </w:r>
          </w:p>
        </w:tc>
        <w:tc>
          <w:tcPr>
            <w:tcW w:w="2930" w:type="dxa"/>
            <w:tcBorders>
              <w:top w:val="single" w:color="FFFFFF" w:themeColor="background1" w:sz="4" w:space="0"/>
            </w:tcBorders>
            <w:tcMar>
              <w:left w:w="70" w:type="dxa"/>
              <w:right w:w="70" w:type="dxa"/>
            </w:tcMar>
            <w:vAlign w:val="center"/>
          </w:tcPr>
          <w:p w:rsidRPr="00E601E6" w:rsidR="005E3BD6" w:rsidP="00B4771C" w:rsidRDefault="005E3BD6" w14:paraId="35998BD8"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Proyectos muy similares en su objetivo. Corresponde alinear sus marcos de trabajo para tener un enfoque de seguridad coherente a nivel sectorial.</w:t>
            </w:r>
          </w:p>
        </w:tc>
      </w:tr>
    </w:tbl>
    <w:p w:rsidRPr="0038010D" w:rsidR="005E3BD6" w:rsidP="005E3BD6" w:rsidRDefault="005E3BD6" w14:paraId="566ACA3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9DCE0B2" w14:textId="77777777">
      <w:pPr>
        <w:jc w:val="both"/>
        <w:rPr>
          <w:rFonts w:ascii="Nunito Sans" w:hAnsi="Nunito Sans" w:eastAsia="Arial" w:cs="Calibri"/>
          <w:sz w:val="22"/>
          <w:szCs w:val="22"/>
          <w:lang w:val="es-ES"/>
        </w:rPr>
      </w:pPr>
    </w:p>
    <w:p w:rsidR="005E3BD6" w:rsidP="005E3BD6" w:rsidRDefault="005E3BD6" w14:paraId="09A4ED66" w14:textId="77777777">
      <w:pPr>
        <w:jc w:val="both"/>
        <w:rPr>
          <w:rFonts w:ascii="Nunito Sans" w:hAnsi="Nunito Sans" w:eastAsia="Arial" w:cs="Calibri"/>
          <w:sz w:val="22"/>
          <w:szCs w:val="22"/>
          <w:lang w:val="es-ES"/>
        </w:rPr>
      </w:pPr>
    </w:p>
    <w:p w:rsidRPr="00E601E6" w:rsidR="005E3BD6" w:rsidP="005E3BD6" w:rsidRDefault="005E3BD6" w14:paraId="173428A4" w14:textId="77777777">
      <w:pPr>
        <w:pStyle w:val="Prrafodelista"/>
        <w:ind w:left="709" w:hanging="283"/>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3: Modernización y Evolución de Sistemas de Información</w:t>
      </w:r>
    </w:p>
    <w:p w:rsidR="005E3BD6" w:rsidP="005E3BD6" w:rsidRDefault="005E3BD6" w14:paraId="4707D31A" w14:textId="77777777">
      <w:pPr>
        <w:ind w:left="-5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 xml:space="preserve"> </w:t>
      </w:r>
    </w:p>
    <w:p w:rsidR="005E3BD6" w:rsidP="005E3BD6" w:rsidRDefault="005E3BD6" w14:paraId="123A56C7" w14:textId="77777777">
      <w:pPr>
        <w:ind w:left="-57"/>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observa un esfuerzo por optimizar y adaptar los sistemas de información existentes para responder a las nuevas necesidades de las entidades.</w:t>
      </w:r>
    </w:p>
    <w:p w:rsidR="005E3BD6" w:rsidP="005E3BD6" w:rsidRDefault="005E3BD6" w14:paraId="631FCAF6" w14:textId="77777777">
      <w:pPr>
        <w:ind w:left="-57"/>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 </w:t>
      </w:r>
    </w:p>
    <w:p w:rsidR="005E3BD6" w:rsidP="005E3BD6" w:rsidRDefault="005E3BD6" w14:paraId="55BA21D2" w14:textId="77777777">
      <w:pPr>
        <w:ind w:left="-57"/>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MME tiene un enfoque claro en el mantenimiento correctivo y evolutivo de sus sistemas core (NEON y SÍGAME). La UPME, por su parte, tiene una iniciativa para automatizar, digitalizar o sistematizar procesos, lo que probablemente resultará en la evolución de sus propios sistemas.</w:t>
      </w:r>
    </w:p>
    <w:p w:rsidR="005E3BD6" w:rsidP="005E3BD6" w:rsidRDefault="005E3BD6" w14:paraId="60B0690D" w14:textId="77777777">
      <w:pPr>
        <w:jc w:val="both"/>
        <w:rPr>
          <w:rFonts w:ascii="Nunito Sans" w:hAnsi="Nunito Sans" w:eastAsia="Arial" w:cs="Calibri"/>
          <w:sz w:val="22"/>
          <w:szCs w:val="22"/>
          <w:lang w:val="es-ES"/>
        </w:rPr>
      </w:pPr>
    </w:p>
    <w:p w:rsidR="001060CD" w:rsidP="005E3BD6" w:rsidRDefault="001060CD" w14:paraId="60BB11CA" w14:textId="77777777">
      <w:pPr>
        <w:ind w:left="360" w:hanging="360"/>
        <w:jc w:val="center"/>
        <w:rPr>
          <w:rFonts w:ascii="Nunito Sans" w:hAnsi="Nunito Sans" w:cs="Calibri"/>
          <w:b/>
          <w:bCs/>
          <w:sz w:val="18"/>
          <w:szCs w:val="18"/>
        </w:rPr>
      </w:pPr>
    </w:p>
    <w:p w:rsidR="001060CD" w:rsidP="005E3BD6" w:rsidRDefault="001060CD" w14:paraId="64C50FD3" w14:textId="77777777">
      <w:pPr>
        <w:ind w:left="360" w:hanging="360"/>
        <w:jc w:val="center"/>
        <w:rPr>
          <w:rFonts w:ascii="Nunito Sans" w:hAnsi="Nunito Sans" w:cs="Calibri"/>
          <w:b/>
          <w:bCs/>
          <w:sz w:val="18"/>
          <w:szCs w:val="18"/>
        </w:rPr>
      </w:pPr>
    </w:p>
    <w:p w:rsidRPr="00EB43A6" w:rsidR="005E3BD6" w:rsidP="005E3BD6" w:rsidRDefault="00FB234F" w14:paraId="6ABB09E9" w14:textId="7D9D6F9A">
      <w:pPr>
        <w:ind w:left="360" w:hanging="360"/>
        <w:jc w:val="center"/>
        <w:rPr>
          <w:rFonts w:ascii="Nunito Sans" w:hAnsi="Nunito Sans" w:cs="Calibri"/>
          <w:b/>
          <w:bCs/>
          <w:sz w:val="18"/>
          <w:szCs w:val="18"/>
        </w:rPr>
      </w:pPr>
      <w:bookmarkStart w:name="_Toc220664204" w:id="325"/>
      <w:r w:rsidRPr="00FB234F">
        <w:rPr>
          <w:rFonts w:ascii="Nunito Sans" w:hAnsi="Nunito Sans" w:cs="Calibri"/>
          <w:b/>
          <w:bCs/>
          <w:sz w:val="18"/>
          <w:szCs w:val="18"/>
        </w:rPr>
        <w:t xml:space="preserve">Tabla </w:t>
      </w:r>
      <w:r w:rsidRPr="00FB234F">
        <w:rPr>
          <w:rFonts w:ascii="Nunito Sans" w:hAnsi="Nunito Sans" w:cs="Calibri"/>
          <w:b/>
          <w:bCs/>
          <w:sz w:val="18"/>
          <w:szCs w:val="18"/>
        </w:rPr>
        <w:fldChar w:fldCharType="begin"/>
      </w:r>
      <w:r w:rsidRPr="00FB234F">
        <w:rPr>
          <w:rFonts w:ascii="Nunito Sans" w:hAnsi="Nunito Sans" w:cs="Calibri"/>
          <w:b/>
          <w:bCs/>
          <w:sz w:val="18"/>
          <w:szCs w:val="18"/>
        </w:rPr>
        <w:instrText xml:space="preserve"> SEQ Tabla \* ARABIC </w:instrText>
      </w:r>
      <w:r w:rsidRPr="00FB234F">
        <w:rPr>
          <w:rFonts w:ascii="Nunito Sans" w:hAnsi="Nunito Sans" w:cs="Calibri"/>
          <w:b/>
          <w:bCs/>
          <w:sz w:val="18"/>
          <w:szCs w:val="18"/>
        </w:rPr>
        <w:fldChar w:fldCharType="separate"/>
      </w:r>
      <w:r w:rsidR="00C57F7B">
        <w:rPr>
          <w:rFonts w:ascii="Nunito Sans" w:hAnsi="Nunito Sans" w:cs="Calibri"/>
          <w:b/>
          <w:bCs/>
          <w:noProof/>
          <w:sz w:val="18"/>
          <w:szCs w:val="18"/>
        </w:rPr>
        <w:t>33</w:t>
      </w:r>
      <w:r w:rsidRPr="00FB234F">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MME–UPME</w:t>
      </w:r>
      <w:r w:rsidR="005E3BD6">
        <w:rPr>
          <w:rFonts w:ascii="Nunito Sans" w:hAnsi="Nunito Sans" w:cs="Calibri"/>
          <w:b/>
          <w:bCs/>
          <w:sz w:val="18"/>
          <w:szCs w:val="18"/>
        </w:rPr>
        <w:t xml:space="preserve"> en el Eje 3</w:t>
      </w:r>
      <w:bookmarkEnd w:id="325"/>
    </w:p>
    <w:tbl>
      <w:tblPr>
        <w:tblW w:w="8647" w:type="dxa"/>
        <w:tblInd w:w="274"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3260"/>
        <w:gridCol w:w="2552"/>
        <w:gridCol w:w="2835"/>
      </w:tblGrid>
      <w:tr w:rsidRPr="00E601E6" w:rsidR="005E3BD6" w:rsidTr="008D413F" w14:paraId="1F8647EA" w14:textId="77777777">
        <w:trPr>
          <w:trHeight w:val="634"/>
        </w:trPr>
        <w:tc>
          <w:tcPr>
            <w:tcW w:w="326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247828F5"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Ministerio de Minas</w:t>
            </w:r>
          </w:p>
          <w:p w:rsidRPr="00E601E6" w:rsidR="005E3BD6" w:rsidP="00B4771C" w:rsidRDefault="005E3BD6" w14:paraId="30C7F567"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y Energía (MME)</w:t>
            </w:r>
          </w:p>
        </w:tc>
        <w:tc>
          <w:tcPr>
            <w:tcW w:w="255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021E4551"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Unidad de Planeación Minero-Energética (UPME)</w:t>
            </w:r>
          </w:p>
        </w:tc>
        <w:tc>
          <w:tcPr>
            <w:tcW w:w="283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5E55E02F"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Observaciones de Arquitectura</w:t>
            </w:r>
          </w:p>
        </w:tc>
      </w:tr>
      <w:tr w:rsidRPr="00E601E6" w:rsidR="005E3BD6" w:rsidTr="008D413F" w14:paraId="2B31340D" w14:textId="77777777">
        <w:trPr>
          <w:trHeight w:val="1305"/>
        </w:trPr>
        <w:tc>
          <w:tcPr>
            <w:tcW w:w="3260" w:type="dxa"/>
            <w:tcBorders>
              <w:top w:val="single" w:color="FFFFFF" w:themeColor="background1" w:sz="4" w:space="0"/>
            </w:tcBorders>
            <w:tcMar>
              <w:left w:w="70" w:type="dxa"/>
              <w:right w:w="70" w:type="dxa"/>
            </w:tcMar>
            <w:vAlign w:val="center"/>
          </w:tcPr>
          <w:p w:rsidRPr="00E601E6" w:rsidR="005E3BD6" w:rsidP="00B4771C" w:rsidRDefault="005E3BD6" w14:paraId="7D81A882"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104:</w:t>
            </w:r>
            <w:r w:rsidRPr="00E601E6">
              <w:rPr>
                <w:rFonts w:ascii="Nunito Sans" w:hAnsi="Nunito Sans" w:eastAsia="Arial" w:cs="Calibri"/>
                <w:color w:val="000000" w:themeColor="text1"/>
                <w:sz w:val="18"/>
                <w:szCs w:val="18"/>
              </w:rPr>
              <w:t xml:space="preserve"> Actualización de las funcionalidades del Sistema de Información NEON.</w:t>
            </w:r>
          </w:p>
        </w:tc>
        <w:tc>
          <w:tcPr>
            <w:tcW w:w="2552" w:type="dxa"/>
            <w:tcBorders>
              <w:top w:val="single" w:color="FFFFFF" w:themeColor="background1" w:sz="4" w:space="0"/>
            </w:tcBorders>
            <w:tcMar>
              <w:left w:w="70" w:type="dxa"/>
              <w:right w:w="70" w:type="dxa"/>
            </w:tcMar>
            <w:vAlign w:val="center"/>
          </w:tcPr>
          <w:p w:rsidRPr="00E601E6" w:rsidR="005E3BD6" w:rsidP="00B4771C" w:rsidRDefault="005E3BD6" w14:paraId="722A6E85" w14:textId="77777777">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w:t>
            </w:r>
            <w:r w:rsidRPr="00E601E6">
              <w:rPr>
                <w:rFonts w:ascii="Nunito Sans" w:hAnsi="Nunito Sans" w:eastAsia="Arial" w:cs="Calibri"/>
                <w:color w:val="000000" w:themeColor="text1"/>
                <w:sz w:val="18"/>
                <w:szCs w:val="18"/>
              </w:rPr>
              <w:t xml:space="preserve"> Fortalecimiento de los procesos que realizan las áreas de la Entidad a través de la automatización, digitalización o sistematización de sus procesos.</w:t>
            </w:r>
          </w:p>
        </w:tc>
        <w:tc>
          <w:tcPr>
            <w:tcW w:w="2835" w:type="dxa"/>
            <w:tcBorders>
              <w:top w:val="single" w:color="FFFFFF" w:themeColor="background1" w:sz="4" w:space="0"/>
            </w:tcBorders>
            <w:tcMar>
              <w:left w:w="70" w:type="dxa"/>
              <w:right w:w="70" w:type="dxa"/>
            </w:tcMar>
            <w:vAlign w:val="center"/>
          </w:tcPr>
          <w:p w:rsidRPr="00E601E6" w:rsidR="005E3BD6" w:rsidP="00B4771C" w:rsidRDefault="005E3BD6" w14:paraId="60DEE8B7"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MME lo enfoca en un sistema específico (gestión contractual), mientras que UPME lo plantea como una iniciativa general.</w:t>
            </w:r>
          </w:p>
          <w:p w:rsidRPr="00E601E6" w:rsidR="005E3BD6" w:rsidP="00B4771C" w:rsidRDefault="005E3BD6" w14:paraId="62928CD2" w14:textId="77777777">
            <w:pPr>
              <w:jc w:val="center"/>
              <w:rPr>
                <w:rFonts w:ascii="Nunito Sans" w:hAnsi="Nunito Sans" w:eastAsia="Arial" w:cs="Calibri"/>
                <w:color w:val="000000" w:themeColor="text1"/>
                <w:sz w:val="18"/>
                <w:szCs w:val="18"/>
              </w:rPr>
            </w:pPr>
          </w:p>
        </w:tc>
      </w:tr>
    </w:tbl>
    <w:p w:rsidRPr="00EF5DE4" w:rsidR="005E3BD6" w:rsidP="005E3BD6" w:rsidRDefault="005E3BD6" w14:paraId="19A68F72"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25D9CF26" w14:textId="77777777">
      <w:pPr>
        <w:jc w:val="both"/>
        <w:rPr>
          <w:rFonts w:ascii="Nunito Sans" w:hAnsi="Nunito Sans" w:eastAsia="Arial" w:cs="Calibri"/>
          <w:sz w:val="22"/>
          <w:szCs w:val="22"/>
          <w:lang w:val="es-ES"/>
        </w:rPr>
      </w:pPr>
    </w:p>
    <w:p w:rsidR="005E3BD6" w:rsidP="005E3BD6" w:rsidRDefault="005E3BD6" w14:paraId="2FECAA44"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Del análisis comparativo de los portafolios de proyectos de TI del Ministerio de Minas y Energía (MME) y la UPME para 2025, se concluye que existe una alineación estratégica significativa y </w:t>
      </w:r>
      <w:r w:rsidRPr="761B0734">
        <w:rPr>
          <w:rFonts w:ascii="Nunito Sans" w:hAnsi="Nunito Sans" w:eastAsia="Arial" w:cs="Calibri"/>
          <w:sz w:val="22"/>
          <w:szCs w:val="22"/>
          <w:lang w:val="es-ES"/>
        </w:rPr>
        <w:lastRenderedPageBreak/>
        <w:t>oportunidades claras de colaboración que deben ser gestionadas activamente para maximizar la eficiencia sectorial.</w:t>
      </w:r>
    </w:p>
    <w:p w:rsidR="005E3BD6" w:rsidP="005E3BD6" w:rsidRDefault="005E3BD6" w14:paraId="254CB4CB" w14:textId="77777777">
      <w:pPr>
        <w:ind w:left="426"/>
        <w:jc w:val="both"/>
        <w:rPr>
          <w:rFonts w:ascii="Nunito Sans" w:hAnsi="Nunito Sans" w:cs="Calibri" w:eastAsiaTheme="minorEastAsia"/>
          <w:i/>
          <w:iCs/>
          <w:color w:val="FF0000"/>
          <w:sz w:val="22"/>
          <w:szCs w:val="22"/>
          <w:lang w:val="es-ES"/>
        </w:rPr>
      </w:pPr>
    </w:p>
    <w:p w:rsidR="005E3BD6" w:rsidRDefault="005E3BD6" w14:paraId="0AC08B2B" w14:textId="5B4679E2">
      <w:pPr>
        <w:pStyle w:val="Ttulo3"/>
        <w:numPr>
          <w:ilvl w:val="2"/>
          <w:numId w:val="37"/>
        </w:numPr>
      </w:pPr>
      <w:bookmarkStart w:name="_Toc234234498" w:id="326"/>
      <w:r w:rsidRPr="00236C37">
        <w:t>Análisis ANM</w:t>
      </w:r>
      <w:bookmarkEnd w:id="326"/>
    </w:p>
    <w:p w:rsidRPr="00DF354F" w:rsidR="00DF354F" w:rsidP="00DF354F" w:rsidRDefault="00DF354F" w14:paraId="7B8714F1" w14:textId="77777777">
      <w:pPr>
        <w:rPr>
          <w:lang w:val="es-ES"/>
        </w:rPr>
      </w:pPr>
    </w:p>
    <w:p w:rsidR="005E3BD6" w:rsidP="005E3BD6" w:rsidRDefault="005E3BD6" w14:paraId="17A7A5AC"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Analizadas las iniciativas y proyectos de la Agencia Nacional de Minería (ANM) y del Ministerio de Minas y Energía (MME) se identifican cuatro ejes estratégicos clave donde los proyectos de TI del MME y la ANM para 2025 están alineados. La implementación de mesas de trabajo conjuntas es crucial para potenciar las capacidades tecnológicas del sector.</w:t>
      </w:r>
    </w:p>
    <w:p w:rsidR="005E3BD6" w:rsidP="005A4A44" w:rsidRDefault="005E3BD6" w14:paraId="24088935" w14:textId="77777777">
      <w:pPr>
        <w:jc w:val="both"/>
        <w:rPr>
          <w:rFonts w:ascii="Nunito Sans" w:hAnsi="Nunito Sans" w:cs="Calibri" w:eastAsiaTheme="minorEastAsia"/>
          <w:i/>
          <w:iCs/>
          <w:color w:val="FF0000"/>
          <w:sz w:val="22"/>
          <w:szCs w:val="22"/>
          <w:lang w:val="es-ES"/>
        </w:rPr>
      </w:pPr>
    </w:p>
    <w:p w:rsidR="005E3BD6" w:rsidP="005E3BD6" w:rsidRDefault="005E3BD6" w14:paraId="76848C58" w14:textId="77777777">
      <w:pPr>
        <w:pStyle w:val="Prrafodelista"/>
        <w:ind w:left="709" w:hanging="283"/>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1 Arquitectura Empresarial y Gobierno de TI</w:t>
      </w:r>
    </w:p>
    <w:p w:rsidR="005E3BD6" w:rsidP="005E3BD6" w:rsidRDefault="005E3BD6" w14:paraId="560900DB" w14:textId="77777777">
      <w:pPr>
        <w:jc w:val="both"/>
        <w:rPr>
          <w:rFonts w:ascii="Nunito Sans" w:hAnsi="Nunito Sans" w:eastAsia="Arial" w:cs="Calibri"/>
          <w:sz w:val="22"/>
          <w:szCs w:val="22"/>
          <w:lang w:val="es-ES"/>
        </w:rPr>
      </w:pPr>
    </w:p>
    <w:p w:rsidR="005E3BD6" w:rsidP="005E3BD6" w:rsidRDefault="005E3BD6" w14:paraId="3272B930"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Ambas entidades buscan implementar el marco de referencia de MinTI</w:t>
      </w:r>
      <w:r>
        <w:rPr>
          <w:rFonts w:ascii="Nunito Sans" w:hAnsi="Nunito Sans" w:eastAsia="Arial" w:cs="Calibri"/>
          <w:sz w:val="22"/>
          <w:szCs w:val="22"/>
          <w:lang w:val="es-ES"/>
        </w:rPr>
        <w:t>C</w:t>
      </w:r>
    </w:p>
    <w:p w:rsidR="005E3BD6" w:rsidP="005E3BD6" w:rsidRDefault="005E3BD6" w14:paraId="763721ED" w14:textId="77777777">
      <w:pPr>
        <w:ind w:left="426"/>
        <w:jc w:val="both"/>
        <w:rPr>
          <w:rFonts w:ascii="Nunito Sans" w:hAnsi="Nunito Sans" w:cs="Calibri" w:eastAsiaTheme="minorEastAsia"/>
          <w:i/>
          <w:iCs/>
          <w:color w:val="FF0000"/>
          <w:sz w:val="22"/>
          <w:szCs w:val="22"/>
          <w:lang w:val="es-ES"/>
        </w:rPr>
      </w:pPr>
    </w:p>
    <w:p w:rsidRPr="00EB43A6" w:rsidR="005E3BD6" w:rsidP="005E3BD6" w:rsidRDefault="00FA14CD" w14:paraId="3C1D89D8" w14:textId="42865501">
      <w:pPr>
        <w:ind w:left="360" w:hanging="360"/>
        <w:jc w:val="center"/>
        <w:rPr>
          <w:rFonts w:ascii="Nunito Sans" w:hAnsi="Nunito Sans" w:cs="Calibri"/>
          <w:b/>
          <w:bCs/>
          <w:sz w:val="18"/>
          <w:szCs w:val="18"/>
        </w:rPr>
      </w:pPr>
      <w:bookmarkStart w:name="_Toc220664205" w:id="327"/>
      <w:r w:rsidRPr="00FA14CD">
        <w:rPr>
          <w:rFonts w:ascii="Nunito Sans" w:hAnsi="Nunito Sans" w:cs="Calibri"/>
          <w:b/>
          <w:bCs/>
          <w:sz w:val="18"/>
          <w:szCs w:val="18"/>
        </w:rPr>
        <w:t xml:space="preserve">Tabla </w:t>
      </w:r>
      <w:r w:rsidRPr="00FA14CD">
        <w:rPr>
          <w:rFonts w:ascii="Nunito Sans" w:hAnsi="Nunito Sans" w:cs="Calibri"/>
          <w:b/>
          <w:bCs/>
          <w:sz w:val="18"/>
          <w:szCs w:val="18"/>
        </w:rPr>
        <w:fldChar w:fldCharType="begin"/>
      </w:r>
      <w:r w:rsidRPr="00FA14CD">
        <w:rPr>
          <w:rFonts w:ascii="Nunito Sans" w:hAnsi="Nunito Sans" w:cs="Calibri"/>
          <w:b/>
          <w:bCs/>
          <w:sz w:val="18"/>
          <w:szCs w:val="18"/>
        </w:rPr>
        <w:instrText xml:space="preserve"> SEQ Tabla \* ARABIC </w:instrText>
      </w:r>
      <w:r w:rsidRPr="00FA14CD">
        <w:rPr>
          <w:rFonts w:ascii="Nunito Sans" w:hAnsi="Nunito Sans" w:cs="Calibri"/>
          <w:b/>
          <w:bCs/>
          <w:sz w:val="18"/>
          <w:szCs w:val="18"/>
        </w:rPr>
        <w:fldChar w:fldCharType="separate"/>
      </w:r>
      <w:r w:rsidR="00C57F7B">
        <w:rPr>
          <w:rFonts w:ascii="Nunito Sans" w:hAnsi="Nunito Sans" w:cs="Calibri"/>
          <w:b/>
          <w:bCs/>
          <w:noProof/>
          <w:sz w:val="18"/>
          <w:szCs w:val="18"/>
        </w:rPr>
        <w:t>34</w:t>
      </w:r>
      <w:r w:rsidRPr="00FA14C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ANM en el Eje 1</w:t>
      </w:r>
      <w:bookmarkEnd w:id="327"/>
    </w:p>
    <w:tbl>
      <w:tblPr>
        <w:tblW w:w="0" w:type="auto"/>
        <w:tblInd w:w="416"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840"/>
        <w:gridCol w:w="2842"/>
        <w:gridCol w:w="2632"/>
      </w:tblGrid>
      <w:tr w:rsidRPr="00E601E6" w:rsidR="005E3BD6" w:rsidTr="00B060A3" w14:paraId="24680D48" w14:textId="77777777">
        <w:trPr>
          <w:trHeight w:val="638"/>
        </w:trPr>
        <w:tc>
          <w:tcPr>
            <w:tcW w:w="284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543DE9FA"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Ministerio de Minas</w:t>
            </w:r>
          </w:p>
          <w:p w:rsidRPr="00E601E6" w:rsidR="005E3BD6" w:rsidP="00B4771C" w:rsidRDefault="005E3BD6" w14:paraId="6645F2BC"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y Energía (MME)</w:t>
            </w:r>
          </w:p>
        </w:tc>
        <w:tc>
          <w:tcPr>
            <w:tcW w:w="28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247E0B1D"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 xml:space="preserve">Agencia Nacional </w:t>
            </w:r>
          </w:p>
          <w:p w:rsidRPr="00E601E6" w:rsidR="005E3BD6" w:rsidP="00B4771C" w:rsidRDefault="005E3BD6" w14:paraId="127D11D5"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de Minería (ANM)</w:t>
            </w:r>
          </w:p>
        </w:tc>
        <w:tc>
          <w:tcPr>
            <w:tcW w:w="263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6321D7FE"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Observaciones de Arquitectura</w:t>
            </w:r>
          </w:p>
        </w:tc>
      </w:tr>
      <w:tr w:rsidRPr="00E601E6" w:rsidR="005E3BD6" w:rsidTr="00B060A3" w14:paraId="1FAA79A8" w14:textId="77777777">
        <w:trPr>
          <w:trHeight w:val="1500"/>
        </w:trPr>
        <w:tc>
          <w:tcPr>
            <w:tcW w:w="2840" w:type="dxa"/>
            <w:tcBorders>
              <w:top w:val="single" w:color="FFFFFF" w:themeColor="background1" w:sz="4" w:space="0"/>
            </w:tcBorders>
            <w:tcMar>
              <w:left w:w="70" w:type="dxa"/>
              <w:right w:w="70" w:type="dxa"/>
            </w:tcMar>
            <w:vAlign w:val="center"/>
          </w:tcPr>
          <w:p w:rsidRPr="00E601E6" w:rsidR="005E3BD6" w:rsidP="00B4771C" w:rsidRDefault="1F325162" w14:paraId="46D24D1C" w14:textId="184DDA5D">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110:</w:t>
            </w:r>
            <w:r w:rsidRPr="4E60D266">
              <w:rPr>
                <w:rFonts w:ascii="Nunito Sans" w:hAnsi="Nunito Sans" w:eastAsia="Arial" w:cs="Calibri"/>
                <w:color w:val="000000" w:themeColor="text1"/>
                <w:sz w:val="18"/>
                <w:szCs w:val="18"/>
              </w:rPr>
              <w:t xml:space="preserve"> Fortalecer el Modelo de Arquitectura Empresarial, basado en el M</w:t>
            </w:r>
            <w:r w:rsidRPr="4E60D266" w:rsidR="1FAE96D7">
              <w:rPr>
                <w:rFonts w:ascii="Nunito Sans" w:hAnsi="Nunito Sans" w:eastAsia="Arial" w:cs="Calibri"/>
                <w:color w:val="000000" w:themeColor="text1"/>
                <w:sz w:val="18"/>
                <w:szCs w:val="18"/>
              </w:rPr>
              <w:t>R</w:t>
            </w:r>
            <w:r w:rsidRPr="4E60D266">
              <w:rPr>
                <w:rFonts w:ascii="Nunito Sans" w:hAnsi="Nunito Sans" w:eastAsia="Arial" w:cs="Calibri"/>
                <w:color w:val="000000" w:themeColor="text1"/>
                <w:sz w:val="18"/>
                <w:szCs w:val="18"/>
              </w:rPr>
              <w:t>AE y los lineamientos establecidos por MINTIC.</w:t>
            </w:r>
          </w:p>
          <w:p w:rsidRPr="00E601E6" w:rsidR="005E3BD6" w:rsidP="00B4771C" w:rsidRDefault="005E3BD6" w14:paraId="0CE50FBB" w14:textId="77777777">
            <w:pPr>
              <w:jc w:val="center"/>
              <w:rPr>
                <w:rFonts w:ascii="Nunito Sans" w:hAnsi="Nunito Sans" w:eastAsia="Arial" w:cs="Calibri"/>
                <w:color w:val="000000" w:themeColor="text1"/>
                <w:sz w:val="18"/>
                <w:szCs w:val="18"/>
              </w:rPr>
            </w:pPr>
          </w:p>
        </w:tc>
        <w:tc>
          <w:tcPr>
            <w:tcW w:w="2842" w:type="dxa"/>
            <w:tcBorders>
              <w:top w:val="single" w:color="FFFFFF" w:themeColor="background1" w:sz="4" w:space="0"/>
            </w:tcBorders>
            <w:tcMar>
              <w:left w:w="70" w:type="dxa"/>
              <w:right w:w="70" w:type="dxa"/>
            </w:tcMar>
            <w:vAlign w:val="center"/>
          </w:tcPr>
          <w:p w:rsidRPr="00E601E6" w:rsidR="005E3BD6" w:rsidP="00B4771C" w:rsidRDefault="1F325162" w14:paraId="4A992345" w14:textId="7DBED389">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14:</w:t>
            </w:r>
            <w:r w:rsidRPr="4E60D266">
              <w:rPr>
                <w:rFonts w:ascii="Nunito Sans" w:hAnsi="Nunito Sans" w:eastAsia="Arial" w:cs="Calibri"/>
                <w:color w:val="000000" w:themeColor="text1"/>
                <w:sz w:val="18"/>
                <w:szCs w:val="18"/>
              </w:rPr>
              <w:t xml:space="preserve"> Consolidar y optimizar la capacidad de Arquitectura Empresarial. (Fortalecer dominios, diseñar arquitecturas, implementar M</w:t>
            </w:r>
            <w:r w:rsidRPr="4E60D266" w:rsidR="33DC75FD">
              <w:rPr>
                <w:rFonts w:ascii="Nunito Sans" w:hAnsi="Nunito Sans" w:eastAsia="Arial" w:cs="Calibri"/>
                <w:color w:val="000000" w:themeColor="text1"/>
                <w:sz w:val="18"/>
                <w:szCs w:val="18"/>
              </w:rPr>
              <w:t>R</w:t>
            </w:r>
            <w:r w:rsidRPr="4E60D266">
              <w:rPr>
                <w:rFonts w:ascii="Nunito Sans" w:hAnsi="Nunito Sans" w:eastAsia="Arial" w:cs="Calibri"/>
                <w:color w:val="000000" w:themeColor="text1"/>
                <w:sz w:val="18"/>
                <w:szCs w:val="18"/>
              </w:rPr>
              <w:t>AE 3.0 de MinTIC).</w:t>
            </w:r>
          </w:p>
        </w:tc>
        <w:tc>
          <w:tcPr>
            <w:tcW w:w="2632" w:type="dxa"/>
            <w:tcBorders>
              <w:top w:val="single" w:color="FFFFFF" w:themeColor="background1" w:sz="4" w:space="0"/>
            </w:tcBorders>
            <w:tcMar>
              <w:left w:w="70" w:type="dxa"/>
              <w:right w:w="70" w:type="dxa"/>
            </w:tcMar>
            <w:vAlign w:val="center"/>
          </w:tcPr>
          <w:p w:rsidRPr="00E601E6" w:rsidR="005E3BD6" w:rsidP="00B4771C" w:rsidRDefault="005E3BD6" w14:paraId="6FEAD997"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Proyectos gemelos en su propósito. Deben coordinarse para definir un lenguaje y un enfoque arquitectónico común para el sector.</w:t>
            </w:r>
          </w:p>
        </w:tc>
      </w:tr>
    </w:tbl>
    <w:p w:rsidRPr="0038010D" w:rsidR="005E3BD6" w:rsidP="005E3BD6" w:rsidRDefault="005E3BD6" w14:paraId="6A09E8FC"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193C0C47"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2FAFB585"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02D36BDD" w14:textId="77777777">
      <w:pPr>
        <w:pStyle w:val="Prrafodelista"/>
        <w:ind w:left="709" w:hanging="283"/>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2: Seguridad de la Información, Ciberseguridad y Continuidad</w:t>
      </w:r>
    </w:p>
    <w:p w:rsidR="005E3BD6" w:rsidP="005E3BD6" w:rsidRDefault="005E3BD6" w14:paraId="03DDA7C6" w14:textId="77777777">
      <w:pPr>
        <w:jc w:val="both"/>
        <w:rPr>
          <w:rFonts w:ascii="Nunito Sans" w:hAnsi="Nunito Sans" w:cs="Calibri" w:eastAsiaTheme="minorEastAsia"/>
          <w:i/>
          <w:iCs/>
          <w:color w:val="FF0000"/>
          <w:sz w:val="22"/>
          <w:szCs w:val="22"/>
          <w:lang w:val="es-ES"/>
        </w:rPr>
      </w:pPr>
    </w:p>
    <w:p w:rsidR="005E3BD6" w:rsidP="005E3BD6" w:rsidRDefault="005E3BD6" w14:paraId="697A0A08"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Ambas entidades están trabajando en la maduración de sus modelos de seguridad y planes de continuidad. La ANM incluso tiene el objetivo explícito de certificarse en ISO 27001:2022. Es apropiado crear un frente común para la inteligencia de ciberamenazas y compartir estrategias de mitigación de riesgos tecnológicos específicos del sector</w:t>
      </w:r>
    </w:p>
    <w:p w:rsidR="005E3BD6" w:rsidP="005E3BD6" w:rsidRDefault="005E3BD6" w14:paraId="09DFC119" w14:textId="77777777">
      <w:pPr>
        <w:jc w:val="both"/>
        <w:rPr>
          <w:rFonts w:ascii="Nunito Sans" w:hAnsi="Nunito Sans" w:eastAsia="Arial" w:cs="Calibri"/>
          <w:sz w:val="22"/>
          <w:szCs w:val="22"/>
          <w:lang w:val="es-ES"/>
        </w:rPr>
      </w:pPr>
    </w:p>
    <w:p w:rsidRPr="00EB43A6" w:rsidR="005E3BD6" w:rsidP="005E3BD6" w:rsidRDefault="007B46BE" w14:paraId="67FF8B5C" w14:textId="0A99A01F">
      <w:pPr>
        <w:ind w:left="360" w:hanging="360"/>
        <w:jc w:val="center"/>
        <w:rPr>
          <w:rFonts w:ascii="Nunito Sans" w:hAnsi="Nunito Sans" w:cs="Calibri"/>
          <w:b/>
          <w:bCs/>
          <w:sz w:val="18"/>
          <w:szCs w:val="18"/>
        </w:rPr>
      </w:pPr>
      <w:bookmarkStart w:name="_Toc220664206" w:id="328"/>
      <w:r w:rsidRPr="007B46BE">
        <w:rPr>
          <w:rFonts w:ascii="Nunito Sans" w:hAnsi="Nunito Sans" w:cs="Calibri"/>
          <w:b/>
          <w:bCs/>
          <w:sz w:val="18"/>
          <w:szCs w:val="18"/>
        </w:rPr>
        <w:t xml:space="preserve">Tabla </w:t>
      </w:r>
      <w:r w:rsidRPr="007B46BE">
        <w:rPr>
          <w:rFonts w:ascii="Nunito Sans" w:hAnsi="Nunito Sans" w:cs="Calibri"/>
          <w:b/>
          <w:bCs/>
          <w:sz w:val="18"/>
          <w:szCs w:val="18"/>
        </w:rPr>
        <w:fldChar w:fldCharType="begin"/>
      </w:r>
      <w:r w:rsidRPr="007B46BE">
        <w:rPr>
          <w:rFonts w:ascii="Nunito Sans" w:hAnsi="Nunito Sans" w:cs="Calibri"/>
          <w:b/>
          <w:bCs/>
          <w:sz w:val="18"/>
          <w:szCs w:val="18"/>
        </w:rPr>
        <w:instrText xml:space="preserve"> SEQ Tabla \* ARABIC </w:instrText>
      </w:r>
      <w:r w:rsidRPr="007B46BE">
        <w:rPr>
          <w:rFonts w:ascii="Nunito Sans" w:hAnsi="Nunito Sans" w:cs="Calibri"/>
          <w:b/>
          <w:bCs/>
          <w:sz w:val="18"/>
          <w:szCs w:val="18"/>
        </w:rPr>
        <w:fldChar w:fldCharType="separate"/>
      </w:r>
      <w:r w:rsidR="00C57F7B">
        <w:rPr>
          <w:rFonts w:ascii="Nunito Sans" w:hAnsi="Nunito Sans" w:cs="Calibri"/>
          <w:b/>
          <w:bCs/>
          <w:noProof/>
          <w:sz w:val="18"/>
          <w:szCs w:val="18"/>
        </w:rPr>
        <w:t>35</w:t>
      </w:r>
      <w:r w:rsidRPr="007B46BE">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ANM en el Eje 2</w:t>
      </w:r>
      <w:bookmarkEnd w:id="328"/>
    </w:p>
    <w:tbl>
      <w:tblPr>
        <w:tblW w:w="8222" w:type="dxa"/>
        <w:tblInd w:w="557"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840"/>
        <w:gridCol w:w="2917"/>
        <w:gridCol w:w="2465"/>
      </w:tblGrid>
      <w:tr w:rsidRPr="00E601E6" w:rsidR="005E3BD6" w:rsidTr="00B060A3" w14:paraId="152D3490" w14:textId="77777777">
        <w:trPr>
          <w:trHeight w:val="480"/>
        </w:trPr>
        <w:tc>
          <w:tcPr>
            <w:tcW w:w="284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519239DD"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Ministerio de Minas</w:t>
            </w:r>
          </w:p>
          <w:p w:rsidRPr="00E601E6" w:rsidR="005E3BD6" w:rsidP="00B4771C" w:rsidRDefault="005E3BD6" w14:paraId="71C2AD45"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y Energía (MME)</w:t>
            </w:r>
          </w:p>
        </w:tc>
        <w:tc>
          <w:tcPr>
            <w:tcW w:w="291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005E3BD6" w:rsidP="00B4771C" w:rsidRDefault="005E3BD6" w14:paraId="547E360A"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 xml:space="preserve">Agencia Nacional </w:t>
            </w:r>
          </w:p>
          <w:p w:rsidRPr="00E601E6" w:rsidR="005E3BD6" w:rsidP="00B4771C" w:rsidRDefault="005E3BD6" w14:paraId="08EBEEC9"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de Minería (ANM)</w:t>
            </w:r>
          </w:p>
        </w:tc>
        <w:tc>
          <w:tcPr>
            <w:tcW w:w="246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5E343DA1"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Observaciones de Arquitectura</w:t>
            </w:r>
          </w:p>
        </w:tc>
      </w:tr>
      <w:tr w:rsidRPr="00E601E6" w:rsidR="005E3BD6" w:rsidTr="00B060A3" w14:paraId="7C668825" w14:textId="77777777">
        <w:trPr>
          <w:trHeight w:val="1425"/>
        </w:trPr>
        <w:tc>
          <w:tcPr>
            <w:tcW w:w="2840" w:type="dxa"/>
            <w:tcBorders>
              <w:top w:val="single" w:color="FFFFFF" w:themeColor="background1" w:sz="4" w:space="0"/>
            </w:tcBorders>
            <w:tcMar>
              <w:left w:w="70" w:type="dxa"/>
              <w:right w:w="70" w:type="dxa"/>
            </w:tcMar>
            <w:vAlign w:val="center"/>
          </w:tcPr>
          <w:p w:rsidRPr="00E601E6" w:rsidR="005E3BD6" w:rsidP="00B4771C" w:rsidRDefault="005E3BD6" w14:paraId="02464172" w14:textId="5874E7A0">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112:</w:t>
            </w:r>
            <w:r w:rsidRPr="00E601E6">
              <w:rPr>
                <w:rFonts w:ascii="Nunito Sans" w:hAnsi="Nunito Sans" w:eastAsia="Arial" w:cs="Calibri"/>
                <w:color w:val="000000" w:themeColor="text1"/>
                <w:sz w:val="18"/>
                <w:szCs w:val="18"/>
              </w:rPr>
              <w:t xml:space="preserve"> Actualización y maduración del Modelo de Seguridad y Privacidad de la Información del MINENERGÍA.</w:t>
            </w:r>
          </w:p>
        </w:tc>
        <w:tc>
          <w:tcPr>
            <w:tcW w:w="2917" w:type="dxa"/>
            <w:tcBorders>
              <w:top w:val="single" w:color="FFFFFF" w:themeColor="background1" w:sz="4" w:space="0"/>
            </w:tcBorders>
            <w:vAlign w:val="center"/>
          </w:tcPr>
          <w:p w:rsidRPr="00E601E6" w:rsidR="005E3BD6" w:rsidP="00B4771C" w:rsidRDefault="005E3BD6" w14:paraId="5C4970AE" w14:textId="7A686345">
            <w:pPr>
              <w:jc w:val="center"/>
              <w:rPr>
                <w:rFonts w:ascii="Nunito Sans" w:hAnsi="Nunito Sans" w:eastAsia="Arial" w:cs="Calibri"/>
                <w:color w:val="000000" w:themeColor="text1"/>
                <w:sz w:val="18"/>
                <w:szCs w:val="18"/>
              </w:rPr>
            </w:pPr>
            <w:r w:rsidRPr="00B060A3">
              <w:rPr>
                <w:rFonts w:ascii="Nunito Sans" w:hAnsi="Nunito Sans" w:eastAsia="Arial" w:cs="Calibri"/>
                <w:b/>
                <w:bCs/>
                <w:color w:val="000000" w:themeColor="text1"/>
                <w:sz w:val="18"/>
                <w:szCs w:val="18"/>
              </w:rPr>
              <w:t>10:</w:t>
            </w:r>
            <w:r w:rsidRPr="00E601E6">
              <w:rPr>
                <w:rFonts w:ascii="Nunito Sans" w:hAnsi="Nunito Sans" w:eastAsia="Arial" w:cs="Calibri"/>
                <w:color w:val="000000" w:themeColor="text1"/>
                <w:sz w:val="18"/>
                <w:szCs w:val="18"/>
              </w:rPr>
              <w:t xml:space="preserve"> Fortalecer la gestión de riesgos tecnológicos, continuidad de los servicios de TI, seguridad de la información y ciberseguridad.</w:t>
            </w:r>
          </w:p>
        </w:tc>
        <w:tc>
          <w:tcPr>
            <w:tcW w:w="2465" w:type="dxa"/>
            <w:tcBorders>
              <w:top w:val="single" w:color="FFFFFF" w:themeColor="background1" w:sz="4" w:space="0"/>
            </w:tcBorders>
            <w:tcMar>
              <w:left w:w="70" w:type="dxa"/>
              <w:right w:w="70" w:type="dxa"/>
            </w:tcMar>
            <w:vAlign w:val="center"/>
          </w:tcPr>
          <w:p w:rsidRPr="00E601E6" w:rsidR="005E3BD6" w:rsidP="00B4771C" w:rsidRDefault="005E3BD6" w14:paraId="08749AE2"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Ambos proyectos cubren el fortalecimiento del MSPI. El alcance de la ANM es más amplio, incluyendo explícitamente la certificación y la arquitectura de seguridad en la nube.</w:t>
            </w:r>
          </w:p>
        </w:tc>
      </w:tr>
      <w:tr w:rsidRPr="00E601E6" w:rsidR="005E3BD6" w:rsidTr="00B060A3" w14:paraId="0E1001EE" w14:textId="77777777">
        <w:trPr>
          <w:trHeight w:val="1605"/>
        </w:trPr>
        <w:tc>
          <w:tcPr>
            <w:tcW w:w="2840" w:type="dxa"/>
            <w:tcMar>
              <w:left w:w="70" w:type="dxa"/>
              <w:right w:w="70" w:type="dxa"/>
            </w:tcMar>
            <w:vAlign w:val="center"/>
          </w:tcPr>
          <w:p w:rsidRPr="00E601E6" w:rsidR="005E3BD6" w:rsidP="00B4771C" w:rsidRDefault="005E3BD6" w14:paraId="0481EE8D" w14:textId="0C1C8E06">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lastRenderedPageBreak/>
              <w:t>113:</w:t>
            </w:r>
            <w:r w:rsidRPr="00E601E6">
              <w:rPr>
                <w:rFonts w:ascii="Nunito Sans" w:hAnsi="Nunito Sans" w:eastAsia="Arial" w:cs="Calibri"/>
                <w:color w:val="000000" w:themeColor="text1"/>
                <w:sz w:val="18"/>
                <w:szCs w:val="18"/>
              </w:rPr>
              <w:t xml:space="preserve"> Actualización y maduración del Modelo de Sistema de Gestión y Continuidad del Negocio del MINENERGÍA.</w:t>
            </w:r>
          </w:p>
        </w:tc>
        <w:tc>
          <w:tcPr>
            <w:tcW w:w="2917" w:type="dxa"/>
            <w:vAlign w:val="center"/>
          </w:tcPr>
          <w:p w:rsidRPr="00E601E6" w:rsidR="005E3BD6" w:rsidP="00B4771C" w:rsidRDefault="005E3BD6" w14:paraId="07A95B7C" w14:textId="3E814443">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10.5:</w:t>
            </w:r>
            <w:r w:rsidRPr="00E601E6">
              <w:rPr>
                <w:rFonts w:ascii="Nunito Sans" w:hAnsi="Nunito Sans" w:eastAsia="Arial" w:cs="Calibri"/>
                <w:color w:val="000000" w:themeColor="text1"/>
                <w:sz w:val="18"/>
                <w:szCs w:val="18"/>
              </w:rPr>
              <w:t xml:space="preserve"> Elaborar plan de continuidad de servicios de TI (PRD).</w:t>
            </w:r>
          </w:p>
        </w:tc>
        <w:tc>
          <w:tcPr>
            <w:tcW w:w="2465" w:type="dxa"/>
            <w:tcMar>
              <w:left w:w="70" w:type="dxa"/>
              <w:right w:w="70" w:type="dxa"/>
            </w:tcMar>
            <w:vAlign w:val="center"/>
          </w:tcPr>
          <w:p w:rsidRPr="00E601E6" w:rsidR="005E3BD6" w:rsidP="00B4771C" w:rsidRDefault="005E3BD6" w14:paraId="072769BC"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Iniciativas directamente alineadas para garantizar la continuidad de la operación ante desastres.</w:t>
            </w:r>
          </w:p>
        </w:tc>
      </w:tr>
    </w:tbl>
    <w:p w:rsidRPr="0038010D" w:rsidR="005E3BD6" w:rsidP="005E3BD6" w:rsidRDefault="005E3BD6" w14:paraId="1726B68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4334C27D" w14:textId="77777777">
      <w:pPr>
        <w:ind w:left="426"/>
        <w:jc w:val="both"/>
        <w:rPr>
          <w:rFonts w:ascii="Nunito Sans" w:hAnsi="Nunito Sans" w:cs="Calibri" w:eastAsiaTheme="minorEastAsia"/>
          <w:i/>
          <w:iCs/>
          <w:color w:val="FF0000"/>
          <w:sz w:val="22"/>
          <w:szCs w:val="22"/>
          <w:lang w:val="es-ES"/>
        </w:rPr>
      </w:pPr>
    </w:p>
    <w:p w:rsidRPr="00E601E6" w:rsidR="005E3BD6" w:rsidP="005E3BD6" w:rsidRDefault="005E3BD6" w14:paraId="5A161BC3" w14:textId="77777777">
      <w:pPr>
        <w:pStyle w:val="Prrafodelista"/>
        <w:ind w:left="709" w:hanging="283"/>
        <w:jc w:val="both"/>
        <w:rPr>
          <w:rFonts w:ascii="Nunito Sans" w:hAnsi="Nunito Sans" w:eastAsia="Arial" w:cs="Calibri"/>
          <w:sz w:val="22"/>
          <w:szCs w:val="22"/>
          <w:lang w:val="es-ES"/>
        </w:rPr>
      </w:pPr>
      <w:r w:rsidRPr="761B0734">
        <w:rPr>
          <w:rFonts w:ascii="Nunito Sans" w:hAnsi="Nunito Sans" w:eastAsia="Arial" w:cs="Calibri"/>
          <w:b/>
          <w:bCs/>
          <w:sz w:val="22"/>
          <w:szCs w:val="22"/>
          <w:lang w:val="es-ES"/>
        </w:rPr>
        <w:t>Eje Estratégico 3: Gestión de Información, Gobierno de Datos e Interoperabilidad</w:t>
      </w:r>
    </w:p>
    <w:p w:rsidR="005E3BD6" w:rsidP="005E3BD6" w:rsidRDefault="005E3BD6" w14:paraId="1D33E654"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6B17D9DD"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MME busca implementar el modelo de gobierno de datos formulado por la UPME, y la ANM también se alinea a esta directriz. La ANM, además, tiene un fuerte componente de fortalecimiento de su Infraestructura de Datos Espaciales (IDE), algo que el MME también contempla.</w:t>
      </w:r>
    </w:p>
    <w:p w:rsidR="005E3BD6" w:rsidP="005E3BD6" w:rsidRDefault="005E3BD6" w14:paraId="0D0DD9B7" w14:textId="77777777">
      <w:pPr>
        <w:jc w:val="both"/>
        <w:rPr>
          <w:rFonts w:ascii="Nunito Sans" w:hAnsi="Nunito Sans" w:eastAsia="Arial" w:cs="Calibri"/>
          <w:sz w:val="22"/>
          <w:szCs w:val="22"/>
          <w:lang w:val="es-ES"/>
        </w:rPr>
      </w:pPr>
    </w:p>
    <w:p w:rsidRPr="00EB43A6" w:rsidR="005E3BD6" w:rsidP="005E3BD6" w:rsidRDefault="007B46BE" w14:paraId="676600A5" w14:textId="53D10F03">
      <w:pPr>
        <w:ind w:left="360" w:hanging="360"/>
        <w:jc w:val="center"/>
        <w:rPr>
          <w:rFonts w:ascii="Nunito Sans" w:hAnsi="Nunito Sans" w:cs="Calibri"/>
          <w:b/>
          <w:bCs/>
          <w:sz w:val="18"/>
          <w:szCs w:val="18"/>
        </w:rPr>
      </w:pPr>
      <w:bookmarkStart w:name="_Toc220664207" w:id="329"/>
      <w:r w:rsidRPr="007B46BE">
        <w:rPr>
          <w:rFonts w:ascii="Nunito Sans" w:hAnsi="Nunito Sans" w:cs="Calibri"/>
          <w:b/>
          <w:bCs/>
          <w:sz w:val="18"/>
          <w:szCs w:val="18"/>
        </w:rPr>
        <w:t xml:space="preserve">Tabla </w:t>
      </w:r>
      <w:r w:rsidRPr="007B46BE">
        <w:rPr>
          <w:rFonts w:ascii="Nunito Sans" w:hAnsi="Nunito Sans" w:cs="Calibri"/>
          <w:b/>
          <w:bCs/>
          <w:sz w:val="18"/>
          <w:szCs w:val="18"/>
        </w:rPr>
        <w:fldChar w:fldCharType="begin"/>
      </w:r>
      <w:r w:rsidRPr="007B46BE">
        <w:rPr>
          <w:rFonts w:ascii="Nunito Sans" w:hAnsi="Nunito Sans" w:cs="Calibri"/>
          <w:b/>
          <w:bCs/>
          <w:sz w:val="18"/>
          <w:szCs w:val="18"/>
        </w:rPr>
        <w:instrText xml:space="preserve"> SEQ Tabla \* ARABIC </w:instrText>
      </w:r>
      <w:r w:rsidRPr="007B46BE">
        <w:rPr>
          <w:rFonts w:ascii="Nunito Sans" w:hAnsi="Nunito Sans" w:cs="Calibri"/>
          <w:b/>
          <w:bCs/>
          <w:sz w:val="18"/>
          <w:szCs w:val="18"/>
        </w:rPr>
        <w:fldChar w:fldCharType="separate"/>
      </w:r>
      <w:r w:rsidR="00C57F7B">
        <w:rPr>
          <w:rFonts w:ascii="Nunito Sans" w:hAnsi="Nunito Sans" w:cs="Calibri"/>
          <w:b/>
          <w:bCs/>
          <w:noProof/>
          <w:sz w:val="18"/>
          <w:szCs w:val="18"/>
        </w:rPr>
        <w:t>36</w:t>
      </w:r>
      <w:r w:rsidRPr="007B46BE">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ANM en el Eje 3</w:t>
      </w:r>
      <w:bookmarkEnd w:id="329"/>
    </w:p>
    <w:tbl>
      <w:tblPr>
        <w:tblW w:w="8222" w:type="dxa"/>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3119"/>
        <w:gridCol w:w="2693"/>
        <w:gridCol w:w="2410"/>
      </w:tblGrid>
      <w:tr w:rsidRPr="00E601E6" w:rsidR="005E3BD6" w:rsidTr="00E564FA" w14:paraId="1BBD1C45" w14:textId="77777777">
        <w:trPr>
          <w:trHeight w:val="630"/>
        </w:trPr>
        <w:tc>
          <w:tcPr>
            <w:tcW w:w="311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4F339880"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Ministerio de Minas</w:t>
            </w:r>
          </w:p>
          <w:p w:rsidRPr="00E601E6" w:rsidR="005E3BD6" w:rsidP="00B4771C" w:rsidRDefault="005E3BD6" w14:paraId="096E492F"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y Energía (MME)</w:t>
            </w:r>
          </w:p>
        </w:tc>
        <w:tc>
          <w:tcPr>
            <w:tcW w:w="26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005E3BD6" w:rsidP="00B4771C" w:rsidRDefault="005E3BD6" w14:paraId="66FA4C04"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 xml:space="preserve">Agencia Nacional </w:t>
            </w:r>
          </w:p>
          <w:p w:rsidRPr="00E601E6" w:rsidR="005E3BD6" w:rsidP="00B4771C" w:rsidRDefault="005E3BD6" w14:paraId="2B431B48"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de Minería (ANM)</w:t>
            </w:r>
          </w:p>
        </w:tc>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E601E6" w:rsidR="005E3BD6" w:rsidP="00B4771C" w:rsidRDefault="005E3BD6" w14:paraId="487A6D3A" w14:textId="77777777">
            <w:pPr>
              <w:jc w:val="center"/>
              <w:rPr>
                <w:rFonts w:ascii="Nunito Sans" w:hAnsi="Nunito Sans" w:eastAsia="Arial" w:cs="Calibri"/>
                <w:b/>
                <w:bCs/>
                <w:color w:val="FFFFFF" w:themeColor="background1"/>
                <w:sz w:val="18"/>
                <w:szCs w:val="18"/>
              </w:rPr>
            </w:pPr>
            <w:r w:rsidRPr="00E601E6">
              <w:rPr>
                <w:rFonts w:ascii="Nunito Sans" w:hAnsi="Nunito Sans" w:eastAsia="Arial" w:cs="Calibri"/>
                <w:b/>
                <w:bCs/>
                <w:color w:val="FFFFFF" w:themeColor="background1"/>
                <w:sz w:val="18"/>
                <w:szCs w:val="18"/>
              </w:rPr>
              <w:t>Observaciones de Arquitectura</w:t>
            </w:r>
          </w:p>
        </w:tc>
      </w:tr>
      <w:tr w:rsidRPr="00E601E6" w:rsidR="005E3BD6" w:rsidTr="00E564FA" w14:paraId="04BB8F49" w14:textId="77777777">
        <w:trPr>
          <w:trHeight w:val="2085"/>
        </w:trPr>
        <w:tc>
          <w:tcPr>
            <w:tcW w:w="3119" w:type="dxa"/>
            <w:tcBorders>
              <w:top w:val="single" w:color="FFFFFF" w:themeColor="background1" w:sz="4" w:space="0"/>
            </w:tcBorders>
            <w:tcMar>
              <w:left w:w="70" w:type="dxa"/>
              <w:right w:w="70" w:type="dxa"/>
            </w:tcMar>
            <w:vAlign w:val="center"/>
          </w:tcPr>
          <w:p w:rsidRPr="00E601E6" w:rsidR="005E3BD6" w:rsidP="00B4771C" w:rsidRDefault="005E3BD6" w14:paraId="40F24082" w14:textId="00248E25">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102:</w:t>
            </w:r>
            <w:r w:rsidRPr="00E601E6">
              <w:rPr>
                <w:rFonts w:ascii="Nunito Sans" w:hAnsi="Nunito Sans" w:eastAsia="Arial" w:cs="Calibri"/>
                <w:color w:val="000000" w:themeColor="text1"/>
                <w:sz w:val="18"/>
                <w:szCs w:val="18"/>
              </w:rPr>
              <w:t xml:space="preserve"> Fortalecimiento para la Implementación del gobierno de datos conforme a los lineamientos sectoriales.</w:t>
            </w:r>
          </w:p>
        </w:tc>
        <w:tc>
          <w:tcPr>
            <w:tcW w:w="2693" w:type="dxa"/>
            <w:tcBorders>
              <w:top w:val="single" w:color="FFFFFF" w:themeColor="background1" w:sz="4" w:space="0"/>
            </w:tcBorders>
            <w:vAlign w:val="center"/>
          </w:tcPr>
          <w:p w:rsidRPr="00E601E6" w:rsidR="005E3BD6" w:rsidP="00B4771C" w:rsidRDefault="005E3BD6" w14:paraId="28A192F8" w14:textId="156DBFB7">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16:</w:t>
            </w:r>
            <w:r w:rsidRPr="00E601E6">
              <w:rPr>
                <w:rFonts w:ascii="Nunito Sans" w:hAnsi="Nunito Sans" w:eastAsia="Arial" w:cs="Calibri"/>
                <w:color w:val="000000" w:themeColor="text1"/>
                <w:sz w:val="18"/>
                <w:szCs w:val="18"/>
              </w:rPr>
              <w:t xml:space="preserve"> Fortalecimiento de la Gestión de información y aprovechamiento de los datos en la ANM. (Implementar Gobierno de datos, analítica, IDE, Datos Abiertos).</w:t>
            </w:r>
          </w:p>
        </w:tc>
        <w:tc>
          <w:tcPr>
            <w:tcW w:w="2410" w:type="dxa"/>
            <w:tcBorders>
              <w:top w:val="single" w:color="FFFFFF" w:themeColor="background1" w:sz="4" w:space="0"/>
            </w:tcBorders>
            <w:tcMar>
              <w:left w:w="70" w:type="dxa"/>
              <w:right w:w="70" w:type="dxa"/>
            </w:tcMar>
            <w:vAlign w:val="center"/>
          </w:tcPr>
          <w:p w:rsidRPr="00E601E6" w:rsidR="005E3BD6" w:rsidP="00B4771C" w:rsidRDefault="005E3BD6" w14:paraId="59900278"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La ANM y el MME están ejecutando la misma estrategia de gobierno de datos.</w:t>
            </w:r>
          </w:p>
        </w:tc>
      </w:tr>
      <w:tr w:rsidRPr="00E601E6" w:rsidR="005E3BD6" w:rsidTr="00B4771C" w14:paraId="74486294" w14:textId="77777777">
        <w:trPr>
          <w:trHeight w:val="1418"/>
        </w:trPr>
        <w:tc>
          <w:tcPr>
            <w:tcW w:w="3119" w:type="dxa"/>
            <w:tcMar>
              <w:left w:w="70" w:type="dxa"/>
              <w:right w:w="70" w:type="dxa"/>
            </w:tcMar>
            <w:vAlign w:val="center"/>
          </w:tcPr>
          <w:p w:rsidRPr="00E601E6" w:rsidR="005E3BD6" w:rsidP="00B4771C" w:rsidRDefault="005E3BD6" w14:paraId="2A74A742" w14:textId="6E258206">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101 y 103:</w:t>
            </w:r>
            <w:r w:rsidRPr="00E601E6">
              <w:rPr>
                <w:rFonts w:ascii="Nunito Sans" w:hAnsi="Nunito Sans" w:eastAsia="Arial" w:cs="Calibri"/>
                <w:color w:val="000000" w:themeColor="text1"/>
                <w:sz w:val="18"/>
                <w:szCs w:val="18"/>
              </w:rPr>
              <w:t xml:space="preserve"> Implementación e Evolución del Marco de Interoperabilidad.</w:t>
            </w:r>
          </w:p>
        </w:tc>
        <w:tc>
          <w:tcPr>
            <w:tcW w:w="2693" w:type="dxa"/>
            <w:vAlign w:val="center"/>
          </w:tcPr>
          <w:p w:rsidRPr="00E601E6" w:rsidR="005E3BD6" w:rsidP="00B4771C" w:rsidRDefault="005E3BD6" w14:paraId="58414A3E" w14:textId="2E6091A5">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16.6:</w:t>
            </w:r>
            <w:r w:rsidRPr="00E601E6">
              <w:rPr>
                <w:rFonts w:ascii="Nunito Sans" w:hAnsi="Nunito Sans" w:eastAsia="Arial" w:cs="Calibri"/>
                <w:color w:val="000000" w:themeColor="text1"/>
                <w:sz w:val="18"/>
                <w:szCs w:val="18"/>
              </w:rPr>
              <w:t xml:space="preserve"> Implementación de servicios digitales de intercambio de información.</w:t>
            </w:r>
          </w:p>
        </w:tc>
        <w:tc>
          <w:tcPr>
            <w:tcW w:w="2410" w:type="dxa"/>
            <w:tcMar>
              <w:left w:w="70" w:type="dxa"/>
              <w:right w:w="70" w:type="dxa"/>
            </w:tcMar>
            <w:vAlign w:val="center"/>
          </w:tcPr>
          <w:p w:rsidRPr="00E601E6" w:rsidR="005E3BD6" w:rsidP="00B4771C" w:rsidRDefault="005E3BD6" w14:paraId="5BCA205C"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Ambos buscan mejorar el intercambio de información. El MME se enfoca en la conexión con la plataforma del estado, mientras la ANM lo hace desde una necesidad institucional y sectorial.</w:t>
            </w:r>
          </w:p>
        </w:tc>
      </w:tr>
      <w:tr w:rsidRPr="00E601E6" w:rsidR="005E3BD6" w:rsidTr="00B4771C" w14:paraId="46E2D5A3" w14:textId="77777777">
        <w:trPr>
          <w:trHeight w:val="1545"/>
        </w:trPr>
        <w:tc>
          <w:tcPr>
            <w:tcW w:w="3119" w:type="dxa"/>
            <w:tcMar>
              <w:left w:w="70" w:type="dxa"/>
              <w:right w:w="70" w:type="dxa"/>
            </w:tcMar>
            <w:vAlign w:val="center"/>
          </w:tcPr>
          <w:p w:rsidRPr="00E601E6" w:rsidR="005E3BD6" w:rsidP="00B4771C" w:rsidRDefault="005E3BD6" w14:paraId="17FABCF5" w14:textId="2FFA22A2">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109:</w:t>
            </w:r>
            <w:r w:rsidRPr="00E601E6">
              <w:rPr>
                <w:rFonts w:ascii="Nunito Sans" w:hAnsi="Nunito Sans" w:eastAsia="Arial" w:cs="Calibri"/>
                <w:color w:val="000000" w:themeColor="text1"/>
                <w:sz w:val="18"/>
                <w:szCs w:val="18"/>
              </w:rPr>
              <w:t xml:space="preserve"> Consolidar la IDE del Ministerio de Minas y Energía.</w:t>
            </w:r>
          </w:p>
        </w:tc>
        <w:tc>
          <w:tcPr>
            <w:tcW w:w="2693" w:type="dxa"/>
            <w:vAlign w:val="center"/>
          </w:tcPr>
          <w:p w:rsidRPr="00E601E6" w:rsidR="005E3BD6" w:rsidP="00B4771C" w:rsidRDefault="005E3BD6" w14:paraId="092FB9C8" w14:textId="49C037B2">
            <w:pPr>
              <w:jc w:val="center"/>
              <w:rPr>
                <w:rFonts w:ascii="Nunito Sans" w:hAnsi="Nunito Sans" w:eastAsia="Arial" w:cs="Calibri"/>
                <w:color w:val="000000" w:themeColor="text1"/>
                <w:sz w:val="18"/>
                <w:szCs w:val="18"/>
              </w:rPr>
            </w:pPr>
            <w:r w:rsidRPr="000F47E9">
              <w:rPr>
                <w:rFonts w:ascii="Nunito Sans" w:hAnsi="Nunito Sans" w:eastAsia="Arial" w:cs="Calibri"/>
                <w:b/>
                <w:bCs/>
                <w:color w:val="000000" w:themeColor="text1"/>
                <w:sz w:val="18"/>
                <w:szCs w:val="18"/>
              </w:rPr>
              <w:t>16.8:</w:t>
            </w:r>
            <w:r w:rsidRPr="00E601E6">
              <w:rPr>
                <w:rFonts w:ascii="Nunito Sans" w:hAnsi="Nunito Sans" w:eastAsia="Arial" w:cs="Calibri"/>
                <w:color w:val="000000" w:themeColor="text1"/>
                <w:sz w:val="18"/>
                <w:szCs w:val="18"/>
              </w:rPr>
              <w:t xml:space="preserve"> Fortalecimiento de capacidades para la Infraestructura de Datos Espaciales (IDE).</w:t>
            </w:r>
          </w:p>
        </w:tc>
        <w:tc>
          <w:tcPr>
            <w:tcW w:w="2410" w:type="dxa"/>
            <w:tcMar>
              <w:left w:w="70" w:type="dxa"/>
              <w:right w:w="70" w:type="dxa"/>
            </w:tcMar>
            <w:vAlign w:val="center"/>
          </w:tcPr>
          <w:p w:rsidRPr="00E601E6" w:rsidR="005E3BD6" w:rsidP="00B4771C" w:rsidRDefault="005E3BD6" w14:paraId="06F6D8AB" w14:textId="77777777">
            <w:pPr>
              <w:jc w:val="center"/>
              <w:rPr>
                <w:rFonts w:ascii="Nunito Sans" w:hAnsi="Nunito Sans" w:eastAsia="Arial" w:cs="Calibri"/>
                <w:color w:val="000000" w:themeColor="text1"/>
                <w:sz w:val="18"/>
                <w:szCs w:val="18"/>
              </w:rPr>
            </w:pPr>
            <w:r w:rsidRPr="00E601E6">
              <w:rPr>
                <w:rFonts w:ascii="Nunito Sans" w:hAnsi="Nunito Sans" w:eastAsia="Arial" w:cs="Calibri"/>
                <w:color w:val="000000" w:themeColor="text1"/>
                <w:sz w:val="18"/>
                <w:szCs w:val="18"/>
              </w:rPr>
              <w:t>Proyectos paralelos con un objetivo común. Es vital que definan un modelo de datos espaciales unificado para el sector.</w:t>
            </w:r>
          </w:p>
        </w:tc>
      </w:tr>
    </w:tbl>
    <w:p w:rsidRPr="000A3312" w:rsidR="005E3BD6" w:rsidP="005E3BD6" w:rsidRDefault="005E3BD6" w14:paraId="072AACEE"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0B38CA5B" w14:textId="77777777">
      <w:pPr>
        <w:ind w:left="426"/>
        <w:jc w:val="both"/>
        <w:rPr>
          <w:rFonts w:ascii="Nunito Sans" w:hAnsi="Nunito Sans" w:cs="Calibri" w:eastAsiaTheme="minorEastAsia"/>
          <w:i/>
          <w:iCs/>
          <w:color w:val="FF0000"/>
          <w:sz w:val="22"/>
          <w:szCs w:val="22"/>
          <w:lang w:val="es-ES"/>
        </w:rPr>
      </w:pPr>
    </w:p>
    <w:p w:rsidRPr="00E601E6" w:rsidR="005E3BD6" w:rsidP="005E3BD6" w:rsidRDefault="005E3BD6" w14:paraId="1CB7B8C3" w14:textId="77777777">
      <w:pPr>
        <w:pStyle w:val="Prrafodelista"/>
        <w:ind w:left="851" w:hanging="425"/>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4: Modernización de Infraestructura y Plataforma Tecnológica</w:t>
      </w:r>
    </w:p>
    <w:p w:rsidR="005E3BD6" w:rsidP="005E3BD6" w:rsidRDefault="005E3BD6" w14:paraId="4F37D10E"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2B5BD31D"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Ambas entidades están planeando una migración a la nube. Sería beneficioso estandarizar la plataforma tecnológica base del sector, facilitando futuras integraciones.</w:t>
      </w:r>
    </w:p>
    <w:p w:rsidR="005E3BD6" w:rsidP="005E3BD6" w:rsidRDefault="005E3BD6" w14:paraId="7CBECEE1" w14:textId="77777777">
      <w:pPr>
        <w:ind w:left="426"/>
        <w:jc w:val="both"/>
        <w:rPr>
          <w:rFonts w:ascii="Nunito Sans" w:hAnsi="Nunito Sans" w:cs="Calibri" w:eastAsiaTheme="minorEastAsia"/>
          <w:i/>
          <w:iCs/>
          <w:color w:val="FF0000"/>
          <w:sz w:val="22"/>
          <w:szCs w:val="22"/>
          <w:lang w:val="es-ES"/>
        </w:rPr>
      </w:pPr>
    </w:p>
    <w:p w:rsidRPr="00EB43A6" w:rsidR="005E3BD6" w:rsidP="005E3BD6" w:rsidRDefault="007B46BE" w14:paraId="3F139BA7" w14:textId="239AC826">
      <w:pPr>
        <w:ind w:left="360" w:hanging="360"/>
        <w:jc w:val="center"/>
        <w:rPr>
          <w:rFonts w:ascii="Nunito Sans" w:hAnsi="Nunito Sans" w:cs="Calibri"/>
          <w:b/>
          <w:bCs/>
          <w:sz w:val="18"/>
          <w:szCs w:val="18"/>
        </w:rPr>
      </w:pPr>
      <w:bookmarkStart w:name="_Toc220664208" w:id="330"/>
      <w:r w:rsidRPr="007B46BE">
        <w:rPr>
          <w:rFonts w:ascii="Nunito Sans" w:hAnsi="Nunito Sans" w:cs="Calibri"/>
          <w:b/>
          <w:bCs/>
          <w:sz w:val="18"/>
          <w:szCs w:val="18"/>
        </w:rPr>
        <w:t xml:space="preserve">Tabla </w:t>
      </w:r>
      <w:r w:rsidRPr="007B46BE">
        <w:rPr>
          <w:rFonts w:ascii="Nunito Sans" w:hAnsi="Nunito Sans" w:cs="Calibri"/>
          <w:b/>
          <w:bCs/>
          <w:sz w:val="18"/>
          <w:szCs w:val="18"/>
        </w:rPr>
        <w:fldChar w:fldCharType="begin"/>
      </w:r>
      <w:r w:rsidRPr="007B46BE">
        <w:rPr>
          <w:rFonts w:ascii="Nunito Sans" w:hAnsi="Nunito Sans" w:cs="Calibri"/>
          <w:b/>
          <w:bCs/>
          <w:sz w:val="18"/>
          <w:szCs w:val="18"/>
        </w:rPr>
        <w:instrText xml:space="preserve"> SEQ Tabla \* ARABIC </w:instrText>
      </w:r>
      <w:r w:rsidRPr="007B46BE">
        <w:rPr>
          <w:rFonts w:ascii="Nunito Sans" w:hAnsi="Nunito Sans" w:cs="Calibri"/>
          <w:b/>
          <w:bCs/>
          <w:sz w:val="18"/>
          <w:szCs w:val="18"/>
        </w:rPr>
        <w:fldChar w:fldCharType="separate"/>
      </w:r>
      <w:r w:rsidR="00C57F7B">
        <w:rPr>
          <w:rFonts w:ascii="Nunito Sans" w:hAnsi="Nunito Sans" w:cs="Calibri"/>
          <w:b/>
          <w:bCs/>
          <w:noProof/>
          <w:sz w:val="18"/>
          <w:szCs w:val="18"/>
        </w:rPr>
        <w:t>37</w:t>
      </w:r>
      <w:r w:rsidRPr="007B46BE">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ANM en el Eje 4</w:t>
      </w:r>
      <w:bookmarkEnd w:id="330"/>
    </w:p>
    <w:tbl>
      <w:tblPr>
        <w:tblW w:w="8252" w:type="dxa"/>
        <w:tblInd w:w="557"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797"/>
        <w:gridCol w:w="2797"/>
        <w:gridCol w:w="2658"/>
      </w:tblGrid>
      <w:tr w:rsidRPr="00960351" w:rsidR="005E3BD6" w:rsidTr="00E564FA" w14:paraId="157F3745" w14:textId="77777777">
        <w:trPr>
          <w:trHeight w:val="739"/>
        </w:trPr>
        <w:tc>
          <w:tcPr>
            <w:tcW w:w="279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60351" w:rsidR="005E3BD6" w:rsidP="00B4771C" w:rsidRDefault="005E3BD6" w14:paraId="6E4730B4"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Ministerio de Minas</w:t>
            </w:r>
          </w:p>
          <w:p w:rsidRPr="00960351" w:rsidR="005E3BD6" w:rsidP="00B4771C" w:rsidRDefault="005E3BD6" w14:paraId="3C245DD4"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y Energía (MME)</w:t>
            </w:r>
          </w:p>
        </w:tc>
        <w:tc>
          <w:tcPr>
            <w:tcW w:w="279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960351" w:rsidR="005E3BD6" w:rsidP="00B4771C" w:rsidRDefault="005E3BD6" w14:paraId="5A307258"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Agencia Nacional</w:t>
            </w:r>
          </w:p>
          <w:p w:rsidRPr="00960351" w:rsidR="005E3BD6" w:rsidP="00B4771C" w:rsidRDefault="005E3BD6" w14:paraId="0F9F7C21"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de Minería (ANM)</w:t>
            </w:r>
          </w:p>
        </w:tc>
        <w:tc>
          <w:tcPr>
            <w:tcW w:w="265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960351" w:rsidR="005E3BD6" w:rsidP="00B4771C" w:rsidRDefault="005E3BD6" w14:paraId="7469AF83"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Observaciones de Arquitectura</w:t>
            </w:r>
          </w:p>
        </w:tc>
      </w:tr>
      <w:tr w:rsidRPr="00960351" w:rsidR="005E3BD6" w:rsidTr="00E564FA" w14:paraId="3D07D89B" w14:textId="77777777">
        <w:trPr>
          <w:trHeight w:val="909"/>
        </w:trPr>
        <w:tc>
          <w:tcPr>
            <w:tcW w:w="2797" w:type="dxa"/>
            <w:tcBorders>
              <w:top w:val="single" w:color="FFFFFF" w:themeColor="background1" w:sz="4" w:space="0"/>
            </w:tcBorders>
            <w:vAlign w:val="center"/>
          </w:tcPr>
          <w:p w:rsidRPr="00960351" w:rsidR="005E3BD6" w:rsidP="00B4771C" w:rsidRDefault="005E3BD6" w14:paraId="4C77FD26" w14:textId="1F9DDA24">
            <w:pPr>
              <w:jc w:val="center"/>
              <w:rPr>
                <w:rFonts w:ascii="Nunito Sans" w:hAnsi="Nunito Sans" w:eastAsia="Arial" w:cs="Calibri"/>
                <w:color w:val="000000" w:themeColor="text1"/>
                <w:sz w:val="18"/>
                <w:szCs w:val="18"/>
              </w:rPr>
            </w:pPr>
            <w:r w:rsidRPr="00AA6DC8">
              <w:rPr>
                <w:rFonts w:ascii="Nunito Sans" w:hAnsi="Nunito Sans" w:eastAsia="Arial" w:cs="Calibri"/>
                <w:b/>
                <w:bCs/>
                <w:color w:val="000000" w:themeColor="text1"/>
                <w:sz w:val="18"/>
                <w:szCs w:val="18"/>
              </w:rPr>
              <w:t>106:</w:t>
            </w:r>
            <w:r w:rsidRPr="00960351">
              <w:rPr>
                <w:rFonts w:ascii="Nunito Sans" w:hAnsi="Nunito Sans" w:eastAsia="Arial" w:cs="Calibri"/>
                <w:color w:val="000000" w:themeColor="text1"/>
                <w:sz w:val="18"/>
                <w:szCs w:val="18"/>
              </w:rPr>
              <w:t xml:space="preserve"> Adquisición de infraestructura tecnológica de Software, hardware y Soluciones Integrales.</w:t>
            </w:r>
          </w:p>
        </w:tc>
        <w:tc>
          <w:tcPr>
            <w:tcW w:w="2797" w:type="dxa"/>
            <w:tcBorders>
              <w:top w:val="single" w:color="FFFFFF" w:themeColor="background1" w:sz="4" w:space="0"/>
            </w:tcBorders>
            <w:tcMar>
              <w:left w:w="70" w:type="dxa"/>
              <w:right w:w="70" w:type="dxa"/>
            </w:tcMar>
            <w:vAlign w:val="center"/>
          </w:tcPr>
          <w:p w:rsidRPr="00960351" w:rsidR="005E3BD6" w:rsidP="00B4771C" w:rsidRDefault="005E3BD6" w14:paraId="323785A7" w14:textId="5A34AB37">
            <w:pPr>
              <w:jc w:val="center"/>
              <w:rPr>
                <w:rFonts w:ascii="Nunito Sans" w:hAnsi="Nunito Sans" w:eastAsia="Arial" w:cs="Calibri"/>
                <w:color w:val="000000" w:themeColor="text1"/>
                <w:sz w:val="18"/>
                <w:szCs w:val="18"/>
              </w:rPr>
            </w:pPr>
            <w:r w:rsidRPr="00AA6DC8">
              <w:rPr>
                <w:rFonts w:ascii="Nunito Sans" w:hAnsi="Nunito Sans" w:eastAsia="Arial" w:cs="Calibri"/>
                <w:b/>
                <w:bCs/>
                <w:color w:val="000000" w:themeColor="text1"/>
                <w:sz w:val="18"/>
                <w:szCs w:val="18"/>
              </w:rPr>
              <w:t>12:</w:t>
            </w:r>
            <w:r w:rsidRPr="00960351">
              <w:rPr>
                <w:rFonts w:ascii="Nunito Sans" w:hAnsi="Nunito Sans" w:eastAsia="Arial" w:cs="Calibri"/>
                <w:color w:val="000000" w:themeColor="text1"/>
                <w:sz w:val="18"/>
                <w:szCs w:val="18"/>
              </w:rPr>
              <w:t xml:space="preserve"> Fortalecer la operación, la infraestructura y plataforma tecnológica. (Modernizar plataforma, crear capacidad de nube híbrida, monitoreo).</w:t>
            </w:r>
          </w:p>
        </w:tc>
        <w:tc>
          <w:tcPr>
            <w:tcW w:w="2658" w:type="dxa"/>
            <w:tcBorders>
              <w:top w:val="single" w:color="FFFFFF" w:themeColor="background1" w:sz="4" w:space="0"/>
            </w:tcBorders>
            <w:tcMar>
              <w:left w:w="70" w:type="dxa"/>
              <w:right w:w="70" w:type="dxa"/>
            </w:tcMar>
            <w:vAlign w:val="center"/>
          </w:tcPr>
          <w:p w:rsidRPr="00960351" w:rsidR="005E3BD6" w:rsidP="00B4771C" w:rsidRDefault="005E3BD6" w14:paraId="170F3242" w14:textId="77777777">
            <w:pPr>
              <w:jc w:val="center"/>
              <w:rPr>
                <w:rFonts w:ascii="Nunito Sans" w:hAnsi="Nunito Sans" w:eastAsia="Arial" w:cs="Calibri"/>
                <w:color w:val="000000" w:themeColor="text1"/>
                <w:sz w:val="18"/>
                <w:szCs w:val="18"/>
              </w:rPr>
            </w:pPr>
            <w:r w:rsidRPr="00960351">
              <w:rPr>
                <w:rFonts w:ascii="Nunito Sans" w:hAnsi="Nunito Sans" w:eastAsia="Arial" w:cs="Calibri"/>
                <w:color w:val="000000" w:themeColor="text1"/>
                <w:sz w:val="18"/>
                <w:szCs w:val="18"/>
              </w:rPr>
              <w:t>Ambos proyectos buscan renovar su base tecnológica para garantizar la operación.</w:t>
            </w:r>
          </w:p>
        </w:tc>
      </w:tr>
      <w:tr w:rsidRPr="00960351" w:rsidR="005E3BD6" w:rsidTr="00B4771C" w14:paraId="5B289F29" w14:textId="77777777">
        <w:trPr>
          <w:trHeight w:val="1417"/>
        </w:trPr>
        <w:tc>
          <w:tcPr>
            <w:tcW w:w="2797" w:type="dxa"/>
            <w:vAlign w:val="center"/>
          </w:tcPr>
          <w:p w:rsidRPr="00960351" w:rsidR="005E3BD6" w:rsidP="00B4771C" w:rsidRDefault="005E3BD6" w14:paraId="710D88D9" w14:textId="56C4E291">
            <w:pPr>
              <w:jc w:val="center"/>
              <w:rPr>
                <w:rFonts w:ascii="Nunito Sans" w:hAnsi="Nunito Sans" w:eastAsia="Arial" w:cs="Calibri"/>
                <w:color w:val="000000" w:themeColor="text1"/>
                <w:sz w:val="18"/>
                <w:szCs w:val="18"/>
              </w:rPr>
            </w:pPr>
            <w:r w:rsidRPr="00AA6DC8">
              <w:rPr>
                <w:rFonts w:ascii="Nunito Sans" w:hAnsi="Nunito Sans" w:eastAsia="Arial" w:cs="Calibri"/>
                <w:b/>
                <w:bCs/>
                <w:color w:val="000000" w:themeColor="text1"/>
                <w:sz w:val="18"/>
                <w:szCs w:val="18"/>
              </w:rPr>
              <w:t>108:</w:t>
            </w:r>
            <w:r w:rsidRPr="00960351">
              <w:rPr>
                <w:rFonts w:ascii="Nunito Sans" w:hAnsi="Nunito Sans" w:eastAsia="Arial" w:cs="Calibri"/>
                <w:color w:val="000000" w:themeColor="text1"/>
                <w:sz w:val="18"/>
                <w:szCs w:val="18"/>
              </w:rPr>
              <w:t xml:space="preserve"> Implementar una solución para respaldo y almacenamiento de información en ambiente de nube.</w:t>
            </w:r>
          </w:p>
        </w:tc>
        <w:tc>
          <w:tcPr>
            <w:tcW w:w="2797" w:type="dxa"/>
            <w:tcMar>
              <w:left w:w="70" w:type="dxa"/>
              <w:right w:w="70" w:type="dxa"/>
            </w:tcMar>
            <w:vAlign w:val="center"/>
          </w:tcPr>
          <w:p w:rsidRPr="00960351" w:rsidR="005E3BD6" w:rsidP="00B4771C" w:rsidRDefault="005E3BD6" w14:paraId="2F47E52B" w14:textId="31995551">
            <w:pPr>
              <w:jc w:val="center"/>
              <w:rPr>
                <w:rFonts w:ascii="Nunito Sans" w:hAnsi="Nunito Sans" w:eastAsia="Arial" w:cs="Calibri"/>
                <w:color w:val="000000" w:themeColor="text1"/>
                <w:sz w:val="18"/>
                <w:szCs w:val="18"/>
              </w:rPr>
            </w:pPr>
            <w:r w:rsidRPr="00AA6DC8">
              <w:rPr>
                <w:rFonts w:ascii="Nunito Sans" w:hAnsi="Nunito Sans" w:eastAsia="Arial" w:cs="Calibri"/>
                <w:b/>
                <w:bCs/>
                <w:color w:val="000000" w:themeColor="text1"/>
                <w:sz w:val="18"/>
                <w:szCs w:val="18"/>
              </w:rPr>
              <w:t>12.9 y 12.10:</w:t>
            </w:r>
            <w:r w:rsidRPr="00960351">
              <w:rPr>
                <w:rFonts w:ascii="Nunito Sans" w:hAnsi="Nunito Sans" w:eastAsia="Arial" w:cs="Calibri"/>
                <w:color w:val="000000" w:themeColor="text1"/>
                <w:sz w:val="18"/>
                <w:szCs w:val="18"/>
              </w:rPr>
              <w:t xml:space="preserve"> Crear capacidad de nube híbrida multicloud y migrar servicios seleccionados.</w:t>
            </w:r>
          </w:p>
        </w:tc>
        <w:tc>
          <w:tcPr>
            <w:tcW w:w="2658" w:type="dxa"/>
            <w:tcMar>
              <w:left w:w="70" w:type="dxa"/>
              <w:right w:w="70" w:type="dxa"/>
            </w:tcMar>
            <w:vAlign w:val="center"/>
          </w:tcPr>
          <w:p w:rsidRPr="00960351" w:rsidR="005E3BD6" w:rsidP="00B4771C" w:rsidRDefault="005E3BD6" w14:paraId="742F71AB" w14:textId="77777777">
            <w:pPr>
              <w:jc w:val="center"/>
              <w:rPr>
                <w:rFonts w:ascii="Nunito Sans" w:hAnsi="Nunito Sans" w:eastAsia="Arial" w:cs="Calibri"/>
                <w:color w:val="000000" w:themeColor="text1"/>
                <w:sz w:val="18"/>
                <w:szCs w:val="18"/>
              </w:rPr>
            </w:pPr>
            <w:r w:rsidRPr="00960351">
              <w:rPr>
                <w:rFonts w:ascii="Nunito Sans" w:hAnsi="Nunito Sans" w:eastAsia="Arial" w:cs="Calibri"/>
                <w:color w:val="000000" w:themeColor="text1"/>
                <w:sz w:val="18"/>
                <w:szCs w:val="18"/>
              </w:rPr>
              <w:t>Existe una clara estrategia sectorial de adopción de la nube. Pueden definirse patrones de arquitectura en la nube comunes.</w:t>
            </w:r>
          </w:p>
        </w:tc>
      </w:tr>
    </w:tbl>
    <w:p w:rsidRPr="000A3312" w:rsidR="005E3BD6" w:rsidP="005E3BD6" w:rsidRDefault="005E3BD6" w14:paraId="406ED36B"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76B17C72" w14:textId="77777777">
      <w:pPr>
        <w:ind w:left="426"/>
        <w:jc w:val="both"/>
        <w:rPr>
          <w:rFonts w:ascii="Nunito Sans" w:hAnsi="Nunito Sans" w:cs="Calibri" w:eastAsiaTheme="minorEastAsia"/>
          <w:i/>
          <w:iCs/>
          <w:color w:val="FF0000"/>
          <w:sz w:val="22"/>
          <w:szCs w:val="22"/>
          <w:lang w:val="es-ES"/>
        </w:rPr>
      </w:pPr>
    </w:p>
    <w:p w:rsidR="005E3BD6" w:rsidRDefault="005E3BD6" w14:paraId="120013AF" w14:textId="4FD1F80F">
      <w:pPr>
        <w:pStyle w:val="Ttulo3"/>
        <w:numPr>
          <w:ilvl w:val="2"/>
          <w:numId w:val="37"/>
        </w:numPr>
      </w:pPr>
      <w:bookmarkStart w:name="_Toc234234499" w:id="331"/>
      <w:r w:rsidRPr="00F948EC">
        <w:t>Análisis ANH</w:t>
      </w:r>
      <w:bookmarkEnd w:id="331"/>
    </w:p>
    <w:p w:rsidRPr="00DF354F" w:rsidR="00DF354F" w:rsidP="00DF354F" w:rsidRDefault="00DF354F" w14:paraId="68924153" w14:textId="77777777">
      <w:pPr>
        <w:rPr>
          <w:lang w:val="es-ES"/>
        </w:rPr>
      </w:pPr>
    </w:p>
    <w:p w:rsidR="005E3BD6" w:rsidP="005E3BD6" w:rsidRDefault="005E3BD6" w14:paraId="707F77DC" w14:textId="016B819F">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analizan los proyectos de la Agencia Nacional de Hidrocarburos (ANH), identificando las sinergias y objetivos comunes que pueden ser aprovechados para una gestión sectorial más eficiente.</w:t>
      </w:r>
      <w:r w:rsidR="00AA6DC8">
        <w:rPr>
          <w:rFonts w:ascii="Nunito Sans" w:hAnsi="Nunito Sans" w:eastAsia="Arial" w:cs="Calibri"/>
          <w:sz w:val="22"/>
          <w:szCs w:val="22"/>
          <w:lang w:val="es-ES"/>
        </w:rPr>
        <w:t xml:space="preserve"> </w:t>
      </w:r>
      <w:r w:rsidRPr="761B0734">
        <w:rPr>
          <w:rFonts w:ascii="Nunito Sans" w:hAnsi="Nunito Sans" w:eastAsia="Arial" w:cs="Calibri"/>
          <w:sz w:val="22"/>
          <w:szCs w:val="22"/>
          <w:lang w:val="es-ES"/>
        </w:rPr>
        <w:t xml:space="preserve">El siguiente análisis identifica los ejes estratégicos en donde los proyectos de TI del MME y la ANH están alineados. </w:t>
      </w:r>
    </w:p>
    <w:p w:rsidR="005E3BD6" w:rsidP="005E3BD6" w:rsidRDefault="005E3BD6" w14:paraId="65262842" w14:textId="77777777">
      <w:pPr>
        <w:jc w:val="both"/>
        <w:rPr>
          <w:rFonts w:ascii="Nunito Sans" w:hAnsi="Nunito Sans" w:eastAsia="Arial" w:cs="Calibri"/>
          <w:sz w:val="22"/>
          <w:szCs w:val="22"/>
          <w:lang w:val="es-ES"/>
        </w:rPr>
      </w:pPr>
    </w:p>
    <w:p w:rsidRPr="00960351" w:rsidR="005E3BD6" w:rsidP="005E3BD6" w:rsidRDefault="005E3BD6" w14:paraId="03E35734" w14:textId="77777777">
      <w:pPr>
        <w:pStyle w:val="Prrafodelista"/>
        <w:ind w:left="851" w:hanging="425"/>
        <w:jc w:val="both"/>
        <w:rPr>
          <w:rFonts w:ascii="Nunito Sans" w:hAnsi="Nunito Sans" w:eastAsia="Arial" w:cs="Calibri"/>
          <w:sz w:val="22"/>
          <w:szCs w:val="22"/>
          <w:lang w:val="es-ES"/>
        </w:rPr>
      </w:pPr>
      <w:r w:rsidRPr="761B0734">
        <w:rPr>
          <w:rFonts w:ascii="Nunito Sans" w:hAnsi="Nunito Sans" w:eastAsia="Arial" w:cs="Calibri"/>
          <w:b/>
          <w:bCs/>
          <w:sz w:val="22"/>
          <w:szCs w:val="22"/>
          <w:lang w:val="es-ES"/>
        </w:rPr>
        <w:t>Eje Estratégico 1: Gestión de Información, Gobierno de Datos e Interoperabilidad.</w:t>
      </w:r>
    </w:p>
    <w:p w:rsidRPr="00960351" w:rsidR="005E3BD6" w:rsidP="005E3BD6" w:rsidRDefault="005E3BD6" w14:paraId="43951698" w14:textId="77777777">
      <w:pPr>
        <w:jc w:val="both"/>
        <w:rPr>
          <w:rFonts w:ascii="Nunito Sans" w:hAnsi="Nunito Sans" w:eastAsia="Arial" w:cs="Calibri"/>
          <w:sz w:val="22"/>
          <w:szCs w:val="22"/>
          <w:lang w:val="es-ES"/>
        </w:rPr>
      </w:pPr>
    </w:p>
    <w:p w:rsidR="005E3BD6" w:rsidP="005E3BD6" w:rsidRDefault="005E3BD6" w14:paraId="4990A19B" w14:textId="77777777">
      <w:pPr>
        <w:jc w:val="both"/>
        <w:rPr>
          <w:rFonts w:ascii="Nunito Sans" w:hAnsi="Nunito Sans" w:eastAsia="Arial" w:cs="Calibri"/>
          <w:color w:val="000000" w:themeColor="text1"/>
          <w:sz w:val="22"/>
          <w:szCs w:val="22"/>
          <w:lang w:val="es-ES"/>
        </w:rPr>
      </w:pPr>
      <w:r w:rsidRPr="761B0734">
        <w:rPr>
          <w:rFonts w:ascii="Nunito Sans" w:hAnsi="Nunito Sans" w:eastAsia="Arial" w:cs="Calibri"/>
          <w:color w:val="000000" w:themeColor="text1"/>
          <w:sz w:val="22"/>
          <w:szCs w:val="22"/>
          <w:lang w:val="es-ES"/>
        </w:rPr>
        <w:t>Se priorizan el gobierno y la analítica de datos.</w:t>
      </w:r>
    </w:p>
    <w:p w:rsidR="005E3BD6" w:rsidP="005E3BD6" w:rsidRDefault="005E3BD6" w14:paraId="4C948FB9" w14:textId="77777777">
      <w:pPr>
        <w:jc w:val="both"/>
        <w:rPr>
          <w:rFonts w:ascii="Nunito Sans" w:hAnsi="Nunito Sans" w:eastAsia="Arial" w:cs="Calibri"/>
          <w:color w:val="000000" w:themeColor="text1"/>
          <w:sz w:val="22"/>
          <w:szCs w:val="22"/>
          <w:lang w:val="es-ES"/>
        </w:rPr>
      </w:pPr>
    </w:p>
    <w:p w:rsidRPr="00EB43A6" w:rsidR="005E3BD6" w:rsidP="005E3BD6" w:rsidRDefault="00DC75C2" w14:paraId="7A5A92EE" w14:textId="3C8B5938">
      <w:pPr>
        <w:ind w:left="360" w:hanging="360"/>
        <w:jc w:val="center"/>
        <w:rPr>
          <w:rFonts w:ascii="Nunito Sans" w:hAnsi="Nunito Sans" w:cs="Calibri"/>
          <w:b/>
          <w:bCs/>
          <w:sz w:val="18"/>
          <w:szCs w:val="18"/>
        </w:rPr>
      </w:pPr>
      <w:bookmarkStart w:name="_Toc220664209" w:id="332"/>
      <w:r w:rsidRPr="00DC75C2">
        <w:rPr>
          <w:rFonts w:ascii="Nunito Sans" w:hAnsi="Nunito Sans" w:cs="Calibri"/>
          <w:b/>
          <w:bCs/>
          <w:sz w:val="18"/>
          <w:szCs w:val="18"/>
        </w:rPr>
        <w:t xml:space="preserve">Tabla </w:t>
      </w:r>
      <w:r w:rsidRPr="00DC75C2">
        <w:rPr>
          <w:rFonts w:ascii="Nunito Sans" w:hAnsi="Nunito Sans" w:cs="Calibri"/>
          <w:b/>
          <w:bCs/>
          <w:sz w:val="18"/>
          <w:szCs w:val="18"/>
        </w:rPr>
        <w:fldChar w:fldCharType="begin"/>
      </w:r>
      <w:r w:rsidRPr="00DC75C2">
        <w:rPr>
          <w:rFonts w:ascii="Nunito Sans" w:hAnsi="Nunito Sans" w:cs="Calibri"/>
          <w:b/>
          <w:bCs/>
          <w:sz w:val="18"/>
          <w:szCs w:val="18"/>
        </w:rPr>
        <w:instrText xml:space="preserve"> SEQ Tabla \* ARABIC </w:instrText>
      </w:r>
      <w:r w:rsidRPr="00DC75C2">
        <w:rPr>
          <w:rFonts w:ascii="Nunito Sans" w:hAnsi="Nunito Sans" w:cs="Calibri"/>
          <w:b/>
          <w:bCs/>
          <w:sz w:val="18"/>
          <w:szCs w:val="18"/>
        </w:rPr>
        <w:fldChar w:fldCharType="separate"/>
      </w:r>
      <w:r w:rsidR="00C57F7B">
        <w:rPr>
          <w:rFonts w:ascii="Nunito Sans" w:hAnsi="Nunito Sans" w:cs="Calibri"/>
          <w:b/>
          <w:bCs/>
          <w:noProof/>
          <w:sz w:val="18"/>
          <w:szCs w:val="18"/>
        </w:rPr>
        <w:t>38</w:t>
      </w:r>
      <w:r w:rsidRPr="00DC75C2">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ANH en el Eje 1</w:t>
      </w:r>
      <w:bookmarkEnd w:id="332"/>
    </w:p>
    <w:tbl>
      <w:tblPr>
        <w:tblW w:w="8207" w:type="dxa"/>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778"/>
        <w:gridCol w:w="2777"/>
        <w:gridCol w:w="2652"/>
      </w:tblGrid>
      <w:tr w:rsidRPr="00960351" w:rsidR="005E3BD6" w:rsidTr="00B060A3" w14:paraId="5F56DC51" w14:textId="77777777">
        <w:trPr>
          <w:trHeight w:val="793"/>
        </w:trPr>
        <w:tc>
          <w:tcPr>
            <w:tcW w:w="277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960351" w:rsidR="005E3BD6" w:rsidP="00B4771C" w:rsidRDefault="005E3BD6" w14:paraId="7FC3B5C9"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Ministerio de Minas</w:t>
            </w:r>
          </w:p>
          <w:p w:rsidRPr="00960351" w:rsidR="005E3BD6" w:rsidP="00B4771C" w:rsidRDefault="005E3BD6" w14:paraId="1221CDA5"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y Energía (MME)</w:t>
            </w:r>
          </w:p>
        </w:tc>
        <w:tc>
          <w:tcPr>
            <w:tcW w:w="277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60351" w:rsidR="005E3BD6" w:rsidP="00B4771C" w:rsidRDefault="005E3BD6" w14:paraId="35DADC87"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Agencia Nacional De Hidrocarburos (A</w:t>
            </w:r>
            <w:r>
              <w:rPr>
                <w:rFonts w:ascii="Nunito Sans" w:hAnsi="Nunito Sans" w:eastAsia="Arial" w:cs="Calibri"/>
                <w:b/>
                <w:bCs/>
                <w:color w:val="FFFFFF" w:themeColor="background1"/>
                <w:sz w:val="18"/>
                <w:szCs w:val="18"/>
              </w:rPr>
              <w:t>NH</w:t>
            </w:r>
            <w:r w:rsidRPr="00960351">
              <w:rPr>
                <w:rFonts w:ascii="Nunito Sans" w:hAnsi="Nunito Sans" w:eastAsia="Arial" w:cs="Calibri"/>
                <w:b/>
                <w:bCs/>
                <w:color w:val="FFFFFF" w:themeColor="background1"/>
                <w:sz w:val="18"/>
                <w:szCs w:val="18"/>
              </w:rPr>
              <w:t>)</w:t>
            </w:r>
          </w:p>
        </w:tc>
        <w:tc>
          <w:tcPr>
            <w:tcW w:w="265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960351" w:rsidR="005E3BD6" w:rsidP="00B4771C" w:rsidRDefault="005E3BD6" w14:paraId="284AF99E" w14:textId="77777777">
            <w:pPr>
              <w:jc w:val="center"/>
              <w:rPr>
                <w:rFonts w:ascii="Nunito Sans" w:hAnsi="Nunito Sans" w:eastAsia="Arial" w:cs="Calibri"/>
                <w:b/>
                <w:bCs/>
                <w:color w:val="FFFFFF" w:themeColor="background1"/>
                <w:sz w:val="18"/>
                <w:szCs w:val="18"/>
              </w:rPr>
            </w:pPr>
            <w:r w:rsidRPr="00960351">
              <w:rPr>
                <w:rFonts w:ascii="Nunito Sans" w:hAnsi="Nunito Sans" w:eastAsia="Arial" w:cs="Calibri"/>
                <w:b/>
                <w:bCs/>
                <w:color w:val="FFFFFF" w:themeColor="background1"/>
                <w:sz w:val="18"/>
                <w:szCs w:val="18"/>
              </w:rPr>
              <w:t>Observaciones de Arquitectura</w:t>
            </w:r>
          </w:p>
        </w:tc>
      </w:tr>
      <w:tr w:rsidRPr="00960351" w:rsidR="005E3BD6" w:rsidTr="00B060A3" w14:paraId="4C4E644E" w14:textId="77777777">
        <w:trPr>
          <w:trHeight w:val="2020"/>
        </w:trPr>
        <w:tc>
          <w:tcPr>
            <w:tcW w:w="2778" w:type="dxa"/>
            <w:tcBorders>
              <w:top w:val="single" w:color="FFFFFF" w:themeColor="background1" w:sz="4" w:space="0"/>
            </w:tcBorders>
            <w:tcMar>
              <w:left w:w="70" w:type="dxa"/>
              <w:right w:w="70" w:type="dxa"/>
            </w:tcMar>
            <w:vAlign w:val="center"/>
          </w:tcPr>
          <w:p w:rsidRPr="00960351" w:rsidR="005E3BD6" w:rsidP="00B4771C" w:rsidRDefault="005E3BD6" w14:paraId="224EF8ED" w14:textId="7777777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t>102:</w:t>
            </w:r>
            <w:r w:rsidRPr="00960351">
              <w:rPr>
                <w:rFonts w:ascii="Nunito Sans" w:hAnsi="Nunito Sans" w:eastAsia="Arial" w:cs="Calibri"/>
                <w:color w:val="000000" w:themeColor="text1"/>
                <w:sz w:val="18"/>
                <w:szCs w:val="18"/>
              </w:rPr>
              <w:t xml:space="preserve"> Fortalecimiento para la Implementación del gobierno de datos conforme a los lineamientos sectoriales.</w:t>
            </w:r>
          </w:p>
        </w:tc>
        <w:tc>
          <w:tcPr>
            <w:tcW w:w="2777" w:type="dxa"/>
            <w:tcBorders>
              <w:top w:val="single" w:color="FFFFFF" w:themeColor="background1" w:sz="4" w:space="0"/>
            </w:tcBorders>
            <w:vAlign w:val="center"/>
          </w:tcPr>
          <w:p w:rsidRPr="00960351" w:rsidR="005E3BD6" w:rsidP="00B4771C" w:rsidRDefault="005E3BD6" w14:paraId="4AB06C58" w14:textId="1458665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t>01:</w:t>
            </w:r>
            <w:r w:rsidRPr="00960351">
              <w:rPr>
                <w:rFonts w:ascii="Nunito Sans" w:hAnsi="Nunito Sans" w:eastAsia="Arial" w:cs="Calibri"/>
                <w:color w:val="000000" w:themeColor="text1"/>
                <w:sz w:val="18"/>
                <w:szCs w:val="18"/>
              </w:rPr>
              <w:t xml:space="preserve"> Definir e implementar el Gobierno de Datos</w:t>
            </w:r>
          </w:p>
        </w:tc>
        <w:tc>
          <w:tcPr>
            <w:tcW w:w="2652" w:type="dxa"/>
            <w:tcBorders>
              <w:top w:val="single" w:color="FFFFFF" w:themeColor="background1" w:sz="4" w:space="0"/>
            </w:tcBorders>
            <w:tcMar>
              <w:left w:w="70" w:type="dxa"/>
              <w:right w:w="70" w:type="dxa"/>
            </w:tcMar>
            <w:vAlign w:val="center"/>
          </w:tcPr>
          <w:p w:rsidRPr="00960351" w:rsidR="005E3BD6" w:rsidP="00B4771C" w:rsidRDefault="005E3BD6" w14:paraId="6D395A69" w14:textId="77777777">
            <w:pPr>
              <w:jc w:val="center"/>
              <w:rPr>
                <w:rFonts w:ascii="Nunito Sans" w:hAnsi="Nunito Sans" w:eastAsia="Arial" w:cs="Calibri"/>
                <w:color w:val="000000" w:themeColor="text1"/>
                <w:sz w:val="18"/>
                <w:szCs w:val="18"/>
              </w:rPr>
            </w:pPr>
            <w:r w:rsidRPr="00960351">
              <w:rPr>
                <w:rFonts w:ascii="Nunito Sans" w:hAnsi="Nunito Sans" w:eastAsia="Arial" w:cs="Calibri"/>
                <w:color w:val="000000" w:themeColor="text1"/>
                <w:sz w:val="18"/>
                <w:szCs w:val="18"/>
              </w:rPr>
              <w:t>Se pueden establecer mesas de trabajo conjunta para definir estándares de datos sectoriales y compartir mejores prácticas en la implementación de modelos de gobierno y herramientas de analítica.</w:t>
            </w:r>
          </w:p>
        </w:tc>
      </w:tr>
      <w:tr w:rsidRPr="00960351" w:rsidR="005E3BD6" w:rsidTr="00B4771C" w14:paraId="557DC930" w14:textId="77777777">
        <w:trPr>
          <w:trHeight w:val="1515"/>
        </w:trPr>
        <w:tc>
          <w:tcPr>
            <w:tcW w:w="2778" w:type="dxa"/>
            <w:tcMar>
              <w:left w:w="70" w:type="dxa"/>
              <w:right w:w="70" w:type="dxa"/>
            </w:tcMar>
            <w:vAlign w:val="center"/>
          </w:tcPr>
          <w:p w:rsidRPr="00960351" w:rsidR="005E3BD6" w:rsidP="00B4771C" w:rsidRDefault="005E3BD6" w14:paraId="766AEF68" w14:textId="7777777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lastRenderedPageBreak/>
              <w:t>105:</w:t>
            </w:r>
            <w:r w:rsidRPr="00960351">
              <w:rPr>
                <w:rFonts w:ascii="Nunito Sans" w:hAnsi="Nunito Sans" w:eastAsia="Arial" w:cs="Calibri"/>
                <w:color w:val="000000" w:themeColor="text1"/>
                <w:sz w:val="18"/>
                <w:szCs w:val="18"/>
              </w:rPr>
              <w:t xml:space="preserve"> Servicios para el mantenimiento, monitoreo, actualización e implementación de tableros de Analítica.</w:t>
            </w:r>
          </w:p>
        </w:tc>
        <w:tc>
          <w:tcPr>
            <w:tcW w:w="2777" w:type="dxa"/>
            <w:vAlign w:val="center"/>
          </w:tcPr>
          <w:p w:rsidRPr="00960351" w:rsidR="005E3BD6" w:rsidP="00B4771C" w:rsidRDefault="005E3BD6" w14:paraId="7F6F5845" w14:textId="7777777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t>IN-02:</w:t>
            </w:r>
            <w:r w:rsidRPr="00960351">
              <w:rPr>
                <w:rFonts w:ascii="Nunito Sans" w:hAnsi="Nunito Sans" w:eastAsia="Arial" w:cs="Calibri"/>
                <w:color w:val="000000" w:themeColor="text1"/>
                <w:sz w:val="18"/>
                <w:szCs w:val="18"/>
              </w:rPr>
              <w:t xml:space="preserve"> Fortalecimiento de las capacidades institucionales para el análisis de información.</w:t>
            </w:r>
          </w:p>
        </w:tc>
        <w:tc>
          <w:tcPr>
            <w:tcW w:w="2652" w:type="dxa"/>
            <w:tcMar>
              <w:left w:w="70" w:type="dxa"/>
              <w:right w:w="70" w:type="dxa"/>
            </w:tcMar>
            <w:vAlign w:val="center"/>
          </w:tcPr>
          <w:p w:rsidRPr="00960351" w:rsidR="005E3BD6" w:rsidP="00B4771C" w:rsidRDefault="005E3BD6" w14:paraId="6D9A5A0E" w14:textId="77777777">
            <w:pPr>
              <w:jc w:val="center"/>
              <w:rPr>
                <w:rFonts w:ascii="Nunito Sans" w:hAnsi="Nunito Sans" w:eastAsia="Arial" w:cs="Calibri"/>
                <w:color w:val="000000" w:themeColor="text1"/>
                <w:sz w:val="18"/>
                <w:szCs w:val="18"/>
              </w:rPr>
            </w:pPr>
            <w:r w:rsidRPr="00960351">
              <w:rPr>
                <w:rFonts w:ascii="Nunito Sans" w:hAnsi="Nunito Sans" w:eastAsia="Arial" w:cs="Calibri"/>
                <w:color w:val="000000" w:themeColor="text1"/>
                <w:sz w:val="18"/>
                <w:szCs w:val="18"/>
              </w:rPr>
              <w:t>Compartir mejores prácticas en la implementación de modelos de gobierno y herramientas de analítica.</w:t>
            </w:r>
          </w:p>
        </w:tc>
      </w:tr>
      <w:tr w:rsidRPr="00960351" w:rsidR="005E3BD6" w:rsidTr="005A7E98" w14:paraId="21DB410E" w14:textId="77777777">
        <w:trPr>
          <w:trHeight w:val="2688"/>
        </w:trPr>
        <w:tc>
          <w:tcPr>
            <w:tcW w:w="2778" w:type="dxa"/>
            <w:tcMar>
              <w:left w:w="70" w:type="dxa"/>
              <w:right w:w="70" w:type="dxa"/>
            </w:tcMar>
            <w:vAlign w:val="center"/>
          </w:tcPr>
          <w:p w:rsidRPr="00960351" w:rsidR="005E3BD6" w:rsidP="00B4771C" w:rsidRDefault="005E3BD6" w14:paraId="559C2B40" w14:textId="7777777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t>101: Implementación</w:t>
            </w:r>
            <w:r w:rsidRPr="00960351">
              <w:rPr>
                <w:rFonts w:ascii="Nunito Sans" w:hAnsi="Nunito Sans" w:eastAsia="Arial" w:cs="Calibri"/>
                <w:color w:val="000000" w:themeColor="text1"/>
                <w:sz w:val="18"/>
                <w:szCs w:val="18"/>
              </w:rPr>
              <w:t xml:space="preserve"> Interoperabilidad para los sistemas de información del MINENERGÍA.</w:t>
            </w:r>
          </w:p>
          <w:p w:rsidRPr="00960351" w:rsidR="005E3BD6" w:rsidP="00B4771C" w:rsidRDefault="005E3BD6" w14:paraId="633416E8" w14:textId="7777777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t>103</w:t>
            </w:r>
            <w:r w:rsidRPr="00960351">
              <w:rPr>
                <w:rFonts w:ascii="Nunito Sans" w:hAnsi="Nunito Sans" w:eastAsia="Arial" w:cs="Calibri"/>
                <w:color w:val="000000" w:themeColor="text1"/>
                <w:sz w:val="18"/>
                <w:szCs w:val="18"/>
              </w:rPr>
              <w:t>: Evolución a la implementación del Marco de Interoperabilidad definido por MINTIC y las mejores prácticas, como solución de</w:t>
            </w:r>
          </w:p>
          <w:p w:rsidRPr="00960351" w:rsidR="005E3BD6" w:rsidP="00B4771C" w:rsidRDefault="005E3BD6" w14:paraId="605FA842" w14:textId="77777777">
            <w:pPr>
              <w:jc w:val="center"/>
              <w:rPr>
                <w:rFonts w:ascii="Nunito Sans" w:hAnsi="Nunito Sans" w:eastAsia="Arial" w:cs="Calibri"/>
                <w:color w:val="000000" w:themeColor="text1"/>
                <w:sz w:val="18"/>
                <w:szCs w:val="18"/>
              </w:rPr>
            </w:pPr>
            <w:r w:rsidRPr="00960351">
              <w:rPr>
                <w:rFonts w:ascii="Nunito Sans" w:hAnsi="Nunito Sans" w:eastAsia="Arial" w:cs="Calibri"/>
                <w:color w:val="000000" w:themeColor="text1"/>
                <w:sz w:val="18"/>
                <w:szCs w:val="18"/>
              </w:rPr>
              <w:t>intercambio de información con otras entidades.</w:t>
            </w:r>
          </w:p>
        </w:tc>
        <w:tc>
          <w:tcPr>
            <w:tcW w:w="2777" w:type="dxa"/>
            <w:vAlign w:val="center"/>
          </w:tcPr>
          <w:p w:rsidRPr="00960351" w:rsidR="005E3BD6" w:rsidP="00B4771C" w:rsidRDefault="005E3BD6" w14:paraId="50C6CDFB" w14:textId="77777777">
            <w:pPr>
              <w:jc w:val="center"/>
              <w:rPr>
                <w:rFonts w:ascii="Nunito Sans" w:hAnsi="Nunito Sans" w:eastAsia="Arial" w:cs="Calibri"/>
                <w:color w:val="000000" w:themeColor="text1"/>
                <w:sz w:val="18"/>
                <w:szCs w:val="18"/>
              </w:rPr>
            </w:pPr>
            <w:r w:rsidRPr="00960351">
              <w:rPr>
                <w:rFonts w:ascii="Nunito Sans" w:hAnsi="Nunito Sans" w:eastAsia="Arial" w:cs="Calibri"/>
                <w:b/>
                <w:bCs/>
                <w:color w:val="000000" w:themeColor="text1"/>
                <w:sz w:val="18"/>
                <w:szCs w:val="18"/>
              </w:rPr>
              <w:t xml:space="preserve">IN-03: </w:t>
            </w:r>
            <w:r w:rsidRPr="00960351">
              <w:rPr>
                <w:rFonts w:ascii="Nunito Sans" w:hAnsi="Nunito Sans" w:eastAsia="Arial" w:cs="Calibri"/>
                <w:color w:val="000000" w:themeColor="text1"/>
                <w:sz w:val="18"/>
                <w:szCs w:val="18"/>
              </w:rPr>
              <w:t>Fortalecimiento de las capacidades Institucionales para la interoperabilidad de información.</w:t>
            </w:r>
          </w:p>
        </w:tc>
        <w:tc>
          <w:tcPr>
            <w:tcW w:w="2652" w:type="dxa"/>
            <w:tcMar>
              <w:left w:w="70" w:type="dxa"/>
              <w:right w:w="70" w:type="dxa"/>
            </w:tcMar>
            <w:vAlign w:val="center"/>
          </w:tcPr>
          <w:p w:rsidRPr="00960351" w:rsidR="005E3BD6" w:rsidP="00B4771C" w:rsidRDefault="005E3BD6" w14:paraId="75D90680" w14:textId="77777777">
            <w:pPr>
              <w:jc w:val="center"/>
              <w:rPr>
                <w:rFonts w:ascii="Nunito Sans" w:hAnsi="Nunito Sans" w:eastAsia="Arial" w:cs="Calibri"/>
                <w:color w:val="000000" w:themeColor="text1"/>
                <w:sz w:val="18"/>
                <w:szCs w:val="18"/>
              </w:rPr>
            </w:pPr>
            <w:r w:rsidRPr="00960351">
              <w:rPr>
                <w:rFonts w:ascii="Nunito Sans" w:hAnsi="Nunito Sans" w:eastAsia="Arial" w:cs="Calibri"/>
                <w:color w:val="000000" w:themeColor="text1"/>
                <w:sz w:val="18"/>
                <w:szCs w:val="18"/>
              </w:rPr>
              <w:t>Se puede trabajar en una arquitectura de referencia sectorial para la interoperabilidad que defina los servicios de intercambio de información prioritarios entre las entidades del sector minero-energético.</w:t>
            </w:r>
          </w:p>
        </w:tc>
      </w:tr>
    </w:tbl>
    <w:p w:rsidRPr="000A3312" w:rsidR="005E3BD6" w:rsidP="005E3BD6" w:rsidRDefault="005E3BD6" w14:paraId="735B86EE"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3CBE43A" w14:textId="77777777">
      <w:pPr>
        <w:pStyle w:val="Prrafodelista"/>
        <w:ind w:left="993" w:hanging="567"/>
        <w:jc w:val="both"/>
        <w:rPr>
          <w:rFonts w:ascii="Nunito Sans" w:hAnsi="Nunito Sans" w:eastAsia="Arial" w:cs="Calibri"/>
          <w:sz w:val="22"/>
          <w:szCs w:val="22"/>
          <w:lang w:val="es-ES"/>
        </w:rPr>
      </w:pPr>
      <w:r w:rsidRPr="761B0734">
        <w:rPr>
          <w:rFonts w:ascii="Nunito Sans" w:hAnsi="Nunito Sans" w:eastAsia="Arial" w:cs="Calibri"/>
          <w:b/>
          <w:bCs/>
          <w:sz w:val="22"/>
          <w:szCs w:val="22"/>
          <w:lang w:val="es-ES"/>
        </w:rPr>
        <w:t>Eje Estratégico 2: Arquitectura Empresarial</w:t>
      </w:r>
    </w:p>
    <w:p w:rsidR="005E3BD6" w:rsidP="005E3BD6" w:rsidRDefault="005E3BD6" w14:paraId="4FFF5AA3" w14:textId="77777777">
      <w:pPr>
        <w:ind w:left="426"/>
        <w:jc w:val="both"/>
        <w:rPr>
          <w:rFonts w:ascii="Nunito Sans" w:hAnsi="Nunito Sans" w:cs="Calibri" w:eastAsiaTheme="minorEastAsia"/>
          <w:i/>
          <w:iCs/>
          <w:color w:val="FF0000"/>
          <w:sz w:val="22"/>
          <w:szCs w:val="22"/>
          <w:lang w:val="es-ES"/>
        </w:rPr>
      </w:pPr>
    </w:p>
    <w:p w:rsidRPr="00960351" w:rsidR="005E3BD6" w:rsidP="005E3BD6" w:rsidRDefault="005E3BD6" w14:paraId="124509B1"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La adopción de la Arquitectura Empresarial es una iniciativa estratégica en ambas entidades</w:t>
      </w:r>
    </w:p>
    <w:p w:rsidR="005E3BD6" w:rsidP="005E3BD6" w:rsidRDefault="005E3BD6" w14:paraId="7D91830B" w14:textId="77777777">
      <w:pPr>
        <w:ind w:left="426"/>
        <w:jc w:val="both"/>
        <w:rPr>
          <w:rFonts w:ascii="Nunito Sans" w:hAnsi="Nunito Sans" w:cs="Calibri" w:eastAsiaTheme="minorEastAsia"/>
          <w:i/>
          <w:iCs/>
          <w:color w:val="FF0000"/>
          <w:sz w:val="22"/>
          <w:szCs w:val="22"/>
          <w:lang w:val="es-ES"/>
        </w:rPr>
      </w:pPr>
    </w:p>
    <w:p w:rsidRPr="005A7E98" w:rsidR="005E3BD6" w:rsidP="001060CD" w:rsidRDefault="005A7E98" w14:paraId="525D4298" w14:textId="4F8DF1C2">
      <w:pPr>
        <w:pStyle w:val="Descripcin"/>
        <w:keepNext/>
        <w:spacing w:after="0"/>
        <w:jc w:val="center"/>
        <w:rPr>
          <w:rFonts w:ascii="Nunito Sans" w:hAnsi="Nunito Sans" w:cs="Calibri"/>
          <w:b/>
          <w:bCs/>
          <w:i w:val="0"/>
          <w:iCs w:val="0"/>
          <w:color w:val="auto"/>
        </w:rPr>
      </w:pPr>
      <w:bookmarkStart w:name="_Toc220664210" w:id="333"/>
      <w:r w:rsidRPr="005A7E98">
        <w:rPr>
          <w:rFonts w:ascii="Nunito Sans" w:hAnsi="Nunito Sans" w:cs="Calibri"/>
          <w:b/>
          <w:bCs/>
          <w:i w:val="0"/>
          <w:iCs w:val="0"/>
          <w:color w:val="auto"/>
        </w:rPr>
        <w:t xml:space="preserve">Tabla </w:t>
      </w:r>
      <w:r w:rsidRPr="005A7E98">
        <w:rPr>
          <w:rFonts w:ascii="Nunito Sans" w:hAnsi="Nunito Sans" w:cs="Calibri"/>
          <w:b/>
          <w:bCs/>
          <w:i w:val="0"/>
          <w:iCs w:val="0"/>
          <w:color w:val="auto"/>
        </w:rPr>
        <w:fldChar w:fldCharType="begin"/>
      </w:r>
      <w:r w:rsidRPr="005A7E98">
        <w:rPr>
          <w:rFonts w:ascii="Nunito Sans" w:hAnsi="Nunito Sans" w:cs="Calibri"/>
          <w:b/>
          <w:bCs/>
          <w:i w:val="0"/>
          <w:iCs w:val="0"/>
          <w:color w:val="auto"/>
        </w:rPr>
        <w:instrText xml:space="preserve"> SEQ Tabla \* ARABIC </w:instrText>
      </w:r>
      <w:r w:rsidRPr="005A7E98">
        <w:rPr>
          <w:rFonts w:ascii="Nunito Sans" w:hAnsi="Nunito Sans" w:cs="Calibri"/>
          <w:b/>
          <w:bCs/>
          <w:i w:val="0"/>
          <w:iCs w:val="0"/>
          <w:color w:val="auto"/>
        </w:rPr>
        <w:fldChar w:fldCharType="separate"/>
      </w:r>
      <w:r w:rsidR="00C57F7B">
        <w:rPr>
          <w:rFonts w:ascii="Nunito Sans" w:hAnsi="Nunito Sans" w:cs="Calibri"/>
          <w:b/>
          <w:bCs/>
          <w:i w:val="0"/>
          <w:iCs w:val="0"/>
          <w:noProof/>
          <w:color w:val="auto"/>
        </w:rPr>
        <w:t>39</w:t>
      </w:r>
      <w:r w:rsidRPr="005A7E98">
        <w:rPr>
          <w:rFonts w:ascii="Nunito Sans" w:hAnsi="Nunito Sans" w:cs="Calibri"/>
          <w:b/>
          <w:bCs/>
          <w:i w:val="0"/>
          <w:iCs w:val="0"/>
          <w:color w:val="auto"/>
        </w:rPr>
        <w:fldChar w:fldCharType="end"/>
      </w:r>
      <w:r w:rsidRPr="005A7E98" w:rsidR="005E3BD6">
        <w:rPr>
          <w:rFonts w:ascii="Nunito Sans" w:hAnsi="Nunito Sans" w:cs="Calibri"/>
          <w:b/>
          <w:bCs/>
          <w:i w:val="0"/>
          <w:iCs w:val="0"/>
          <w:color w:val="auto"/>
        </w:rPr>
        <w:t>: Articulación de Iniciativas MME–ANH en el Eje 2</w:t>
      </w:r>
      <w:bookmarkEnd w:id="333"/>
    </w:p>
    <w:tbl>
      <w:tblPr>
        <w:tblW w:w="8174" w:type="dxa"/>
        <w:tblInd w:w="562"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767"/>
        <w:gridCol w:w="2821"/>
        <w:gridCol w:w="2586"/>
      </w:tblGrid>
      <w:tr w:rsidRPr="002F2232" w:rsidR="005E3BD6" w:rsidTr="00785B09" w14:paraId="05ACD0EF" w14:textId="77777777">
        <w:trPr>
          <w:trHeight w:val="634"/>
        </w:trPr>
        <w:tc>
          <w:tcPr>
            <w:tcW w:w="27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F2232" w:rsidR="005E3BD6" w:rsidP="00B4771C" w:rsidRDefault="005E3BD6" w14:paraId="5ED095F6"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Ministerio de Minas</w:t>
            </w:r>
          </w:p>
          <w:p w:rsidRPr="002F2232" w:rsidR="005E3BD6" w:rsidP="00B4771C" w:rsidRDefault="005E3BD6" w14:paraId="0315E8EB"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y Energía (MME)</w:t>
            </w:r>
          </w:p>
        </w:tc>
        <w:tc>
          <w:tcPr>
            <w:tcW w:w="282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F2232" w:rsidR="005E3BD6" w:rsidP="00B4771C" w:rsidRDefault="005E3BD6" w14:paraId="7A953E15"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Agencia Nacional De Hidrocarburos (ANH)</w:t>
            </w:r>
          </w:p>
        </w:tc>
        <w:tc>
          <w:tcPr>
            <w:tcW w:w="258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F2232" w:rsidR="005E3BD6" w:rsidP="00B4771C" w:rsidRDefault="005E3BD6" w14:paraId="4A7BAD1B"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Observaciones de Arquitectura</w:t>
            </w:r>
          </w:p>
        </w:tc>
      </w:tr>
      <w:tr w:rsidRPr="002F2232" w:rsidR="005E3BD6" w:rsidTr="00785B09" w14:paraId="4C1E0441" w14:textId="77777777">
        <w:trPr>
          <w:trHeight w:val="1766"/>
        </w:trPr>
        <w:tc>
          <w:tcPr>
            <w:tcW w:w="2767" w:type="dxa"/>
            <w:tcBorders>
              <w:top w:val="single" w:color="FFFFFF" w:themeColor="background1" w:sz="4" w:space="0"/>
            </w:tcBorders>
            <w:tcMar>
              <w:left w:w="70" w:type="dxa"/>
              <w:right w:w="70" w:type="dxa"/>
            </w:tcMar>
            <w:vAlign w:val="center"/>
          </w:tcPr>
          <w:p w:rsidRPr="002F2232" w:rsidR="005E3BD6" w:rsidP="00B4771C" w:rsidRDefault="005E3BD6" w14:paraId="51D8186C" w14:textId="3E6285E6">
            <w:pPr>
              <w:jc w:val="center"/>
              <w:rPr>
                <w:rFonts w:ascii="Nunito Sans" w:hAnsi="Nunito Sans" w:eastAsia="Arial" w:cs="Calibri"/>
                <w:sz w:val="18"/>
                <w:szCs w:val="18"/>
              </w:rPr>
            </w:pPr>
            <w:r w:rsidRPr="2FC2A464">
              <w:rPr>
                <w:rFonts w:ascii="Nunito Sans" w:hAnsi="Nunito Sans" w:eastAsia="Arial" w:cs="Calibri"/>
                <w:b/>
                <w:bCs/>
                <w:color w:val="000000" w:themeColor="text1"/>
                <w:sz w:val="18"/>
                <w:szCs w:val="18"/>
              </w:rPr>
              <w:t>110:</w:t>
            </w:r>
            <w:r w:rsidRPr="2FC2A464">
              <w:rPr>
                <w:rFonts w:ascii="Nunito Sans" w:hAnsi="Nunito Sans" w:eastAsia="Arial" w:cs="Calibri"/>
                <w:color w:val="000000" w:themeColor="text1"/>
                <w:sz w:val="18"/>
                <w:szCs w:val="18"/>
              </w:rPr>
              <w:t xml:space="preserve"> </w:t>
            </w:r>
            <w:r w:rsidRPr="2FC2A464">
              <w:rPr>
                <w:rFonts w:ascii="Nunito Sans" w:hAnsi="Nunito Sans" w:eastAsia="Arial" w:cs="Calibri"/>
                <w:sz w:val="18"/>
                <w:szCs w:val="18"/>
              </w:rPr>
              <w:t xml:space="preserve">  Fortalecer el Modelo de Arquitectura Empresarial, basado en el M</w:t>
            </w:r>
            <w:r w:rsidRPr="2FC2A464" w:rsidR="3666D763">
              <w:rPr>
                <w:rFonts w:ascii="Nunito Sans" w:hAnsi="Nunito Sans" w:eastAsia="Arial" w:cs="Calibri"/>
                <w:sz w:val="18"/>
                <w:szCs w:val="18"/>
              </w:rPr>
              <w:t>R</w:t>
            </w:r>
            <w:r w:rsidRPr="2FC2A464">
              <w:rPr>
                <w:rFonts w:ascii="Nunito Sans" w:hAnsi="Nunito Sans" w:eastAsia="Arial" w:cs="Calibri"/>
                <w:sz w:val="18"/>
                <w:szCs w:val="18"/>
              </w:rPr>
              <w:t>AE y los lineamientos establecidos por MINTIC, para el Ministerio de Minas y Energía.</w:t>
            </w:r>
          </w:p>
        </w:tc>
        <w:tc>
          <w:tcPr>
            <w:tcW w:w="2821" w:type="dxa"/>
            <w:tcBorders>
              <w:top w:val="single" w:color="FFFFFF" w:themeColor="background1" w:sz="4" w:space="0"/>
            </w:tcBorders>
            <w:vAlign w:val="center"/>
          </w:tcPr>
          <w:p w:rsidRPr="002F2232" w:rsidR="005E3BD6" w:rsidP="00B4771C" w:rsidRDefault="005E3BD6" w14:paraId="6A2DB888"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IN-06:</w:t>
            </w:r>
            <w:r w:rsidRPr="002F2232">
              <w:rPr>
                <w:rFonts w:ascii="Nunito Sans" w:hAnsi="Nunito Sans" w:eastAsia="Arial" w:cs="Calibri"/>
                <w:color w:val="000000" w:themeColor="text1"/>
                <w:sz w:val="18"/>
                <w:szCs w:val="18"/>
              </w:rPr>
              <w:t xml:space="preserve"> Formulación de la Arquitectura Empresarial para la Gestión de TI</w:t>
            </w:r>
          </w:p>
        </w:tc>
        <w:tc>
          <w:tcPr>
            <w:tcW w:w="2586" w:type="dxa"/>
            <w:tcBorders>
              <w:top w:val="single" w:color="FFFFFF" w:themeColor="background1" w:sz="4" w:space="0"/>
            </w:tcBorders>
            <w:tcMar>
              <w:left w:w="70" w:type="dxa"/>
              <w:right w:w="70" w:type="dxa"/>
            </w:tcMar>
            <w:vAlign w:val="center"/>
          </w:tcPr>
          <w:p w:rsidRPr="002F2232" w:rsidR="005E3BD6" w:rsidP="00B4771C" w:rsidRDefault="005E3BD6" w14:paraId="770D1650" w14:textId="77777777">
            <w:pPr>
              <w:jc w:val="center"/>
              <w:rPr>
                <w:rFonts w:ascii="Nunito Sans" w:hAnsi="Nunito Sans" w:eastAsia="Arial" w:cs="Calibri"/>
                <w:color w:val="000000" w:themeColor="text1"/>
                <w:sz w:val="18"/>
                <w:szCs w:val="18"/>
              </w:rPr>
            </w:pPr>
            <w:r w:rsidRPr="002F2232">
              <w:rPr>
                <w:rFonts w:ascii="Nunito Sans" w:hAnsi="Nunito Sans" w:eastAsia="Arial" w:cs="Calibri"/>
                <w:color w:val="000000" w:themeColor="text1"/>
                <w:sz w:val="18"/>
                <w:szCs w:val="18"/>
              </w:rPr>
              <w:t>Se sugiere la creación de un comité de arquitectura sectorial para alinear los esfuerzos y construir una visión unificada de la arquitectura del sector</w:t>
            </w:r>
          </w:p>
        </w:tc>
      </w:tr>
    </w:tbl>
    <w:p w:rsidRPr="000A3312" w:rsidR="005E3BD6" w:rsidP="005E3BD6" w:rsidRDefault="005E3BD6" w14:paraId="369621EF"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38A08C04"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02284628"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3: Gestión de seguridad de la Información</w:t>
      </w:r>
    </w:p>
    <w:p w:rsidR="005E3BD6" w:rsidP="005E3BD6" w:rsidRDefault="005E3BD6" w14:paraId="5E1811B2" w14:textId="77777777">
      <w:pPr>
        <w:ind w:left="720"/>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 xml:space="preserve"> </w:t>
      </w:r>
    </w:p>
    <w:p w:rsidR="005E3BD6" w:rsidP="005E3BD6" w:rsidRDefault="005E3BD6" w14:paraId="5C6BB71A"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fortalecimiento de la seguridad es una prioridad.</w:t>
      </w:r>
    </w:p>
    <w:p w:rsidR="005E3BD6" w:rsidP="005E3BD6" w:rsidRDefault="005E3BD6" w14:paraId="2B5C3E55"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 </w:t>
      </w:r>
    </w:p>
    <w:p w:rsidRPr="00EB43A6" w:rsidR="005E3BD6" w:rsidP="005E3BD6" w:rsidRDefault="005A7E98" w14:paraId="0CD00D36" w14:textId="759C5E85">
      <w:pPr>
        <w:ind w:left="360" w:hanging="360"/>
        <w:jc w:val="center"/>
        <w:rPr>
          <w:rFonts w:ascii="Nunito Sans" w:hAnsi="Nunito Sans" w:cs="Calibri"/>
          <w:b/>
          <w:bCs/>
          <w:sz w:val="18"/>
          <w:szCs w:val="18"/>
        </w:rPr>
      </w:pPr>
      <w:bookmarkStart w:name="_Toc220664211" w:id="334"/>
      <w:r w:rsidRPr="005A7E98">
        <w:rPr>
          <w:rFonts w:ascii="Nunito Sans" w:hAnsi="Nunito Sans" w:cs="Calibri"/>
          <w:b/>
          <w:bCs/>
          <w:sz w:val="18"/>
          <w:szCs w:val="18"/>
        </w:rPr>
        <w:t xml:space="preserve">Tabla </w:t>
      </w:r>
      <w:r w:rsidRPr="005A7E98">
        <w:rPr>
          <w:rFonts w:ascii="Nunito Sans" w:hAnsi="Nunito Sans" w:cs="Calibri"/>
          <w:b/>
          <w:bCs/>
          <w:sz w:val="18"/>
          <w:szCs w:val="18"/>
        </w:rPr>
        <w:fldChar w:fldCharType="begin"/>
      </w:r>
      <w:r w:rsidRPr="005A7E98">
        <w:rPr>
          <w:rFonts w:ascii="Nunito Sans" w:hAnsi="Nunito Sans" w:cs="Calibri"/>
          <w:b/>
          <w:bCs/>
          <w:sz w:val="18"/>
          <w:szCs w:val="18"/>
        </w:rPr>
        <w:instrText xml:space="preserve"> SEQ Tabla \* ARABIC </w:instrText>
      </w:r>
      <w:r w:rsidRPr="005A7E98">
        <w:rPr>
          <w:rFonts w:ascii="Nunito Sans" w:hAnsi="Nunito Sans" w:cs="Calibri"/>
          <w:b/>
          <w:bCs/>
          <w:sz w:val="18"/>
          <w:szCs w:val="18"/>
        </w:rPr>
        <w:fldChar w:fldCharType="separate"/>
      </w:r>
      <w:r w:rsidR="00C57F7B">
        <w:rPr>
          <w:rFonts w:ascii="Nunito Sans" w:hAnsi="Nunito Sans" w:cs="Calibri"/>
          <w:b/>
          <w:bCs/>
          <w:noProof/>
          <w:sz w:val="18"/>
          <w:szCs w:val="18"/>
        </w:rPr>
        <w:t>40</w:t>
      </w:r>
      <w:r w:rsidRPr="005A7E98">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ANH en el Eje 3</w:t>
      </w:r>
      <w:bookmarkEnd w:id="334"/>
    </w:p>
    <w:tbl>
      <w:tblPr>
        <w:tblW w:w="8242" w:type="dxa"/>
        <w:tblInd w:w="557"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790"/>
        <w:gridCol w:w="2916"/>
        <w:gridCol w:w="2536"/>
      </w:tblGrid>
      <w:tr w:rsidRPr="002F2232" w:rsidR="005E3BD6" w:rsidTr="00B4771C" w14:paraId="417D91B7" w14:textId="77777777">
        <w:trPr>
          <w:trHeight w:val="710"/>
        </w:trPr>
        <w:tc>
          <w:tcPr>
            <w:tcW w:w="2790" w:type="dxa"/>
            <w:shd w:val="clear" w:color="auto" w:fill="E1AF3B"/>
            <w:tcMar>
              <w:left w:w="70" w:type="dxa"/>
              <w:right w:w="70" w:type="dxa"/>
            </w:tcMar>
            <w:vAlign w:val="center"/>
          </w:tcPr>
          <w:p w:rsidRPr="002F2232" w:rsidR="005E3BD6" w:rsidP="00B4771C" w:rsidRDefault="005E3BD6" w14:paraId="24978B4A"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Ministerio de Minas</w:t>
            </w:r>
          </w:p>
          <w:p w:rsidRPr="002F2232" w:rsidR="005E3BD6" w:rsidP="00B4771C" w:rsidRDefault="005E3BD6" w14:paraId="64C751F9"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y Energía (MME)</w:t>
            </w:r>
          </w:p>
        </w:tc>
        <w:tc>
          <w:tcPr>
            <w:tcW w:w="2916" w:type="dxa"/>
            <w:shd w:val="clear" w:color="auto" w:fill="E1AF3B"/>
            <w:vAlign w:val="center"/>
          </w:tcPr>
          <w:p w:rsidRPr="002F2232" w:rsidR="005E3BD6" w:rsidP="00B4771C" w:rsidRDefault="005E3BD6" w14:paraId="4DA0B139"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Agencia Nacional De Hidrocarburos (ANH)</w:t>
            </w:r>
          </w:p>
        </w:tc>
        <w:tc>
          <w:tcPr>
            <w:tcW w:w="2536" w:type="dxa"/>
            <w:shd w:val="clear" w:color="auto" w:fill="E1AF3B"/>
            <w:tcMar>
              <w:left w:w="70" w:type="dxa"/>
              <w:right w:w="70" w:type="dxa"/>
            </w:tcMar>
            <w:vAlign w:val="center"/>
          </w:tcPr>
          <w:p w:rsidRPr="002F2232" w:rsidR="005E3BD6" w:rsidP="00B4771C" w:rsidRDefault="005E3BD6" w14:paraId="28BBA389"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Observaciones de Arquitectura</w:t>
            </w:r>
          </w:p>
        </w:tc>
      </w:tr>
      <w:tr w:rsidRPr="002F2232" w:rsidR="005E3BD6" w:rsidTr="00B4771C" w14:paraId="3FF7441C" w14:textId="77777777">
        <w:trPr>
          <w:trHeight w:val="649"/>
        </w:trPr>
        <w:tc>
          <w:tcPr>
            <w:tcW w:w="2790" w:type="dxa"/>
            <w:tcMar>
              <w:left w:w="70" w:type="dxa"/>
              <w:right w:w="70" w:type="dxa"/>
            </w:tcMar>
            <w:vAlign w:val="center"/>
          </w:tcPr>
          <w:p w:rsidRPr="002F2232" w:rsidR="005E3BD6" w:rsidP="00B4771C" w:rsidRDefault="005E3BD6" w14:paraId="094BF63F" w14:textId="77777777">
            <w:pPr>
              <w:jc w:val="center"/>
              <w:rPr>
                <w:rFonts w:ascii="Nunito Sans" w:hAnsi="Nunito Sans" w:eastAsia="Arial" w:cs="Calibri"/>
                <w:color w:val="000000" w:themeColor="text1"/>
                <w:sz w:val="18"/>
                <w:szCs w:val="18"/>
              </w:rPr>
            </w:pPr>
            <w:r w:rsidRPr="00AA6DC8">
              <w:rPr>
                <w:rFonts w:ascii="Nunito Sans" w:hAnsi="Nunito Sans" w:eastAsia="Arial" w:cs="Calibri"/>
                <w:b/>
                <w:bCs/>
                <w:color w:val="000000" w:themeColor="text1"/>
                <w:sz w:val="18"/>
                <w:szCs w:val="18"/>
              </w:rPr>
              <w:t>112:</w:t>
            </w:r>
            <w:r w:rsidRPr="002F2232">
              <w:rPr>
                <w:rFonts w:ascii="Nunito Sans" w:hAnsi="Nunito Sans" w:eastAsia="Arial" w:cs="Calibri"/>
                <w:color w:val="000000" w:themeColor="text1"/>
                <w:sz w:val="18"/>
                <w:szCs w:val="18"/>
              </w:rPr>
              <w:t xml:space="preserve"> Actualización y maduración del Modelo de Seguridad y Privacidad de la Información del MINENERGÍA.</w:t>
            </w:r>
          </w:p>
        </w:tc>
        <w:tc>
          <w:tcPr>
            <w:tcW w:w="2916" w:type="dxa"/>
            <w:vAlign w:val="center"/>
          </w:tcPr>
          <w:p w:rsidRPr="002F2232" w:rsidR="005E3BD6" w:rsidP="00B4771C" w:rsidRDefault="005E3BD6" w14:paraId="42327D6B" w14:textId="77777777">
            <w:pPr>
              <w:jc w:val="center"/>
              <w:rPr>
                <w:rFonts w:ascii="Nunito Sans" w:hAnsi="Nunito Sans" w:eastAsia="Arial" w:cs="Calibri"/>
                <w:color w:val="000000" w:themeColor="text1"/>
                <w:sz w:val="18"/>
                <w:szCs w:val="18"/>
              </w:rPr>
            </w:pPr>
            <w:r w:rsidRPr="002F2232">
              <w:rPr>
                <w:rFonts w:ascii="Nunito Sans" w:hAnsi="Nunito Sans" w:eastAsia="Arial" w:cs="Calibri"/>
                <w:sz w:val="18"/>
                <w:szCs w:val="18"/>
              </w:rPr>
              <w:t>IN-08: fortalecimiento de las capacidades en Seguridad Digital.</w:t>
            </w:r>
          </w:p>
        </w:tc>
        <w:tc>
          <w:tcPr>
            <w:tcW w:w="2536" w:type="dxa"/>
            <w:tcMar>
              <w:left w:w="70" w:type="dxa"/>
              <w:right w:w="70" w:type="dxa"/>
            </w:tcMar>
            <w:vAlign w:val="center"/>
          </w:tcPr>
          <w:p w:rsidRPr="002F2232" w:rsidR="005E3BD6" w:rsidP="00B4771C" w:rsidRDefault="005E3BD6" w14:paraId="260243FF" w14:textId="77777777">
            <w:pPr>
              <w:jc w:val="center"/>
              <w:rPr>
                <w:rFonts w:ascii="Nunito Sans" w:hAnsi="Nunito Sans" w:eastAsia="Arial" w:cs="Calibri"/>
                <w:color w:val="000000" w:themeColor="text1"/>
                <w:sz w:val="18"/>
                <w:szCs w:val="18"/>
              </w:rPr>
            </w:pPr>
            <w:r w:rsidRPr="002F2232">
              <w:rPr>
                <w:rFonts w:ascii="Nunito Sans" w:hAnsi="Nunito Sans" w:eastAsia="Arial" w:cs="Calibri"/>
                <w:color w:val="000000" w:themeColor="text1"/>
                <w:sz w:val="18"/>
                <w:szCs w:val="18"/>
              </w:rPr>
              <w:t xml:space="preserve">Se pueden alinear las políticas y estándares de seguridad para facilitar el intercambio seguro de </w:t>
            </w:r>
            <w:r w:rsidRPr="002F2232">
              <w:rPr>
                <w:rFonts w:ascii="Nunito Sans" w:hAnsi="Nunito Sans" w:eastAsia="Arial" w:cs="Calibri"/>
                <w:color w:val="000000" w:themeColor="text1"/>
                <w:sz w:val="18"/>
                <w:szCs w:val="18"/>
              </w:rPr>
              <w:lastRenderedPageBreak/>
              <w:t>información y la respuesta coordinada a incidentes de seguridad.</w:t>
            </w:r>
          </w:p>
        </w:tc>
      </w:tr>
    </w:tbl>
    <w:p w:rsidRPr="00EF5DE4" w:rsidR="005E3BD6" w:rsidP="005E3BD6" w:rsidRDefault="005E3BD6" w14:paraId="0BFCC20A"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lastRenderedPageBreak/>
        <w:t>Fuente: Elaboración propia</w:t>
      </w:r>
    </w:p>
    <w:p w:rsidR="005E3BD6" w:rsidP="005E3BD6" w:rsidRDefault="005E3BD6" w14:paraId="7AACA144"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47A4C922"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4: Modernización de Infraestructura y Plataforma Tecnológica</w:t>
      </w:r>
    </w:p>
    <w:p w:rsidR="005E3BD6" w:rsidP="005E3BD6" w:rsidRDefault="005E3BD6" w14:paraId="17C4FD1D"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 </w:t>
      </w:r>
    </w:p>
    <w:p w:rsidRPr="002F2232" w:rsidR="005E3BD6" w:rsidP="005E3BD6" w:rsidRDefault="005E3BD6" w14:paraId="7B2EFA41"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Ambas entidades están planeando una migración a la nube. Sería beneficioso estandarizar la plataforma tecnológica base del sector, facilitando futuras integraciones.</w:t>
      </w:r>
    </w:p>
    <w:p w:rsidR="005E3BD6" w:rsidP="005E3BD6" w:rsidRDefault="005E3BD6" w14:paraId="54437CB5" w14:textId="77777777">
      <w:pPr>
        <w:ind w:left="426"/>
        <w:jc w:val="both"/>
        <w:rPr>
          <w:rFonts w:ascii="Nunito Sans" w:hAnsi="Nunito Sans" w:cs="Calibri" w:eastAsiaTheme="minorEastAsia"/>
          <w:i/>
          <w:iCs/>
          <w:color w:val="FF0000"/>
          <w:sz w:val="22"/>
          <w:szCs w:val="22"/>
          <w:lang w:val="es-ES"/>
        </w:rPr>
      </w:pPr>
    </w:p>
    <w:p w:rsidRPr="00EB43A6" w:rsidR="005E3BD6" w:rsidP="005E3BD6" w:rsidRDefault="005A7E98" w14:paraId="3C141794" w14:textId="0F2CE9C8">
      <w:pPr>
        <w:ind w:left="360" w:hanging="360"/>
        <w:jc w:val="center"/>
        <w:rPr>
          <w:rFonts w:ascii="Nunito Sans" w:hAnsi="Nunito Sans" w:cs="Calibri"/>
          <w:b/>
          <w:bCs/>
          <w:sz w:val="18"/>
          <w:szCs w:val="18"/>
        </w:rPr>
      </w:pPr>
      <w:bookmarkStart w:name="_Toc220664212" w:id="335"/>
      <w:r w:rsidRPr="005A7E98">
        <w:rPr>
          <w:rFonts w:ascii="Nunito Sans" w:hAnsi="Nunito Sans" w:cs="Calibri"/>
          <w:b/>
          <w:bCs/>
          <w:sz w:val="18"/>
          <w:szCs w:val="18"/>
        </w:rPr>
        <w:t xml:space="preserve">Tabla </w:t>
      </w:r>
      <w:r w:rsidRPr="005A7E98">
        <w:rPr>
          <w:rFonts w:ascii="Nunito Sans" w:hAnsi="Nunito Sans" w:cs="Calibri"/>
          <w:b/>
          <w:bCs/>
          <w:sz w:val="18"/>
          <w:szCs w:val="18"/>
        </w:rPr>
        <w:fldChar w:fldCharType="begin"/>
      </w:r>
      <w:r w:rsidRPr="005A7E98">
        <w:rPr>
          <w:rFonts w:ascii="Nunito Sans" w:hAnsi="Nunito Sans" w:cs="Calibri"/>
          <w:b/>
          <w:bCs/>
          <w:sz w:val="18"/>
          <w:szCs w:val="18"/>
        </w:rPr>
        <w:instrText xml:space="preserve"> SEQ Tabla \* ARABIC </w:instrText>
      </w:r>
      <w:r w:rsidRPr="005A7E98">
        <w:rPr>
          <w:rFonts w:ascii="Nunito Sans" w:hAnsi="Nunito Sans" w:cs="Calibri"/>
          <w:b/>
          <w:bCs/>
          <w:sz w:val="18"/>
          <w:szCs w:val="18"/>
        </w:rPr>
        <w:fldChar w:fldCharType="separate"/>
      </w:r>
      <w:r w:rsidR="00C57F7B">
        <w:rPr>
          <w:rFonts w:ascii="Nunito Sans" w:hAnsi="Nunito Sans" w:cs="Calibri"/>
          <w:b/>
          <w:bCs/>
          <w:noProof/>
          <w:sz w:val="18"/>
          <w:szCs w:val="18"/>
        </w:rPr>
        <w:t>41</w:t>
      </w:r>
      <w:r w:rsidRPr="005A7E98">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ANH en el Eje 4</w:t>
      </w:r>
      <w:bookmarkEnd w:id="335"/>
    </w:p>
    <w:tbl>
      <w:tblPr>
        <w:tblW w:w="8193" w:type="dxa"/>
        <w:tblInd w:w="557"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773"/>
        <w:gridCol w:w="2899"/>
        <w:gridCol w:w="2521"/>
      </w:tblGrid>
      <w:tr w:rsidRPr="002F2232" w:rsidR="005E3BD6" w:rsidTr="00785B09" w14:paraId="752F7C57" w14:textId="77777777">
        <w:trPr>
          <w:trHeight w:val="464"/>
        </w:trPr>
        <w:tc>
          <w:tcPr>
            <w:tcW w:w="277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F2232" w:rsidR="005E3BD6" w:rsidP="00B4771C" w:rsidRDefault="005E3BD6" w14:paraId="69D94ADA"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Ministerio de Minas</w:t>
            </w:r>
          </w:p>
          <w:p w:rsidRPr="002F2232" w:rsidR="005E3BD6" w:rsidP="00B4771C" w:rsidRDefault="005E3BD6" w14:paraId="50196EFA"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y Energía (MME)</w:t>
            </w:r>
          </w:p>
        </w:tc>
        <w:tc>
          <w:tcPr>
            <w:tcW w:w="289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F2232" w:rsidR="005E3BD6" w:rsidP="00B4771C" w:rsidRDefault="005E3BD6" w14:paraId="7AC3483B"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Agencia Nacional De Hidrocarburos (ANH)</w:t>
            </w:r>
          </w:p>
        </w:tc>
        <w:tc>
          <w:tcPr>
            <w:tcW w:w="252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F2232" w:rsidR="005E3BD6" w:rsidP="00B4771C" w:rsidRDefault="005E3BD6" w14:paraId="30B6F05A"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Observaciones de Arquitectura</w:t>
            </w:r>
          </w:p>
        </w:tc>
      </w:tr>
      <w:tr w:rsidRPr="002F2232" w:rsidR="005E3BD6" w:rsidTr="00785B09" w14:paraId="762F155A" w14:textId="77777777">
        <w:trPr>
          <w:trHeight w:val="1129"/>
        </w:trPr>
        <w:tc>
          <w:tcPr>
            <w:tcW w:w="2773" w:type="dxa"/>
            <w:tcBorders>
              <w:top w:val="single" w:color="FFFFFF" w:themeColor="background1" w:sz="4" w:space="0"/>
            </w:tcBorders>
            <w:tcMar>
              <w:left w:w="70" w:type="dxa"/>
              <w:right w:w="70" w:type="dxa"/>
            </w:tcMar>
            <w:vAlign w:val="center"/>
          </w:tcPr>
          <w:p w:rsidRPr="002F2232" w:rsidR="005E3BD6" w:rsidP="00B4771C" w:rsidRDefault="005E3BD6" w14:paraId="39C21908"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106:</w:t>
            </w:r>
            <w:r w:rsidRPr="002F2232">
              <w:rPr>
                <w:rFonts w:ascii="Nunito Sans" w:hAnsi="Nunito Sans" w:eastAsia="Arial" w:cs="Calibri"/>
                <w:color w:val="000000" w:themeColor="text1"/>
                <w:sz w:val="18"/>
                <w:szCs w:val="18"/>
              </w:rPr>
              <w:t xml:space="preserve"> Adquisición de infraestructura tecnológica de Software, hardware y Soluciones Integrales.</w:t>
            </w:r>
          </w:p>
        </w:tc>
        <w:tc>
          <w:tcPr>
            <w:tcW w:w="2899" w:type="dxa"/>
            <w:tcBorders>
              <w:top w:val="single" w:color="FFFFFF" w:themeColor="background1" w:sz="4" w:space="0"/>
            </w:tcBorders>
            <w:vAlign w:val="center"/>
          </w:tcPr>
          <w:p w:rsidRPr="002F2232" w:rsidR="005E3BD6" w:rsidP="00B4771C" w:rsidRDefault="005E3BD6" w14:paraId="66471275"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IN-10:</w:t>
            </w:r>
            <w:r w:rsidRPr="002F2232">
              <w:rPr>
                <w:rFonts w:ascii="Nunito Sans" w:hAnsi="Nunito Sans" w:eastAsia="Arial" w:cs="Calibri"/>
                <w:color w:val="000000" w:themeColor="text1"/>
                <w:sz w:val="18"/>
                <w:szCs w:val="18"/>
              </w:rPr>
              <w:t xml:space="preserve"> Fortalecimiento de las capacidades de la Infraestructura tecnológica de la ANH.</w:t>
            </w:r>
          </w:p>
          <w:p w:rsidRPr="002F2232" w:rsidR="005E3BD6" w:rsidP="00B4771C" w:rsidRDefault="005E3BD6" w14:paraId="4F9C0871" w14:textId="77777777">
            <w:pPr>
              <w:jc w:val="center"/>
              <w:rPr>
                <w:rFonts w:ascii="Nunito Sans" w:hAnsi="Nunito Sans" w:eastAsia="Arial" w:cs="Calibri"/>
                <w:color w:val="000000" w:themeColor="text1"/>
                <w:sz w:val="18"/>
                <w:szCs w:val="18"/>
              </w:rPr>
            </w:pPr>
          </w:p>
        </w:tc>
        <w:tc>
          <w:tcPr>
            <w:tcW w:w="2521" w:type="dxa"/>
            <w:tcBorders>
              <w:top w:val="single" w:color="FFFFFF" w:themeColor="background1" w:sz="4" w:space="0"/>
            </w:tcBorders>
            <w:tcMar>
              <w:left w:w="70" w:type="dxa"/>
              <w:right w:w="70" w:type="dxa"/>
            </w:tcMar>
            <w:vAlign w:val="center"/>
          </w:tcPr>
          <w:p w:rsidRPr="002F2232" w:rsidR="005E3BD6" w:rsidP="00B4771C" w:rsidRDefault="005E3BD6" w14:paraId="2FFCAD25" w14:textId="77777777">
            <w:pPr>
              <w:jc w:val="center"/>
              <w:rPr>
                <w:rFonts w:ascii="Nunito Sans" w:hAnsi="Nunito Sans" w:eastAsia="Arial" w:cs="Calibri"/>
                <w:color w:val="000000" w:themeColor="text1"/>
                <w:sz w:val="18"/>
                <w:szCs w:val="18"/>
              </w:rPr>
            </w:pPr>
            <w:r w:rsidRPr="002F2232">
              <w:rPr>
                <w:rFonts w:ascii="Nunito Sans" w:hAnsi="Nunito Sans" w:eastAsia="Arial" w:cs="Calibri"/>
                <w:color w:val="000000" w:themeColor="text1"/>
                <w:sz w:val="18"/>
                <w:szCs w:val="18"/>
              </w:rPr>
              <w:t>Ambas entidades buscan modernizar su infraestructura.</w:t>
            </w:r>
          </w:p>
          <w:p w:rsidRPr="002F2232" w:rsidR="005E3BD6" w:rsidP="00B4771C" w:rsidRDefault="005E3BD6" w14:paraId="0B8B32F8" w14:textId="77777777">
            <w:pPr>
              <w:jc w:val="center"/>
              <w:rPr>
                <w:rFonts w:ascii="Nunito Sans" w:hAnsi="Nunito Sans" w:eastAsia="Arial" w:cs="Calibri"/>
                <w:color w:val="000000" w:themeColor="text1"/>
                <w:sz w:val="18"/>
                <w:szCs w:val="18"/>
              </w:rPr>
            </w:pPr>
          </w:p>
        </w:tc>
      </w:tr>
    </w:tbl>
    <w:p w:rsidRPr="000A3312" w:rsidR="005E3BD6" w:rsidP="005E3BD6" w:rsidRDefault="005E3BD6" w14:paraId="075325EB"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1BE2648B"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5737D680"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5: Desarrollo y Mantenimiento de Software.</w:t>
      </w:r>
    </w:p>
    <w:p w:rsidR="005E3BD6" w:rsidP="005E3BD6" w:rsidRDefault="005E3BD6" w14:paraId="142CDA93"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17C9E65D" w14:textId="77777777">
      <w:pPr>
        <w:jc w:val="both"/>
        <w:rPr>
          <w:rFonts w:ascii="Nunito Sans" w:hAnsi="Nunito Sans" w:cs="Calibri"/>
          <w:sz w:val="22"/>
          <w:szCs w:val="22"/>
        </w:rPr>
      </w:pPr>
      <w:r w:rsidRPr="761B0734">
        <w:rPr>
          <w:rFonts w:ascii="Nunito Sans" w:hAnsi="Nunito Sans" w:eastAsia="Arial" w:cs="Calibri"/>
          <w:sz w:val="22"/>
          <w:szCs w:val="22"/>
          <w:lang w:val="es-ES"/>
        </w:rPr>
        <w:t>El desarrollo y la evolución de los sistemas de información son constantes.</w:t>
      </w:r>
    </w:p>
    <w:p w:rsidR="005E3BD6" w:rsidP="005E3BD6" w:rsidRDefault="005E3BD6" w14:paraId="379730AA" w14:textId="77777777">
      <w:pPr>
        <w:jc w:val="both"/>
        <w:rPr>
          <w:rFonts w:ascii="Nunito Sans" w:hAnsi="Nunito Sans" w:cs="Calibri" w:eastAsiaTheme="minorEastAsia"/>
          <w:i/>
          <w:iCs/>
          <w:color w:val="FF0000"/>
          <w:sz w:val="22"/>
          <w:szCs w:val="22"/>
          <w:lang w:val="es-ES"/>
        </w:rPr>
      </w:pPr>
    </w:p>
    <w:p w:rsidRPr="00EB43A6" w:rsidR="005E3BD6" w:rsidP="005E3BD6" w:rsidRDefault="00D47139" w14:paraId="3E32AA0C" w14:textId="1EFBD221">
      <w:pPr>
        <w:ind w:left="360" w:hanging="360"/>
        <w:jc w:val="center"/>
        <w:rPr>
          <w:rFonts w:ascii="Nunito Sans" w:hAnsi="Nunito Sans" w:cs="Calibri"/>
          <w:b/>
          <w:bCs/>
          <w:sz w:val="18"/>
          <w:szCs w:val="18"/>
        </w:rPr>
      </w:pPr>
      <w:bookmarkStart w:name="_Toc220664213" w:id="336"/>
      <w:r w:rsidRPr="00D47139">
        <w:rPr>
          <w:rFonts w:ascii="Nunito Sans" w:hAnsi="Nunito Sans" w:cs="Calibri"/>
          <w:b/>
          <w:bCs/>
          <w:sz w:val="18"/>
          <w:szCs w:val="18"/>
        </w:rPr>
        <w:t xml:space="preserve">Tabla </w:t>
      </w:r>
      <w:r w:rsidRPr="00D47139">
        <w:rPr>
          <w:rFonts w:ascii="Nunito Sans" w:hAnsi="Nunito Sans" w:cs="Calibri"/>
          <w:b/>
          <w:bCs/>
          <w:sz w:val="18"/>
          <w:szCs w:val="18"/>
        </w:rPr>
        <w:fldChar w:fldCharType="begin"/>
      </w:r>
      <w:r w:rsidRPr="00D47139">
        <w:rPr>
          <w:rFonts w:ascii="Nunito Sans" w:hAnsi="Nunito Sans" w:cs="Calibri"/>
          <w:b/>
          <w:bCs/>
          <w:sz w:val="18"/>
          <w:szCs w:val="18"/>
        </w:rPr>
        <w:instrText xml:space="preserve"> SEQ Tabla \* ARABIC </w:instrText>
      </w:r>
      <w:r w:rsidRPr="00D47139">
        <w:rPr>
          <w:rFonts w:ascii="Nunito Sans" w:hAnsi="Nunito Sans" w:cs="Calibri"/>
          <w:b/>
          <w:bCs/>
          <w:sz w:val="18"/>
          <w:szCs w:val="18"/>
        </w:rPr>
        <w:fldChar w:fldCharType="separate"/>
      </w:r>
      <w:r w:rsidR="00C57F7B">
        <w:rPr>
          <w:rFonts w:ascii="Nunito Sans" w:hAnsi="Nunito Sans" w:cs="Calibri"/>
          <w:b/>
          <w:bCs/>
          <w:noProof/>
          <w:sz w:val="18"/>
          <w:szCs w:val="18"/>
        </w:rPr>
        <w:t>42</w:t>
      </w:r>
      <w:r w:rsidRPr="00D4713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ANH en el Eje 5</w:t>
      </w:r>
      <w:bookmarkEnd w:id="336"/>
    </w:p>
    <w:tbl>
      <w:tblPr>
        <w:tblW w:w="8274" w:type="dxa"/>
        <w:tblInd w:w="557"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801"/>
        <w:gridCol w:w="2634"/>
        <w:gridCol w:w="2839"/>
      </w:tblGrid>
      <w:tr w:rsidRPr="002F2232" w:rsidR="005E3BD6" w:rsidTr="00785B09" w14:paraId="158D7D85" w14:textId="77777777">
        <w:trPr>
          <w:trHeight w:val="687"/>
        </w:trPr>
        <w:tc>
          <w:tcPr>
            <w:tcW w:w="2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F2232" w:rsidR="005E3BD6" w:rsidP="00B4771C" w:rsidRDefault="005E3BD6" w14:paraId="38B2625B"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Ministerio de Minas</w:t>
            </w:r>
          </w:p>
          <w:p w:rsidRPr="002F2232" w:rsidR="005E3BD6" w:rsidP="00B4771C" w:rsidRDefault="005E3BD6" w14:paraId="2E74084A"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y Energía (MME)</w:t>
            </w:r>
          </w:p>
        </w:tc>
        <w:tc>
          <w:tcPr>
            <w:tcW w:w="263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2F2232" w:rsidR="005E3BD6" w:rsidP="00B4771C" w:rsidRDefault="005E3BD6" w14:paraId="346EC072"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Agencia Nacional De Hidrocarburos (ANH)</w:t>
            </w:r>
          </w:p>
        </w:tc>
        <w:tc>
          <w:tcPr>
            <w:tcW w:w="283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005E3BD6" w:rsidP="00B4771C" w:rsidRDefault="005E3BD6" w14:paraId="17D9ACC9"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 xml:space="preserve">Observaciones </w:t>
            </w:r>
          </w:p>
          <w:p w:rsidRPr="002F2232" w:rsidR="005E3BD6" w:rsidP="00B4771C" w:rsidRDefault="005E3BD6" w14:paraId="14C6468E"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de Arquitectura</w:t>
            </w:r>
          </w:p>
        </w:tc>
      </w:tr>
      <w:tr w:rsidRPr="002F2232" w:rsidR="005E3BD6" w:rsidTr="00785B09" w14:paraId="5997F050" w14:textId="77777777">
        <w:trPr>
          <w:trHeight w:val="1048"/>
        </w:trPr>
        <w:tc>
          <w:tcPr>
            <w:tcW w:w="2801" w:type="dxa"/>
            <w:tcBorders>
              <w:top w:val="single" w:color="FFFFFF" w:themeColor="background1" w:sz="4" w:space="0"/>
            </w:tcBorders>
            <w:tcMar>
              <w:left w:w="70" w:type="dxa"/>
              <w:right w:w="70" w:type="dxa"/>
            </w:tcMar>
            <w:vAlign w:val="center"/>
          </w:tcPr>
          <w:p w:rsidRPr="002F2232" w:rsidR="005E3BD6" w:rsidP="00B4771C" w:rsidRDefault="005E3BD6" w14:paraId="7015192D"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104:</w:t>
            </w:r>
            <w:r w:rsidRPr="002F2232">
              <w:rPr>
                <w:rFonts w:ascii="Nunito Sans" w:hAnsi="Nunito Sans" w:eastAsia="Arial" w:cs="Calibri"/>
                <w:color w:val="000000" w:themeColor="text1"/>
                <w:sz w:val="18"/>
                <w:szCs w:val="18"/>
              </w:rPr>
              <w:t xml:space="preserve"> Actualización de las funcionalidades del Sistema de Información NEON</w:t>
            </w:r>
          </w:p>
        </w:tc>
        <w:tc>
          <w:tcPr>
            <w:tcW w:w="2634" w:type="dxa"/>
            <w:tcBorders>
              <w:top w:val="single" w:color="FFFFFF" w:themeColor="background1" w:sz="4" w:space="0"/>
            </w:tcBorders>
            <w:vAlign w:val="center"/>
          </w:tcPr>
          <w:p w:rsidRPr="002F2232" w:rsidR="005E3BD6" w:rsidP="00B4771C" w:rsidRDefault="005E3BD6" w14:paraId="7473C696"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IN-04:</w:t>
            </w:r>
            <w:r w:rsidRPr="002F2232">
              <w:rPr>
                <w:rFonts w:ascii="Nunito Sans" w:hAnsi="Nunito Sans" w:eastAsia="Arial" w:cs="Calibri"/>
                <w:color w:val="000000" w:themeColor="text1"/>
                <w:sz w:val="18"/>
                <w:szCs w:val="18"/>
              </w:rPr>
              <w:t xml:space="preserve"> Fortalecimiento de la capacidad de fábrica de software - Adopción DevOps.</w:t>
            </w:r>
          </w:p>
        </w:tc>
        <w:tc>
          <w:tcPr>
            <w:tcW w:w="2839" w:type="dxa"/>
            <w:vMerge w:val="restart"/>
            <w:tcBorders>
              <w:top w:val="single" w:color="FFFFFF" w:themeColor="background1" w:sz="4" w:space="0"/>
            </w:tcBorders>
            <w:tcMar>
              <w:left w:w="70" w:type="dxa"/>
              <w:right w:w="70" w:type="dxa"/>
            </w:tcMar>
            <w:vAlign w:val="center"/>
          </w:tcPr>
          <w:p w:rsidRPr="002F2232" w:rsidR="005E3BD6" w:rsidP="00B4771C" w:rsidRDefault="53083FA8" w14:paraId="1896506C" w14:textId="326F09E8">
            <w:pPr>
              <w:jc w:val="center"/>
            </w:pPr>
            <w:r w:rsidRPr="4E60D266">
              <w:rPr>
                <w:rFonts w:ascii="Nunito Sans" w:hAnsi="Nunito Sans" w:eastAsia="Arial" w:cs="Calibri"/>
                <w:color w:val="000000" w:themeColor="text1"/>
                <w:sz w:val="18"/>
                <w:szCs w:val="18"/>
              </w:rPr>
              <w:t>La gestión de la ANH en la supervisión técnica de servicios tercerizados de software y la exigencia de prácticas DevOps a sus proveedores externos sirve como referente para el MME en la optimización de sus modelos de contratación y control de calidad de desarrollo.</w:t>
            </w:r>
          </w:p>
        </w:tc>
      </w:tr>
      <w:tr w:rsidRPr="002F2232" w:rsidR="005E3BD6" w:rsidTr="4E60D266" w14:paraId="1ED676F3" w14:textId="77777777">
        <w:trPr>
          <w:trHeight w:val="1285"/>
        </w:trPr>
        <w:tc>
          <w:tcPr>
            <w:tcW w:w="2801" w:type="dxa"/>
            <w:tcMar>
              <w:left w:w="70" w:type="dxa"/>
              <w:right w:w="70" w:type="dxa"/>
            </w:tcMar>
            <w:vAlign w:val="center"/>
          </w:tcPr>
          <w:p w:rsidRPr="002F2232" w:rsidR="005E3BD6" w:rsidP="00B4771C" w:rsidRDefault="005E3BD6" w14:paraId="34EB05EE"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107:</w:t>
            </w:r>
            <w:r w:rsidRPr="002F2232">
              <w:rPr>
                <w:rFonts w:ascii="Nunito Sans" w:hAnsi="Nunito Sans" w:eastAsia="Arial" w:cs="Calibri"/>
                <w:color w:val="000000" w:themeColor="text1"/>
                <w:sz w:val="18"/>
                <w:szCs w:val="18"/>
              </w:rPr>
              <w:t xml:space="preserve"> Definir e implementar requerimientos correctivos y evolutivos de la Herramienta ARGO.</w:t>
            </w:r>
          </w:p>
          <w:p w:rsidRPr="002F2232" w:rsidR="005E3BD6" w:rsidP="00B4771C" w:rsidRDefault="005E3BD6" w14:paraId="374F3F46"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111:</w:t>
            </w:r>
            <w:r w:rsidRPr="002F2232">
              <w:rPr>
                <w:rFonts w:ascii="Nunito Sans" w:hAnsi="Nunito Sans" w:eastAsia="Arial" w:cs="Calibri"/>
                <w:color w:val="000000" w:themeColor="text1"/>
                <w:sz w:val="18"/>
                <w:szCs w:val="18"/>
              </w:rPr>
              <w:t xml:space="preserve"> Contratar los servicios para el Desarrollo, actualización, mantenimiento y diseño de software.</w:t>
            </w:r>
          </w:p>
          <w:p w:rsidRPr="002F2232" w:rsidR="005E3BD6" w:rsidP="00B4771C" w:rsidRDefault="005E3BD6" w14:paraId="763B22AA"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114:</w:t>
            </w:r>
            <w:r w:rsidRPr="002F2232">
              <w:rPr>
                <w:rFonts w:ascii="Nunito Sans" w:hAnsi="Nunito Sans" w:eastAsia="Arial" w:cs="Calibri"/>
                <w:color w:val="000000" w:themeColor="text1"/>
                <w:sz w:val="18"/>
                <w:szCs w:val="18"/>
              </w:rPr>
              <w:t xml:space="preserve"> Definir e implementar requerimientos correctivos y evolutivos de la Herramienta SÍGAME.</w:t>
            </w:r>
          </w:p>
        </w:tc>
        <w:tc>
          <w:tcPr>
            <w:tcW w:w="2634" w:type="dxa"/>
            <w:vAlign w:val="center"/>
          </w:tcPr>
          <w:p w:rsidRPr="002F2232" w:rsidR="005E3BD6" w:rsidP="00B4771C" w:rsidRDefault="005E3BD6" w14:paraId="55ADC37A" w14:textId="77777777">
            <w:pPr>
              <w:jc w:val="center"/>
              <w:rPr>
                <w:rFonts w:ascii="Nunito Sans" w:hAnsi="Nunito Sans" w:eastAsia="Arial" w:cs="Calibri"/>
                <w:color w:val="000000" w:themeColor="text1"/>
                <w:sz w:val="18"/>
                <w:szCs w:val="18"/>
              </w:rPr>
            </w:pPr>
            <w:r w:rsidRPr="002F2232">
              <w:rPr>
                <w:rFonts w:ascii="Nunito Sans" w:hAnsi="Nunito Sans" w:eastAsia="Arial" w:cs="Calibri"/>
                <w:b/>
                <w:bCs/>
                <w:color w:val="000000" w:themeColor="text1"/>
                <w:sz w:val="18"/>
                <w:szCs w:val="18"/>
              </w:rPr>
              <w:t>IN-11:</w:t>
            </w:r>
            <w:r w:rsidRPr="002F2232">
              <w:rPr>
                <w:rFonts w:ascii="Nunito Sans" w:hAnsi="Nunito Sans" w:eastAsia="Arial" w:cs="Calibri"/>
                <w:color w:val="000000" w:themeColor="text1"/>
                <w:sz w:val="18"/>
                <w:szCs w:val="18"/>
              </w:rPr>
              <w:t xml:space="preserve"> Desarrollo, implementación y ampliación de los sistemas de información,</w:t>
            </w:r>
          </w:p>
        </w:tc>
        <w:tc>
          <w:tcPr>
            <w:tcW w:w="2839" w:type="dxa"/>
            <w:vMerge/>
            <w:vAlign w:val="center"/>
          </w:tcPr>
          <w:p w:rsidRPr="002F2232" w:rsidR="005E3BD6" w:rsidP="00B4771C" w:rsidRDefault="005E3BD6" w14:paraId="0630F292" w14:textId="77777777">
            <w:pPr>
              <w:jc w:val="center"/>
              <w:rPr>
                <w:sz w:val="18"/>
                <w:szCs w:val="18"/>
              </w:rPr>
            </w:pPr>
          </w:p>
        </w:tc>
      </w:tr>
    </w:tbl>
    <w:p w:rsidRPr="00EF5DE4" w:rsidR="005E3BD6" w:rsidP="005E3BD6" w:rsidRDefault="005E3BD6" w14:paraId="249E0CB0"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E598F8E"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2CE52FB3"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lastRenderedPageBreak/>
        <w:t>El análisis comparativo de 2025 demuestra una alineación estratégica total en cinco ejes clave de transformación digital. El mayor riesgo para el MME no es la ejecución de sus proyectos, sino ejecutarlos de forma aislada.</w:t>
      </w:r>
    </w:p>
    <w:p w:rsidR="005E3BD6" w:rsidP="005E3BD6" w:rsidRDefault="005E3BD6" w14:paraId="6F63BC31"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compromiso gerencial clave debe ser la creación de mesas de trabajo y comités con la ANH para materializar las sinergias en:</w:t>
      </w:r>
    </w:p>
    <w:p w:rsidR="005E3BD6" w:rsidP="005E3BD6" w:rsidRDefault="005E3BD6" w14:paraId="60379FA8"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 </w:t>
      </w:r>
    </w:p>
    <w:p w:rsidRPr="00785B09" w:rsidR="005E3BD6" w:rsidRDefault="005E3BD6" w14:paraId="50F4D39C" w14:textId="77777777">
      <w:pPr>
        <w:pStyle w:val="Prrafodelista"/>
        <w:numPr>
          <w:ilvl w:val="0"/>
          <w:numId w:val="3"/>
        </w:numPr>
        <w:jc w:val="both"/>
        <w:rPr>
          <w:rFonts w:ascii="Nunito Sans" w:hAnsi="Nunito Sans" w:eastAsia="Arial" w:cs="Calibri"/>
          <w:sz w:val="22"/>
          <w:szCs w:val="22"/>
          <w:lang w:val="es-ES"/>
        </w:rPr>
      </w:pPr>
      <w:r w:rsidRPr="00785B09">
        <w:rPr>
          <w:rFonts w:ascii="Nunito Sans" w:hAnsi="Nunito Sans" w:eastAsia="Arial" w:cs="Calibri"/>
          <w:sz w:val="22"/>
          <w:szCs w:val="22"/>
          <w:lang w:val="es-ES"/>
        </w:rPr>
        <w:t>Estándares Comunes: (Datos, Seguridad, Arquitectura Empresarial).</w:t>
      </w:r>
    </w:p>
    <w:p w:rsidRPr="00785B09" w:rsidR="005E3BD6" w:rsidRDefault="005E3BD6" w14:paraId="5B66F0DF" w14:textId="77777777">
      <w:pPr>
        <w:pStyle w:val="Prrafodelista"/>
        <w:numPr>
          <w:ilvl w:val="0"/>
          <w:numId w:val="3"/>
        </w:numPr>
        <w:jc w:val="both"/>
        <w:rPr>
          <w:rFonts w:ascii="Nunito Sans" w:hAnsi="Nunito Sans" w:eastAsia="Arial" w:cs="Calibri"/>
          <w:sz w:val="22"/>
          <w:szCs w:val="22"/>
          <w:lang w:val="es-ES"/>
        </w:rPr>
      </w:pPr>
      <w:r w:rsidRPr="00785B09">
        <w:rPr>
          <w:rFonts w:ascii="Nunito Sans" w:hAnsi="Nunito Sans" w:eastAsia="Arial" w:cs="Calibri"/>
          <w:sz w:val="22"/>
          <w:szCs w:val="22"/>
          <w:lang w:val="es-ES"/>
        </w:rPr>
        <w:t>Arquitecturas de Referencia: (Interoperabilidad, Nube).</w:t>
      </w:r>
    </w:p>
    <w:p w:rsidRPr="00785B09" w:rsidR="005E3BD6" w:rsidRDefault="005E3BD6" w14:paraId="173375C1" w14:textId="77777777">
      <w:pPr>
        <w:pStyle w:val="Prrafodelista"/>
        <w:numPr>
          <w:ilvl w:val="0"/>
          <w:numId w:val="3"/>
        </w:numPr>
        <w:jc w:val="both"/>
        <w:rPr>
          <w:rFonts w:ascii="Nunito Sans" w:hAnsi="Nunito Sans" w:eastAsia="Arial" w:cs="Calibri"/>
          <w:sz w:val="22"/>
          <w:szCs w:val="22"/>
          <w:lang w:val="es-ES"/>
        </w:rPr>
      </w:pPr>
      <w:r w:rsidRPr="00785B09">
        <w:rPr>
          <w:rFonts w:ascii="Nunito Sans" w:hAnsi="Nunito Sans" w:eastAsia="Arial" w:cs="Calibri"/>
          <w:sz w:val="22"/>
          <w:szCs w:val="22"/>
          <w:lang w:val="es-ES"/>
        </w:rPr>
        <w:t>Adopción de Mejores Prácticas: (DevOps).</w:t>
      </w:r>
    </w:p>
    <w:p w:rsidR="005E3BD6" w:rsidP="00785B09" w:rsidRDefault="005E3BD6" w14:paraId="267334BA" w14:textId="77777777">
      <w:pPr>
        <w:jc w:val="both"/>
        <w:rPr>
          <w:rFonts w:ascii="Nunito Sans" w:hAnsi="Nunito Sans" w:cs="Calibri" w:eastAsiaTheme="minorEastAsia"/>
          <w:i/>
          <w:iCs/>
          <w:color w:val="FF0000"/>
          <w:sz w:val="22"/>
          <w:szCs w:val="22"/>
          <w:lang w:val="es-ES"/>
        </w:rPr>
      </w:pPr>
    </w:p>
    <w:p w:rsidR="005E3BD6" w:rsidRDefault="005E3BD6" w14:paraId="2CBA964B" w14:textId="3BCA072C">
      <w:pPr>
        <w:pStyle w:val="Ttulo3"/>
        <w:numPr>
          <w:ilvl w:val="2"/>
          <w:numId w:val="37"/>
        </w:numPr>
      </w:pPr>
      <w:bookmarkStart w:name="_Toc234234500" w:id="337"/>
      <w:r w:rsidRPr="00F948EC">
        <w:t>Análisis CREG</w:t>
      </w:r>
      <w:bookmarkEnd w:id="337"/>
    </w:p>
    <w:p w:rsidRPr="00DF354F" w:rsidR="00DF354F" w:rsidP="00DF354F" w:rsidRDefault="00DF354F" w14:paraId="4B26AC1F" w14:textId="77777777">
      <w:pPr>
        <w:rPr>
          <w:lang w:val="es-ES"/>
        </w:rPr>
      </w:pPr>
    </w:p>
    <w:p w:rsidR="005E3BD6" w:rsidP="005E3BD6" w:rsidRDefault="005E3BD6" w14:paraId="0D24831B"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Se ha realizado un análisis comparativo del portafolio de proyectos de Tecnologías de la Información (TI) del </w:t>
      </w:r>
      <w:r w:rsidRPr="761B0734">
        <w:rPr>
          <w:rFonts w:ascii="Nunito Sans" w:hAnsi="Nunito Sans" w:eastAsia="Arial" w:cs="Calibri"/>
          <w:b/>
          <w:bCs/>
          <w:sz w:val="22"/>
          <w:szCs w:val="22"/>
          <w:lang w:val="es-ES"/>
        </w:rPr>
        <w:t>Ministerio de Minas y Energía (MME)</w:t>
      </w:r>
      <w:r w:rsidRPr="761B0734">
        <w:rPr>
          <w:rFonts w:ascii="Nunito Sans" w:hAnsi="Nunito Sans" w:eastAsia="Arial" w:cs="Calibri"/>
          <w:sz w:val="22"/>
          <w:szCs w:val="22"/>
          <w:lang w:val="es-ES"/>
        </w:rPr>
        <w:t xml:space="preserve"> y la </w:t>
      </w:r>
      <w:r w:rsidRPr="761B0734">
        <w:rPr>
          <w:rFonts w:ascii="Nunito Sans" w:hAnsi="Nunito Sans" w:eastAsia="Arial" w:cs="Calibri"/>
          <w:b/>
          <w:bCs/>
          <w:sz w:val="22"/>
          <w:szCs w:val="22"/>
          <w:lang w:val="es-ES"/>
        </w:rPr>
        <w:t>Comisión de Regulación de Energía y Gas (CREG)</w:t>
      </w:r>
      <w:r w:rsidRPr="761B0734">
        <w:rPr>
          <w:rFonts w:ascii="Nunito Sans" w:hAnsi="Nunito Sans" w:eastAsia="Arial" w:cs="Calibri"/>
          <w:sz w:val="22"/>
          <w:szCs w:val="22"/>
          <w:lang w:val="es-ES"/>
        </w:rPr>
        <w:t>.</w:t>
      </w:r>
    </w:p>
    <w:p w:rsidR="00785B09" w:rsidP="005E3BD6" w:rsidRDefault="00785B09" w14:paraId="7F39B2B0" w14:textId="77777777">
      <w:pPr>
        <w:jc w:val="both"/>
        <w:rPr>
          <w:rFonts w:ascii="Nunito Sans" w:hAnsi="Nunito Sans" w:eastAsia="Arial" w:cs="Calibri"/>
          <w:sz w:val="22"/>
          <w:szCs w:val="22"/>
          <w:lang w:val="es-ES"/>
        </w:rPr>
      </w:pPr>
    </w:p>
    <w:p w:rsidR="005E3BD6" w:rsidP="005E3BD6" w:rsidRDefault="005E3BD6" w14:paraId="4CC65DB4"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objetivo de este informe es identificar las alineaciones estratégicas, sinergias y diferencias de enfoque en sus iniciativas tecnológicas. Este análisis permite al MME identificar oportunidades de colaboración, optimizar la ejecución de sus proyectos (como el 101, 102, 103, 105, 106, 108 y 110) y aprender de las lecciones generadas por una entidad par del sector.</w:t>
      </w:r>
    </w:p>
    <w:p w:rsidR="005E3BD6" w:rsidP="005E3BD6" w:rsidRDefault="005E3BD6" w14:paraId="71059363"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7DF4245D"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Los proyectos se han agrupado en dominios estratégicos comunes para facilitar la comparación e identificar oportunidades de sinergia.</w:t>
      </w:r>
    </w:p>
    <w:p w:rsidR="005E3BD6" w:rsidP="005E3BD6" w:rsidRDefault="005E3BD6" w14:paraId="1A23F71A" w14:textId="77777777">
      <w:pPr>
        <w:ind w:left="426"/>
        <w:jc w:val="both"/>
        <w:rPr>
          <w:rFonts w:ascii="Nunito Sans" w:hAnsi="Nunito Sans" w:cs="Calibri" w:eastAsiaTheme="minorEastAsia"/>
          <w:i/>
          <w:iCs/>
          <w:color w:val="FF0000"/>
          <w:sz w:val="22"/>
          <w:szCs w:val="22"/>
          <w:lang w:val="es-ES"/>
        </w:rPr>
      </w:pPr>
    </w:p>
    <w:p w:rsidRPr="000C272B" w:rsidR="005E3BD6" w:rsidP="005E3BD6" w:rsidRDefault="005E3BD6" w14:paraId="70CB68E6"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1: Dominio de Datos y Analítica.</w:t>
      </w:r>
    </w:p>
    <w:p w:rsidR="005E3BD6" w:rsidP="005E3BD6" w:rsidRDefault="005E3BD6" w14:paraId="46843232" w14:textId="77777777">
      <w:pPr>
        <w:jc w:val="both"/>
        <w:rPr>
          <w:rFonts w:ascii="Nunito Sans" w:hAnsi="Nunito Sans" w:eastAsia="Arial" w:cs="Calibri"/>
          <w:b/>
          <w:bCs/>
          <w:sz w:val="22"/>
          <w:szCs w:val="22"/>
          <w:lang w:val="es-ES"/>
        </w:rPr>
      </w:pPr>
    </w:p>
    <w:p w:rsidR="005E3BD6" w:rsidP="005E3BD6" w:rsidRDefault="005E3BD6" w14:paraId="58867EB4"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identifica un fuerte enfoque en la implementación de marcos de gobernanza y la explotación de datos para la toma de decisiones.</w:t>
      </w:r>
    </w:p>
    <w:p w:rsidR="005E3BD6" w:rsidP="005E3BD6" w:rsidRDefault="005E3BD6" w14:paraId="3AB7B7BA" w14:textId="77777777">
      <w:pPr>
        <w:jc w:val="both"/>
        <w:rPr>
          <w:rFonts w:ascii="Nunito Sans" w:hAnsi="Nunito Sans" w:eastAsia="Arial" w:cs="Calibri"/>
          <w:b/>
          <w:bCs/>
          <w:sz w:val="22"/>
          <w:szCs w:val="22"/>
          <w:lang w:val="es-ES"/>
        </w:rPr>
      </w:pPr>
    </w:p>
    <w:p w:rsidRPr="00EB43A6" w:rsidR="005E3BD6" w:rsidP="005E3BD6" w:rsidRDefault="00D47139" w14:paraId="35102979" w14:textId="783F6A8C">
      <w:pPr>
        <w:ind w:left="360" w:hanging="360"/>
        <w:jc w:val="center"/>
        <w:rPr>
          <w:rFonts w:ascii="Nunito Sans" w:hAnsi="Nunito Sans" w:cs="Calibri"/>
          <w:b/>
          <w:bCs/>
          <w:sz w:val="18"/>
          <w:szCs w:val="18"/>
        </w:rPr>
      </w:pPr>
      <w:bookmarkStart w:name="_Toc220664214" w:id="338"/>
      <w:r w:rsidRPr="00D47139">
        <w:rPr>
          <w:rFonts w:ascii="Nunito Sans" w:hAnsi="Nunito Sans" w:cs="Calibri"/>
          <w:b/>
          <w:bCs/>
          <w:sz w:val="18"/>
          <w:szCs w:val="18"/>
        </w:rPr>
        <w:t xml:space="preserve">Tabla </w:t>
      </w:r>
      <w:r w:rsidRPr="00D47139">
        <w:rPr>
          <w:rFonts w:ascii="Nunito Sans" w:hAnsi="Nunito Sans" w:cs="Calibri"/>
          <w:b/>
          <w:bCs/>
          <w:sz w:val="18"/>
          <w:szCs w:val="18"/>
        </w:rPr>
        <w:fldChar w:fldCharType="begin"/>
      </w:r>
      <w:r w:rsidRPr="00D47139">
        <w:rPr>
          <w:rFonts w:ascii="Nunito Sans" w:hAnsi="Nunito Sans" w:cs="Calibri"/>
          <w:b/>
          <w:bCs/>
          <w:sz w:val="18"/>
          <w:szCs w:val="18"/>
        </w:rPr>
        <w:instrText xml:space="preserve"> SEQ Tabla \* ARABIC </w:instrText>
      </w:r>
      <w:r w:rsidRPr="00D47139">
        <w:rPr>
          <w:rFonts w:ascii="Nunito Sans" w:hAnsi="Nunito Sans" w:cs="Calibri"/>
          <w:b/>
          <w:bCs/>
          <w:sz w:val="18"/>
          <w:szCs w:val="18"/>
        </w:rPr>
        <w:fldChar w:fldCharType="separate"/>
      </w:r>
      <w:r w:rsidR="00C57F7B">
        <w:rPr>
          <w:rFonts w:ascii="Nunito Sans" w:hAnsi="Nunito Sans" w:cs="Calibri"/>
          <w:b/>
          <w:bCs/>
          <w:noProof/>
          <w:sz w:val="18"/>
          <w:szCs w:val="18"/>
        </w:rPr>
        <w:t>43</w:t>
      </w:r>
      <w:r w:rsidRPr="00D4713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CREG en el Eje 1</w:t>
      </w:r>
      <w:bookmarkEnd w:id="338"/>
    </w:p>
    <w:tbl>
      <w:tblPr>
        <w:tblW w:w="8364" w:type="dxa"/>
        <w:tblInd w:w="557"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835"/>
        <w:gridCol w:w="2694"/>
        <w:gridCol w:w="2835"/>
      </w:tblGrid>
      <w:tr w:rsidRPr="000C272B" w:rsidR="005E3BD6" w:rsidTr="00785B09" w14:paraId="61E56DDF" w14:textId="77777777">
        <w:trPr>
          <w:trHeight w:val="635"/>
        </w:trPr>
        <w:tc>
          <w:tcPr>
            <w:tcW w:w="283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F2232" w:rsidR="005E3BD6" w:rsidP="00B4771C" w:rsidRDefault="005E3BD6" w14:paraId="4813C4B3"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Ministerio de Minas</w:t>
            </w:r>
          </w:p>
          <w:p w:rsidRPr="000C272B" w:rsidR="005E3BD6" w:rsidP="00B4771C" w:rsidRDefault="005E3BD6" w14:paraId="396DD447" w14:textId="77777777">
            <w:pPr>
              <w:jc w:val="center"/>
              <w:rPr>
                <w:rFonts w:ascii="Nunito Sans" w:hAnsi="Nunito Sans" w:eastAsia="Arial" w:cs="Calibri"/>
                <w:b/>
                <w:bCs/>
                <w:color w:val="FFFFFF" w:themeColor="background1"/>
                <w:sz w:val="18"/>
                <w:szCs w:val="18"/>
              </w:rPr>
            </w:pPr>
            <w:r w:rsidRPr="002F2232">
              <w:rPr>
                <w:rFonts w:ascii="Nunito Sans" w:hAnsi="Nunito Sans" w:eastAsia="Arial" w:cs="Calibri"/>
                <w:b/>
                <w:bCs/>
                <w:color w:val="FFFFFF" w:themeColor="background1"/>
                <w:sz w:val="18"/>
                <w:szCs w:val="18"/>
              </w:rPr>
              <w:t>y Energía (MME)</w:t>
            </w:r>
          </w:p>
        </w:tc>
        <w:tc>
          <w:tcPr>
            <w:tcW w:w="269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0C272B" w:rsidR="005E3BD6" w:rsidP="00B4771C" w:rsidRDefault="005E3BD6" w14:paraId="45758C0C" w14:textId="77777777">
            <w:pPr>
              <w:jc w:val="center"/>
              <w:rPr>
                <w:rFonts w:ascii="Nunito Sans" w:hAnsi="Nunito Sans" w:eastAsia="Arial" w:cs="Calibri"/>
                <w:b/>
                <w:bCs/>
                <w:color w:val="FFFFFF" w:themeColor="background1"/>
                <w:sz w:val="18"/>
                <w:szCs w:val="18"/>
              </w:rPr>
            </w:pPr>
            <w:r>
              <w:rPr>
                <w:rFonts w:ascii="Nunito Sans" w:hAnsi="Nunito Sans" w:eastAsia="Arial" w:cs="Calibri"/>
                <w:b/>
                <w:bCs/>
                <w:color w:val="FFFFFF" w:themeColor="background1"/>
                <w:sz w:val="18"/>
                <w:szCs w:val="18"/>
              </w:rPr>
              <w:t>Comisión de Regulación de Energía y Gas (CREG)</w:t>
            </w:r>
          </w:p>
        </w:tc>
        <w:tc>
          <w:tcPr>
            <w:tcW w:w="283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0C272B" w:rsidR="005E3BD6" w:rsidP="00B4771C" w:rsidRDefault="005E3BD6" w14:paraId="498A838C"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 xml:space="preserve">Observaciones </w:t>
            </w:r>
            <w:r>
              <w:rPr>
                <w:rFonts w:ascii="Nunito Sans" w:hAnsi="Nunito Sans" w:eastAsia="Arial" w:cs="Calibri"/>
                <w:b/>
                <w:bCs/>
                <w:color w:val="FFFFFF" w:themeColor="background1"/>
                <w:sz w:val="18"/>
                <w:szCs w:val="18"/>
              </w:rPr>
              <w:t>y</w:t>
            </w:r>
            <w:r w:rsidRPr="000C272B">
              <w:rPr>
                <w:rFonts w:ascii="Nunito Sans" w:hAnsi="Nunito Sans" w:eastAsia="Arial" w:cs="Calibri"/>
                <w:b/>
                <w:bCs/>
                <w:color w:val="FFFFFF" w:themeColor="background1"/>
                <w:sz w:val="18"/>
                <w:szCs w:val="18"/>
              </w:rPr>
              <w:t xml:space="preserve"> Sinergias</w:t>
            </w:r>
          </w:p>
        </w:tc>
      </w:tr>
      <w:tr w:rsidRPr="000C272B" w:rsidR="005E3BD6" w:rsidTr="00785B09" w14:paraId="330EA69D" w14:textId="77777777">
        <w:trPr>
          <w:trHeight w:val="771"/>
        </w:trPr>
        <w:tc>
          <w:tcPr>
            <w:tcW w:w="2835" w:type="dxa"/>
            <w:tcBorders>
              <w:top w:val="single" w:color="FFFFFF" w:themeColor="background1" w:sz="4" w:space="0"/>
            </w:tcBorders>
            <w:tcMar>
              <w:left w:w="70" w:type="dxa"/>
              <w:right w:w="70" w:type="dxa"/>
            </w:tcMar>
            <w:vAlign w:val="center"/>
          </w:tcPr>
          <w:p w:rsidRPr="000C272B" w:rsidR="005E3BD6" w:rsidP="00B4771C" w:rsidRDefault="005E3BD6" w14:paraId="39B4DFF3"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102:</w:t>
            </w:r>
            <w:r w:rsidRPr="000C272B">
              <w:rPr>
                <w:rFonts w:ascii="Nunito Sans" w:hAnsi="Nunito Sans" w:eastAsia="Arial" w:cs="Calibri"/>
                <w:color w:val="000000" w:themeColor="text1"/>
                <w:sz w:val="18"/>
                <w:szCs w:val="18"/>
              </w:rPr>
              <w:t xml:space="preserve"> Fortalecimiento... Implementación del gobierno de datos</w:t>
            </w:r>
          </w:p>
        </w:tc>
        <w:tc>
          <w:tcPr>
            <w:tcW w:w="2694" w:type="dxa"/>
            <w:tcBorders>
              <w:top w:val="single" w:color="FFFFFF" w:themeColor="background1" w:sz="4" w:space="0"/>
            </w:tcBorders>
            <w:vAlign w:val="center"/>
          </w:tcPr>
          <w:p w:rsidRPr="000C272B" w:rsidR="005E3BD6" w:rsidP="00B4771C" w:rsidRDefault="005E3BD6" w14:paraId="6B00423E"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INF_PRY_02:</w:t>
            </w:r>
            <w:r w:rsidRPr="000C272B">
              <w:rPr>
                <w:rFonts w:ascii="Nunito Sans" w:hAnsi="Nunito Sans" w:eastAsia="Arial" w:cs="Calibri"/>
                <w:color w:val="000000" w:themeColor="text1"/>
                <w:sz w:val="18"/>
                <w:szCs w:val="18"/>
              </w:rPr>
              <w:t xml:space="preserve"> Actualización Gobierno de Datos</w:t>
            </w:r>
          </w:p>
        </w:tc>
        <w:tc>
          <w:tcPr>
            <w:tcW w:w="2835" w:type="dxa"/>
            <w:tcBorders>
              <w:top w:val="single" w:color="FFFFFF" w:themeColor="background1" w:sz="4" w:space="0"/>
            </w:tcBorders>
            <w:tcMar>
              <w:left w:w="70" w:type="dxa"/>
              <w:right w:w="70" w:type="dxa"/>
            </w:tcMar>
            <w:vAlign w:val="center"/>
          </w:tcPr>
          <w:p w:rsidRPr="000C272B" w:rsidR="005E3BD6" w:rsidP="00B4771C" w:rsidRDefault="005E3BD6" w14:paraId="03FA43FB" w14:textId="77777777">
            <w:pPr>
              <w:jc w:val="center"/>
              <w:rPr>
                <w:rFonts w:ascii="Nunito Sans" w:hAnsi="Nunito Sans" w:cs="Calibri"/>
                <w:sz w:val="18"/>
                <w:szCs w:val="18"/>
              </w:rPr>
            </w:pPr>
            <w:r w:rsidRPr="000C272B">
              <w:rPr>
                <w:rFonts w:ascii="Nunito Sans" w:hAnsi="Nunito Sans" w:eastAsia="Arial" w:cs="Calibri"/>
                <w:color w:val="000000" w:themeColor="text1"/>
                <w:sz w:val="18"/>
                <w:szCs w:val="18"/>
              </w:rPr>
              <w:t>Alineación Directa. Ambas entidades están implementando marcos de gobierno de datos alineados con directrices sectoriales.</w:t>
            </w:r>
          </w:p>
        </w:tc>
      </w:tr>
      <w:tr w:rsidRPr="000C272B" w:rsidR="005E3BD6" w:rsidTr="00B4771C" w14:paraId="79946780" w14:textId="77777777">
        <w:trPr>
          <w:trHeight w:val="771"/>
        </w:trPr>
        <w:tc>
          <w:tcPr>
            <w:tcW w:w="2835" w:type="dxa"/>
            <w:tcMar>
              <w:left w:w="70" w:type="dxa"/>
              <w:right w:w="70" w:type="dxa"/>
            </w:tcMar>
            <w:vAlign w:val="center"/>
          </w:tcPr>
          <w:p w:rsidRPr="000C272B" w:rsidR="005E3BD6" w:rsidP="00B4771C" w:rsidRDefault="005E3BD6" w14:paraId="541A91E0"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105:</w:t>
            </w:r>
            <w:r w:rsidRPr="000C272B">
              <w:rPr>
                <w:rFonts w:ascii="Nunito Sans" w:hAnsi="Nunito Sans" w:eastAsia="Arial" w:cs="Calibri"/>
                <w:color w:val="000000" w:themeColor="text1"/>
                <w:sz w:val="18"/>
                <w:szCs w:val="18"/>
              </w:rPr>
              <w:t xml:space="preserve"> Servicios para... tableros de Analítica... Plataforma Intégrame</w:t>
            </w:r>
          </w:p>
        </w:tc>
        <w:tc>
          <w:tcPr>
            <w:tcW w:w="2694" w:type="dxa"/>
            <w:vAlign w:val="center"/>
          </w:tcPr>
          <w:p w:rsidRPr="000C272B" w:rsidR="005E3BD6" w:rsidP="00B4771C" w:rsidRDefault="005E3BD6" w14:paraId="1A5B2B19"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INF_PRY_06:</w:t>
            </w:r>
            <w:r w:rsidRPr="000C272B">
              <w:rPr>
                <w:rFonts w:ascii="Nunito Sans" w:hAnsi="Nunito Sans" w:eastAsia="Arial" w:cs="Calibri"/>
                <w:color w:val="000000" w:themeColor="text1"/>
                <w:sz w:val="18"/>
                <w:szCs w:val="18"/>
              </w:rPr>
              <w:t xml:space="preserve"> Diseño e implementación CoE de BI y Analítica</w:t>
            </w:r>
          </w:p>
        </w:tc>
        <w:tc>
          <w:tcPr>
            <w:tcW w:w="2835" w:type="dxa"/>
            <w:tcMar>
              <w:left w:w="70" w:type="dxa"/>
              <w:right w:w="70" w:type="dxa"/>
            </w:tcMar>
            <w:vAlign w:val="center"/>
          </w:tcPr>
          <w:p w:rsidRPr="000C272B" w:rsidR="005E3BD6" w:rsidP="00B4771C" w:rsidRDefault="005E3BD6" w14:paraId="36912710" w14:textId="77777777">
            <w:pPr>
              <w:jc w:val="center"/>
              <w:rPr>
                <w:rFonts w:ascii="Nunito Sans" w:hAnsi="Nunito Sans" w:cs="Calibri"/>
                <w:sz w:val="18"/>
                <w:szCs w:val="18"/>
              </w:rPr>
            </w:pPr>
            <w:r w:rsidRPr="000C272B">
              <w:rPr>
                <w:rFonts w:ascii="Nunito Sans" w:hAnsi="Nunito Sans" w:eastAsia="Arial" w:cs="Calibri"/>
                <w:color w:val="000000" w:themeColor="text1"/>
                <w:sz w:val="18"/>
                <w:szCs w:val="18"/>
              </w:rPr>
              <w:t>Sinergia en BI. Existe una sinergia clara. La CREG está estableciendo un Centro de Excelencia (CoE) , mientras que el MME evoluciona sus tableros existentes.</w:t>
            </w:r>
          </w:p>
        </w:tc>
      </w:tr>
    </w:tbl>
    <w:p w:rsidRPr="000A3312" w:rsidR="005E3BD6" w:rsidP="005E3BD6" w:rsidRDefault="005E3BD6" w14:paraId="4D539FC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lastRenderedPageBreak/>
        <w:t>Fuente: Elaboración propia</w:t>
      </w:r>
    </w:p>
    <w:p w:rsidR="005E3BD6" w:rsidP="005E3BD6" w:rsidRDefault="005E3BD6" w14:paraId="1C253597"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5A85A058"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2: Dominio de Interoperabilidad e Integración</w:t>
      </w:r>
    </w:p>
    <w:p w:rsidR="005E3BD6" w:rsidP="005E3BD6" w:rsidRDefault="005E3BD6" w14:paraId="53653C8A" w14:textId="77777777">
      <w:pPr>
        <w:jc w:val="both"/>
        <w:rPr>
          <w:rFonts w:ascii="Nunito Sans" w:hAnsi="Nunito Sans" w:eastAsia="Arial" w:cs="Calibri"/>
          <w:b/>
          <w:bCs/>
          <w:sz w:val="22"/>
          <w:szCs w:val="22"/>
          <w:lang w:val="es-ES"/>
        </w:rPr>
      </w:pPr>
    </w:p>
    <w:p w:rsidR="005E3BD6" w:rsidP="005E3BD6" w:rsidRDefault="005E3BD6" w14:paraId="6DD05B8A" w14:textId="77777777">
      <w:pPr>
        <w:jc w:val="both"/>
        <w:rPr>
          <w:rFonts w:ascii="Nunito Sans" w:hAnsi="Nunito Sans" w:cs="Calibri"/>
          <w:sz w:val="22"/>
          <w:szCs w:val="22"/>
        </w:rPr>
      </w:pPr>
      <w:r w:rsidRPr="761B0734">
        <w:rPr>
          <w:rFonts w:ascii="Nunito Sans" w:hAnsi="Nunito Sans" w:eastAsia="Arial" w:cs="Calibri"/>
          <w:sz w:val="22"/>
          <w:szCs w:val="22"/>
          <w:lang w:val="es-ES"/>
        </w:rPr>
        <w:t>Este es un dominio de alta coincidencia, enfocado en la adopción de marcos nacionales y la habilitación técnica para el intercambio de información.</w:t>
      </w:r>
    </w:p>
    <w:p w:rsidR="005E3BD6" w:rsidP="005E3BD6" w:rsidRDefault="005E3BD6" w14:paraId="6D549C11" w14:textId="77777777">
      <w:pPr>
        <w:jc w:val="both"/>
        <w:rPr>
          <w:rFonts w:ascii="Nunito Sans" w:hAnsi="Nunito Sans" w:cs="Calibri" w:eastAsiaTheme="minorEastAsia"/>
          <w:i/>
          <w:iCs/>
          <w:color w:val="FF0000"/>
          <w:sz w:val="22"/>
          <w:szCs w:val="22"/>
          <w:lang w:val="es-ES"/>
        </w:rPr>
      </w:pPr>
    </w:p>
    <w:p w:rsidRPr="00EB43A6" w:rsidR="005E3BD6" w:rsidP="005E3BD6" w:rsidRDefault="00D47139" w14:paraId="61F41768" w14:textId="6B7D08BA">
      <w:pPr>
        <w:ind w:left="360" w:hanging="360"/>
        <w:jc w:val="center"/>
        <w:rPr>
          <w:rFonts w:ascii="Nunito Sans" w:hAnsi="Nunito Sans" w:cs="Calibri"/>
          <w:b/>
          <w:bCs/>
          <w:sz w:val="18"/>
          <w:szCs w:val="18"/>
        </w:rPr>
      </w:pPr>
      <w:bookmarkStart w:name="_Toc220664215" w:id="339"/>
      <w:r w:rsidRPr="00D47139">
        <w:rPr>
          <w:rFonts w:ascii="Nunito Sans" w:hAnsi="Nunito Sans" w:cs="Calibri"/>
          <w:b/>
          <w:bCs/>
          <w:sz w:val="18"/>
          <w:szCs w:val="18"/>
        </w:rPr>
        <w:t xml:space="preserve">Tabla </w:t>
      </w:r>
      <w:r w:rsidRPr="00D47139">
        <w:rPr>
          <w:rFonts w:ascii="Nunito Sans" w:hAnsi="Nunito Sans" w:cs="Calibri"/>
          <w:b/>
          <w:bCs/>
          <w:sz w:val="18"/>
          <w:szCs w:val="18"/>
        </w:rPr>
        <w:fldChar w:fldCharType="begin"/>
      </w:r>
      <w:r w:rsidRPr="00D47139">
        <w:rPr>
          <w:rFonts w:ascii="Nunito Sans" w:hAnsi="Nunito Sans" w:cs="Calibri"/>
          <w:b/>
          <w:bCs/>
          <w:sz w:val="18"/>
          <w:szCs w:val="18"/>
        </w:rPr>
        <w:instrText xml:space="preserve"> SEQ Tabla \* ARABIC </w:instrText>
      </w:r>
      <w:r w:rsidRPr="00D47139">
        <w:rPr>
          <w:rFonts w:ascii="Nunito Sans" w:hAnsi="Nunito Sans" w:cs="Calibri"/>
          <w:b/>
          <w:bCs/>
          <w:sz w:val="18"/>
          <w:szCs w:val="18"/>
        </w:rPr>
        <w:fldChar w:fldCharType="separate"/>
      </w:r>
      <w:r w:rsidR="00C57F7B">
        <w:rPr>
          <w:rFonts w:ascii="Nunito Sans" w:hAnsi="Nunito Sans" w:cs="Calibri"/>
          <w:b/>
          <w:bCs/>
          <w:noProof/>
          <w:sz w:val="18"/>
          <w:szCs w:val="18"/>
        </w:rPr>
        <w:t>44</w:t>
      </w:r>
      <w:r w:rsidRPr="00D4713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CREG en el Eje 2</w:t>
      </w:r>
      <w:bookmarkEnd w:id="339"/>
    </w:p>
    <w:tbl>
      <w:tblPr>
        <w:tblW w:w="8500"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972"/>
        <w:gridCol w:w="2693"/>
        <w:gridCol w:w="2835"/>
      </w:tblGrid>
      <w:tr w:rsidRPr="000C272B" w:rsidR="005E3BD6" w:rsidTr="006023C6" w14:paraId="4C36EEFE" w14:textId="77777777">
        <w:trPr>
          <w:trHeight w:val="303"/>
          <w:jc w:val="center"/>
        </w:trPr>
        <w:tc>
          <w:tcPr>
            <w:tcW w:w="297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0C272B" w:rsidR="005E3BD6" w:rsidP="00B4771C" w:rsidRDefault="005E3BD6" w14:paraId="6C32EBE3"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Ministerio de Minas</w:t>
            </w:r>
          </w:p>
          <w:p w:rsidRPr="000C272B" w:rsidR="005E3BD6" w:rsidP="00B4771C" w:rsidRDefault="005E3BD6" w14:paraId="78904E02"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y Energía (MME)</w:t>
            </w:r>
          </w:p>
        </w:tc>
        <w:tc>
          <w:tcPr>
            <w:tcW w:w="26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0C272B" w:rsidR="005E3BD6" w:rsidP="00B4771C" w:rsidRDefault="005E3BD6" w14:paraId="530DAE51"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Comisión de Regulación de Energía y Gas (CREG)</w:t>
            </w:r>
          </w:p>
        </w:tc>
        <w:tc>
          <w:tcPr>
            <w:tcW w:w="283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0C272B" w:rsidR="005E3BD6" w:rsidP="00B4771C" w:rsidRDefault="005E3BD6" w14:paraId="4EE5428D"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Observaciones y Sinergias</w:t>
            </w:r>
          </w:p>
        </w:tc>
      </w:tr>
      <w:tr w:rsidRPr="000C272B" w:rsidR="005E3BD6" w:rsidTr="006023C6" w14:paraId="06E7ABE1" w14:textId="77777777">
        <w:trPr>
          <w:trHeight w:val="981"/>
          <w:jc w:val="center"/>
        </w:trPr>
        <w:tc>
          <w:tcPr>
            <w:tcW w:w="2972" w:type="dxa"/>
            <w:tcBorders>
              <w:top w:val="single" w:color="FFFFFF" w:themeColor="background1" w:sz="4" w:space="0"/>
            </w:tcBorders>
            <w:tcMar>
              <w:left w:w="70" w:type="dxa"/>
              <w:right w:w="70" w:type="dxa"/>
            </w:tcMar>
            <w:vAlign w:val="center"/>
          </w:tcPr>
          <w:p w:rsidRPr="000C272B" w:rsidR="005E3BD6" w:rsidP="00B4771C" w:rsidRDefault="005E3BD6" w14:paraId="727B62F5"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103:</w:t>
            </w:r>
            <w:r w:rsidRPr="000C272B">
              <w:rPr>
                <w:rFonts w:ascii="Nunito Sans" w:hAnsi="Nunito Sans" w:eastAsia="Arial" w:cs="Calibri"/>
                <w:color w:val="000000" w:themeColor="text1"/>
                <w:sz w:val="18"/>
                <w:szCs w:val="18"/>
              </w:rPr>
              <w:t xml:space="preserve"> Evolución a la implementación del Marco de Interoperabilidad... MINTIC</w:t>
            </w:r>
          </w:p>
        </w:tc>
        <w:tc>
          <w:tcPr>
            <w:tcW w:w="2693" w:type="dxa"/>
            <w:tcBorders>
              <w:top w:val="single" w:color="FFFFFF" w:themeColor="background1" w:sz="4" w:space="0"/>
            </w:tcBorders>
            <w:vAlign w:val="center"/>
          </w:tcPr>
          <w:p w:rsidRPr="000C272B" w:rsidR="005E3BD6" w:rsidP="00B4771C" w:rsidRDefault="005E3BD6" w14:paraId="0290454C"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INF_PRY_05:</w:t>
            </w:r>
            <w:r w:rsidRPr="000C272B">
              <w:rPr>
                <w:rFonts w:ascii="Nunito Sans" w:hAnsi="Nunito Sans" w:eastAsia="Arial" w:cs="Calibri"/>
                <w:color w:val="000000" w:themeColor="text1"/>
                <w:sz w:val="18"/>
                <w:szCs w:val="18"/>
              </w:rPr>
              <w:t xml:space="preserve"> Implementación de interoperabilidad</w:t>
            </w:r>
          </w:p>
        </w:tc>
        <w:tc>
          <w:tcPr>
            <w:tcW w:w="2835" w:type="dxa"/>
            <w:tcBorders>
              <w:top w:val="single" w:color="FFFFFF" w:themeColor="background1" w:sz="4" w:space="0"/>
            </w:tcBorders>
            <w:tcMar>
              <w:left w:w="70" w:type="dxa"/>
              <w:right w:w="70" w:type="dxa"/>
            </w:tcMar>
            <w:vAlign w:val="center"/>
          </w:tcPr>
          <w:p w:rsidRPr="000C272B" w:rsidR="005E3BD6" w:rsidP="00B4771C" w:rsidRDefault="005E3BD6" w14:paraId="73BF247C" w14:textId="77777777">
            <w:pPr>
              <w:jc w:val="center"/>
              <w:rPr>
                <w:rFonts w:ascii="Nunito Sans" w:hAnsi="Nunito Sans" w:cs="Calibri"/>
                <w:sz w:val="18"/>
                <w:szCs w:val="18"/>
              </w:rPr>
            </w:pPr>
            <w:r w:rsidRPr="000C272B">
              <w:rPr>
                <w:rFonts w:ascii="Nunito Sans" w:hAnsi="Nunito Sans" w:eastAsia="Arial" w:cs="Calibri"/>
                <w:color w:val="000000" w:themeColor="text1"/>
                <w:sz w:val="18"/>
                <w:szCs w:val="18"/>
              </w:rPr>
              <w:t>Alta Alineación Estratégica. Ambas organizaciones persiguen la adopción del Marco de Interoperabilidad de MINTIC.</w:t>
            </w:r>
          </w:p>
        </w:tc>
      </w:tr>
      <w:tr w:rsidRPr="000C272B" w:rsidR="005E3BD6" w:rsidTr="00B4771C" w14:paraId="205C37C8" w14:textId="77777777">
        <w:trPr>
          <w:trHeight w:val="1327"/>
          <w:jc w:val="center"/>
        </w:trPr>
        <w:tc>
          <w:tcPr>
            <w:tcW w:w="2972" w:type="dxa"/>
            <w:tcMar>
              <w:left w:w="70" w:type="dxa"/>
              <w:right w:w="70" w:type="dxa"/>
            </w:tcMar>
            <w:vAlign w:val="center"/>
          </w:tcPr>
          <w:p w:rsidRPr="000C272B" w:rsidR="005E3BD6" w:rsidP="00B4771C" w:rsidRDefault="005E3BD6" w14:paraId="00B9807A"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101:</w:t>
            </w:r>
            <w:r w:rsidRPr="000C272B">
              <w:rPr>
                <w:rFonts w:ascii="Nunito Sans" w:hAnsi="Nunito Sans" w:eastAsia="Arial" w:cs="Calibri"/>
                <w:color w:val="000000" w:themeColor="text1"/>
                <w:sz w:val="18"/>
                <w:szCs w:val="18"/>
              </w:rPr>
              <w:t xml:space="preserve"> Implementación Interoperabilidad para los sistemas de información del MINENERGÍA</w:t>
            </w:r>
          </w:p>
        </w:tc>
        <w:tc>
          <w:tcPr>
            <w:tcW w:w="2693" w:type="dxa"/>
            <w:vAlign w:val="center"/>
          </w:tcPr>
          <w:p w:rsidRPr="000C272B" w:rsidR="005E3BD6" w:rsidP="00B4771C" w:rsidRDefault="005E3BD6" w14:paraId="67828276"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SI_PRY_03:</w:t>
            </w:r>
            <w:r w:rsidRPr="000C272B">
              <w:rPr>
                <w:rFonts w:ascii="Nunito Sans" w:hAnsi="Nunito Sans" w:eastAsia="Arial" w:cs="Calibri"/>
                <w:color w:val="000000" w:themeColor="text1"/>
                <w:sz w:val="18"/>
                <w:szCs w:val="18"/>
              </w:rPr>
              <w:t xml:space="preserve"> Adquisición plataforma de integración</w:t>
            </w:r>
          </w:p>
        </w:tc>
        <w:tc>
          <w:tcPr>
            <w:tcW w:w="2835" w:type="dxa"/>
            <w:tcMar>
              <w:left w:w="70" w:type="dxa"/>
              <w:right w:w="70" w:type="dxa"/>
            </w:tcMar>
            <w:vAlign w:val="center"/>
          </w:tcPr>
          <w:p w:rsidRPr="000C272B" w:rsidR="005E3BD6" w:rsidP="00B4771C" w:rsidRDefault="005E3BD6" w14:paraId="14D3E746" w14:textId="77777777">
            <w:pPr>
              <w:jc w:val="center"/>
              <w:rPr>
                <w:rFonts w:ascii="Nunito Sans" w:hAnsi="Nunito Sans" w:cs="Calibri"/>
                <w:sz w:val="18"/>
                <w:szCs w:val="18"/>
              </w:rPr>
            </w:pPr>
            <w:r w:rsidRPr="000C272B">
              <w:rPr>
                <w:rFonts w:ascii="Nunito Sans" w:hAnsi="Nunito Sans" w:eastAsia="Arial" w:cs="Calibri"/>
                <w:color w:val="000000" w:themeColor="text1"/>
                <w:sz w:val="18"/>
                <w:szCs w:val="18"/>
              </w:rPr>
              <w:t>Coincidencia Técnica. Se valida la necesidad de adquirir plataformas de integración (middleware/ESB) para conectar sistemas internos.</w:t>
            </w:r>
          </w:p>
        </w:tc>
      </w:tr>
    </w:tbl>
    <w:p w:rsidRPr="000A3312" w:rsidR="005E3BD6" w:rsidP="005E3BD6" w:rsidRDefault="005E3BD6" w14:paraId="0CD4B4D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72A9D5B"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18E39290"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3: Dominio de Infraestructura Tecnológica</w:t>
      </w:r>
    </w:p>
    <w:p w:rsidR="005E3BD6" w:rsidP="005E3BD6" w:rsidRDefault="005E3BD6" w14:paraId="6D7A645E"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0B6963FC" w14:textId="77777777">
      <w:pPr>
        <w:jc w:val="both"/>
        <w:rPr>
          <w:rFonts w:ascii="Nunito Sans" w:hAnsi="Nunito Sans" w:cs="Calibri"/>
        </w:rPr>
      </w:pPr>
      <w:r w:rsidRPr="761B0734">
        <w:rPr>
          <w:rFonts w:ascii="Nunito Sans" w:hAnsi="Nunito Sans" w:eastAsia="Arial" w:cs="Calibri"/>
          <w:sz w:val="22"/>
          <w:szCs w:val="22"/>
          <w:lang w:val="es-ES"/>
        </w:rPr>
        <w:t>Se identifica una alineación en la necesidad de modernización y mitigación de la obsolescencia, aunque con enfoques tácticos distintos en las nuevas tecnologías.</w:t>
      </w:r>
    </w:p>
    <w:p w:rsidR="005E3BD6" w:rsidP="005E3BD6" w:rsidRDefault="005E3BD6" w14:paraId="652D7B82" w14:textId="77777777">
      <w:pPr>
        <w:jc w:val="both"/>
        <w:rPr>
          <w:rFonts w:ascii="Nunito Sans" w:hAnsi="Nunito Sans" w:cs="Calibri" w:eastAsiaTheme="minorEastAsia"/>
          <w:i/>
          <w:iCs/>
          <w:color w:val="FF0000"/>
          <w:sz w:val="22"/>
          <w:szCs w:val="22"/>
          <w:lang w:val="es-ES"/>
        </w:rPr>
      </w:pPr>
    </w:p>
    <w:p w:rsidRPr="00EB43A6" w:rsidR="005E3BD6" w:rsidP="005E3BD6" w:rsidRDefault="00A20E15" w14:paraId="1CE81693" w14:textId="4DC9B315">
      <w:pPr>
        <w:ind w:left="360" w:hanging="360"/>
        <w:jc w:val="center"/>
        <w:rPr>
          <w:rFonts w:ascii="Nunito Sans" w:hAnsi="Nunito Sans" w:cs="Calibri"/>
          <w:b/>
          <w:bCs/>
          <w:sz w:val="18"/>
          <w:szCs w:val="18"/>
        </w:rPr>
      </w:pPr>
      <w:bookmarkStart w:name="_Toc220664216" w:id="340"/>
      <w:r w:rsidRPr="00A20E15">
        <w:rPr>
          <w:rFonts w:ascii="Nunito Sans" w:hAnsi="Nunito Sans" w:cs="Calibri"/>
          <w:b/>
          <w:bCs/>
          <w:sz w:val="18"/>
          <w:szCs w:val="18"/>
        </w:rPr>
        <w:t xml:space="preserve">Tabla </w:t>
      </w:r>
      <w:r w:rsidRPr="00A20E15">
        <w:rPr>
          <w:rFonts w:ascii="Nunito Sans" w:hAnsi="Nunito Sans" w:cs="Calibri"/>
          <w:b/>
          <w:bCs/>
          <w:sz w:val="18"/>
          <w:szCs w:val="18"/>
        </w:rPr>
        <w:fldChar w:fldCharType="begin"/>
      </w:r>
      <w:r w:rsidRPr="00A20E15">
        <w:rPr>
          <w:rFonts w:ascii="Nunito Sans" w:hAnsi="Nunito Sans" w:cs="Calibri"/>
          <w:b/>
          <w:bCs/>
          <w:sz w:val="18"/>
          <w:szCs w:val="18"/>
        </w:rPr>
        <w:instrText xml:space="preserve"> SEQ Tabla \* ARABIC </w:instrText>
      </w:r>
      <w:r w:rsidRPr="00A20E15">
        <w:rPr>
          <w:rFonts w:ascii="Nunito Sans" w:hAnsi="Nunito Sans" w:cs="Calibri"/>
          <w:b/>
          <w:bCs/>
          <w:sz w:val="18"/>
          <w:szCs w:val="18"/>
        </w:rPr>
        <w:fldChar w:fldCharType="separate"/>
      </w:r>
      <w:r w:rsidR="00C57F7B">
        <w:rPr>
          <w:rFonts w:ascii="Nunito Sans" w:hAnsi="Nunito Sans" w:cs="Calibri"/>
          <w:b/>
          <w:bCs/>
          <w:noProof/>
          <w:sz w:val="18"/>
          <w:szCs w:val="18"/>
        </w:rPr>
        <w:t>45</w:t>
      </w:r>
      <w:r w:rsidRPr="00A20E15">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CREG en el Eje 3</w:t>
      </w:r>
      <w:bookmarkEnd w:id="340"/>
    </w:p>
    <w:tbl>
      <w:tblPr>
        <w:tblW w:w="8505" w:type="dxa"/>
        <w:tblInd w:w="416"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976"/>
        <w:gridCol w:w="2694"/>
        <w:gridCol w:w="2835"/>
      </w:tblGrid>
      <w:tr w:rsidRPr="000C272B" w:rsidR="005E3BD6" w:rsidTr="006023C6" w14:paraId="725CC2C8" w14:textId="77777777">
        <w:trPr>
          <w:trHeight w:val="270"/>
        </w:trPr>
        <w:tc>
          <w:tcPr>
            <w:tcW w:w="297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0C272B" w:rsidR="005E3BD6" w:rsidP="00B4771C" w:rsidRDefault="005E3BD6" w14:paraId="0EB6D1E8"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Ministerio de Minas</w:t>
            </w:r>
          </w:p>
          <w:p w:rsidRPr="000C272B" w:rsidR="005E3BD6" w:rsidP="00B4771C" w:rsidRDefault="005E3BD6" w14:paraId="169F7638"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y Energía (MME)</w:t>
            </w:r>
          </w:p>
        </w:tc>
        <w:tc>
          <w:tcPr>
            <w:tcW w:w="269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0C272B" w:rsidR="005E3BD6" w:rsidP="00B4771C" w:rsidRDefault="005E3BD6" w14:paraId="7E86FA03"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Comisión de Regulación de Energía y Gas (CREG)</w:t>
            </w:r>
          </w:p>
        </w:tc>
        <w:tc>
          <w:tcPr>
            <w:tcW w:w="283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0C272B" w:rsidR="005E3BD6" w:rsidP="00B4771C" w:rsidRDefault="005E3BD6" w14:paraId="1B3243B9" w14:textId="77777777">
            <w:pPr>
              <w:jc w:val="center"/>
              <w:rPr>
                <w:rFonts w:ascii="Nunito Sans" w:hAnsi="Nunito Sans" w:eastAsia="Arial" w:cs="Calibri"/>
                <w:b/>
                <w:bCs/>
                <w:color w:val="FFFFFF" w:themeColor="background1"/>
                <w:sz w:val="18"/>
                <w:szCs w:val="18"/>
              </w:rPr>
            </w:pPr>
            <w:r w:rsidRPr="000C272B">
              <w:rPr>
                <w:rFonts w:ascii="Nunito Sans" w:hAnsi="Nunito Sans" w:eastAsia="Arial" w:cs="Calibri"/>
                <w:b/>
                <w:bCs/>
                <w:color w:val="FFFFFF" w:themeColor="background1"/>
                <w:sz w:val="18"/>
                <w:szCs w:val="18"/>
              </w:rPr>
              <w:t>Observaciones y Sinergias</w:t>
            </w:r>
          </w:p>
        </w:tc>
      </w:tr>
      <w:tr w:rsidRPr="000C272B" w:rsidR="005E3BD6" w:rsidTr="006023C6" w14:paraId="133114CC" w14:textId="77777777">
        <w:trPr>
          <w:trHeight w:val="1035"/>
        </w:trPr>
        <w:tc>
          <w:tcPr>
            <w:tcW w:w="2976" w:type="dxa"/>
            <w:tcBorders>
              <w:top w:val="single" w:color="FFFFFF" w:themeColor="background1" w:sz="4" w:space="0"/>
            </w:tcBorders>
            <w:tcMar>
              <w:left w:w="70" w:type="dxa"/>
              <w:right w:w="70" w:type="dxa"/>
            </w:tcMar>
            <w:vAlign w:val="center"/>
          </w:tcPr>
          <w:p w:rsidRPr="000C272B" w:rsidR="005E3BD6" w:rsidP="00B4771C" w:rsidRDefault="005E3BD6" w14:paraId="6BA963CC"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106:</w:t>
            </w:r>
            <w:r w:rsidRPr="000C272B">
              <w:rPr>
                <w:rFonts w:ascii="Nunito Sans" w:hAnsi="Nunito Sans" w:eastAsia="Arial" w:cs="Calibri"/>
                <w:color w:val="000000" w:themeColor="text1"/>
                <w:sz w:val="18"/>
                <w:szCs w:val="18"/>
              </w:rPr>
              <w:t xml:space="preserve"> Adquisición de infraestructura tecnológica.</w:t>
            </w:r>
          </w:p>
        </w:tc>
        <w:tc>
          <w:tcPr>
            <w:tcW w:w="2694" w:type="dxa"/>
            <w:tcBorders>
              <w:top w:val="single" w:color="FFFFFF" w:themeColor="background1" w:sz="4" w:space="0"/>
            </w:tcBorders>
            <w:vAlign w:val="center"/>
          </w:tcPr>
          <w:p w:rsidRPr="000C272B" w:rsidR="005E3BD6" w:rsidP="00B4771C" w:rsidRDefault="005E3BD6" w14:paraId="5C666DBD"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INFRA_PRY_01:</w:t>
            </w:r>
            <w:r w:rsidRPr="000C272B">
              <w:rPr>
                <w:rFonts w:ascii="Nunito Sans" w:hAnsi="Nunito Sans" w:eastAsia="Arial" w:cs="Calibri"/>
                <w:color w:val="000000" w:themeColor="text1"/>
                <w:sz w:val="18"/>
                <w:szCs w:val="18"/>
              </w:rPr>
              <w:t xml:space="preserve"> Renovación tecnológica de infraestructura.</w:t>
            </w:r>
          </w:p>
        </w:tc>
        <w:tc>
          <w:tcPr>
            <w:tcW w:w="2835" w:type="dxa"/>
            <w:tcBorders>
              <w:top w:val="single" w:color="FFFFFF" w:themeColor="background1" w:sz="4" w:space="0"/>
            </w:tcBorders>
            <w:tcMar>
              <w:left w:w="70" w:type="dxa"/>
              <w:right w:w="70" w:type="dxa"/>
            </w:tcMar>
            <w:vAlign w:val="center"/>
          </w:tcPr>
          <w:p w:rsidRPr="000C272B" w:rsidR="005E3BD6" w:rsidP="00B4771C" w:rsidRDefault="005E3BD6" w14:paraId="608CC366" w14:textId="77777777">
            <w:pPr>
              <w:jc w:val="center"/>
              <w:rPr>
                <w:rFonts w:ascii="Nunito Sans" w:hAnsi="Nunito Sans" w:cs="Calibri"/>
                <w:sz w:val="18"/>
                <w:szCs w:val="18"/>
              </w:rPr>
            </w:pPr>
            <w:r w:rsidRPr="000C272B">
              <w:rPr>
                <w:rFonts w:ascii="Nunito Sans" w:hAnsi="Nunito Sans" w:eastAsia="Arial" w:cs="Calibri"/>
                <w:color w:val="000000" w:themeColor="text1"/>
                <w:sz w:val="18"/>
                <w:szCs w:val="18"/>
              </w:rPr>
              <w:t>Objetivo Común. Ambos proyectos abordan la obsolescencia tecnológica y la renovación de la infraestructura base.</w:t>
            </w:r>
          </w:p>
        </w:tc>
      </w:tr>
      <w:tr w:rsidRPr="000C272B" w:rsidR="005E3BD6" w:rsidTr="00B4771C" w14:paraId="72897B1F" w14:textId="77777777">
        <w:trPr>
          <w:trHeight w:val="1110"/>
        </w:trPr>
        <w:tc>
          <w:tcPr>
            <w:tcW w:w="2976" w:type="dxa"/>
            <w:tcMar>
              <w:left w:w="70" w:type="dxa"/>
              <w:right w:w="70" w:type="dxa"/>
            </w:tcMar>
            <w:vAlign w:val="center"/>
          </w:tcPr>
          <w:p w:rsidRPr="000C272B" w:rsidR="005E3BD6" w:rsidP="00B4771C" w:rsidRDefault="005E3BD6" w14:paraId="5CF7896F"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108:</w:t>
            </w:r>
            <w:r w:rsidRPr="000C272B">
              <w:rPr>
                <w:rFonts w:ascii="Nunito Sans" w:hAnsi="Nunito Sans" w:eastAsia="Arial" w:cs="Calibri"/>
                <w:color w:val="000000" w:themeColor="text1"/>
                <w:sz w:val="18"/>
                <w:szCs w:val="18"/>
              </w:rPr>
              <w:t xml:space="preserve"> Implementar una solución para respaldo y almacenamiento en nube</w:t>
            </w:r>
          </w:p>
        </w:tc>
        <w:tc>
          <w:tcPr>
            <w:tcW w:w="2694" w:type="dxa"/>
            <w:vAlign w:val="center"/>
          </w:tcPr>
          <w:p w:rsidRPr="000C272B" w:rsidR="005E3BD6" w:rsidP="00B4771C" w:rsidRDefault="005E3BD6" w14:paraId="1F60516D" w14:textId="325DDAF9">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INFRA_PRY_02:</w:t>
            </w:r>
            <w:r w:rsidRPr="000C272B">
              <w:rPr>
                <w:rFonts w:ascii="Nunito Sans" w:hAnsi="Nunito Sans" w:eastAsia="Arial" w:cs="Calibri"/>
                <w:color w:val="000000" w:themeColor="text1"/>
                <w:sz w:val="18"/>
                <w:szCs w:val="18"/>
              </w:rPr>
              <w:t xml:space="preserve"> plataforma de </w:t>
            </w:r>
            <w:r w:rsidRPr="000C272B" w:rsidR="006023C6">
              <w:rPr>
                <w:rFonts w:ascii="Nunito Sans" w:hAnsi="Nunito Sans" w:eastAsia="Arial" w:cs="Calibri"/>
                <w:color w:val="000000" w:themeColor="text1"/>
                <w:sz w:val="18"/>
                <w:szCs w:val="18"/>
              </w:rPr>
              <w:t>Hiperconvergencia</w:t>
            </w:r>
          </w:p>
        </w:tc>
        <w:tc>
          <w:tcPr>
            <w:tcW w:w="2835" w:type="dxa"/>
            <w:tcMar>
              <w:left w:w="70" w:type="dxa"/>
              <w:right w:w="70" w:type="dxa"/>
            </w:tcMar>
            <w:vAlign w:val="center"/>
          </w:tcPr>
          <w:p w:rsidRPr="000C272B" w:rsidR="005E3BD6" w:rsidP="00B4771C" w:rsidRDefault="005E3BD6" w14:paraId="4D207DDE" w14:textId="20FDA6D8">
            <w:pPr>
              <w:jc w:val="center"/>
              <w:rPr>
                <w:rFonts w:ascii="Nunito Sans" w:hAnsi="Nunito Sans" w:cs="Calibri"/>
                <w:sz w:val="18"/>
                <w:szCs w:val="18"/>
              </w:rPr>
            </w:pPr>
            <w:r w:rsidRPr="000C272B">
              <w:rPr>
                <w:rFonts w:ascii="Nunito Sans" w:hAnsi="Nunito Sans" w:eastAsia="Arial" w:cs="Calibri"/>
                <w:color w:val="000000" w:themeColor="text1"/>
                <w:sz w:val="18"/>
                <w:szCs w:val="18"/>
              </w:rPr>
              <w:t xml:space="preserve">Tendencia a la Modernización (Enfoques Diferentes). Ambas buscan modernizar. La CREG apuesta por </w:t>
            </w:r>
            <w:r w:rsidRPr="000C272B" w:rsidR="006023C6">
              <w:rPr>
                <w:rFonts w:ascii="Nunito Sans" w:hAnsi="Nunito Sans" w:eastAsia="Arial" w:cs="Calibri"/>
                <w:color w:val="000000" w:themeColor="text1"/>
                <w:sz w:val="18"/>
                <w:szCs w:val="18"/>
              </w:rPr>
              <w:t>Hiperconvergencia</w:t>
            </w:r>
            <w:r w:rsidRPr="000C272B">
              <w:rPr>
                <w:rFonts w:ascii="Nunito Sans" w:hAnsi="Nunito Sans" w:eastAsia="Arial" w:cs="Calibri"/>
                <w:color w:val="000000" w:themeColor="text1"/>
                <w:sz w:val="18"/>
                <w:szCs w:val="18"/>
              </w:rPr>
              <w:t xml:space="preserve"> (on-premise moderno), mientras que el MME se enfoca explícitamente en nube para respaldo.</w:t>
            </w:r>
          </w:p>
        </w:tc>
      </w:tr>
    </w:tbl>
    <w:p w:rsidRPr="000A3312" w:rsidR="005E3BD6" w:rsidP="005E3BD6" w:rsidRDefault="005E3BD6" w14:paraId="1F454D6C"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40B7F722" w14:textId="77777777">
      <w:pPr>
        <w:jc w:val="both"/>
        <w:rPr>
          <w:rFonts w:ascii="Nunito Sans" w:hAnsi="Nunito Sans" w:eastAsia="Arial" w:cs="Calibri"/>
          <w:sz w:val="22"/>
          <w:szCs w:val="22"/>
          <w:lang w:val="es-ES"/>
        </w:rPr>
      </w:pPr>
    </w:p>
    <w:p w:rsidR="005E3BD6" w:rsidP="005E3BD6" w:rsidRDefault="005E3BD6" w14:paraId="6C90B774"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4: Dominio de Gobierno de TI y Arquitectura Empresarial</w:t>
      </w:r>
    </w:p>
    <w:p w:rsidR="005E3BD6" w:rsidP="005E3BD6" w:rsidRDefault="005E3BD6" w14:paraId="06DAD0C2"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13876072"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busca formalizar su gestión estratégica de TI mediante la adopción de marcos de referencia reconocidos.</w:t>
      </w:r>
    </w:p>
    <w:p w:rsidR="005E3BD6" w:rsidP="005E3BD6" w:rsidRDefault="005E3BD6" w14:paraId="4B8BB135" w14:textId="77777777">
      <w:pPr>
        <w:jc w:val="both"/>
        <w:rPr>
          <w:rFonts w:ascii="Nunito Sans" w:hAnsi="Nunito Sans" w:cs="Calibri" w:eastAsiaTheme="minorEastAsia"/>
        </w:rPr>
      </w:pPr>
    </w:p>
    <w:p w:rsidRPr="00EB43A6" w:rsidR="005E3BD6" w:rsidP="005E3BD6" w:rsidRDefault="00A20E15" w14:paraId="491A1625" w14:textId="5FBDD5C1">
      <w:pPr>
        <w:ind w:left="360" w:hanging="360"/>
        <w:jc w:val="center"/>
        <w:rPr>
          <w:rFonts w:ascii="Nunito Sans" w:hAnsi="Nunito Sans" w:cs="Calibri"/>
          <w:b/>
          <w:bCs/>
          <w:sz w:val="18"/>
          <w:szCs w:val="18"/>
        </w:rPr>
      </w:pPr>
      <w:bookmarkStart w:name="_Toc220664217" w:id="341"/>
      <w:r w:rsidRPr="00A20E15">
        <w:rPr>
          <w:rFonts w:ascii="Nunito Sans" w:hAnsi="Nunito Sans" w:cs="Calibri"/>
          <w:b/>
          <w:bCs/>
          <w:sz w:val="18"/>
          <w:szCs w:val="18"/>
        </w:rPr>
        <w:t xml:space="preserve">Tabla </w:t>
      </w:r>
      <w:r w:rsidRPr="00A20E15">
        <w:rPr>
          <w:rFonts w:ascii="Nunito Sans" w:hAnsi="Nunito Sans" w:cs="Calibri"/>
          <w:b/>
          <w:bCs/>
          <w:sz w:val="18"/>
          <w:szCs w:val="18"/>
        </w:rPr>
        <w:fldChar w:fldCharType="begin"/>
      </w:r>
      <w:r w:rsidRPr="00A20E15">
        <w:rPr>
          <w:rFonts w:ascii="Nunito Sans" w:hAnsi="Nunito Sans" w:cs="Calibri"/>
          <w:b/>
          <w:bCs/>
          <w:sz w:val="18"/>
          <w:szCs w:val="18"/>
        </w:rPr>
        <w:instrText xml:space="preserve"> SEQ Tabla \* ARABIC </w:instrText>
      </w:r>
      <w:r w:rsidRPr="00A20E15">
        <w:rPr>
          <w:rFonts w:ascii="Nunito Sans" w:hAnsi="Nunito Sans" w:cs="Calibri"/>
          <w:b/>
          <w:bCs/>
          <w:sz w:val="18"/>
          <w:szCs w:val="18"/>
        </w:rPr>
        <w:fldChar w:fldCharType="separate"/>
      </w:r>
      <w:r w:rsidR="00C57F7B">
        <w:rPr>
          <w:rFonts w:ascii="Nunito Sans" w:hAnsi="Nunito Sans" w:cs="Calibri"/>
          <w:b/>
          <w:bCs/>
          <w:noProof/>
          <w:sz w:val="18"/>
          <w:szCs w:val="18"/>
        </w:rPr>
        <w:t>46</w:t>
      </w:r>
      <w:r w:rsidRPr="00A20E15">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CREG en el Eje 4</w:t>
      </w:r>
      <w:bookmarkEnd w:id="341"/>
    </w:p>
    <w:tbl>
      <w:tblPr>
        <w:tblW w:w="8563" w:type="dxa"/>
        <w:tblInd w:w="426"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900"/>
        <w:gridCol w:w="2900"/>
        <w:gridCol w:w="2763"/>
      </w:tblGrid>
      <w:tr w:rsidRPr="004E70A8" w:rsidR="005E3BD6" w:rsidTr="006023C6" w14:paraId="522317A8" w14:textId="77777777">
        <w:trPr>
          <w:trHeight w:val="340"/>
        </w:trPr>
        <w:tc>
          <w:tcPr>
            <w:tcW w:w="290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E70A8" w:rsidR="005E3BD6" w:rsidP="00B4771C" w:rsidRDefault="005E3BD6" w14:paraId="08D065C2"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Ministerio de Minas</w:t>
            </w:r>
          </w:p>
          <w:p w:rsidRPr="004E70A8" w:rsidR="005E3BD6" w:rsidP="00B4771C" w:rsidRDefault="005E3BD6" w14:paraId="3DDC6E90"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y Energía (MME)</w:t>
            </w:r>
          </w:p>
        </w:tc>
        <w:tc>
          <w:tcPr>
            <w:tcW w:w="290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4E70A8" w:rsidR="005E3BD6" w:rsidP="00B4771C" w:rsidRDefault="005E3BD6" w14:paraId="4C8A4ECC"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Comisión de Regulación de Energía y Gas (CREG)</w:t>
            </w:r>
          </w:p>
        </w:tc>
        <w:tc>
          <w:tcPr>
            <w:tcW w:w="276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4E70A8" w:rsidR="005E3BD6" w:rsidP="00B4771C" w:rsidRDefault="005E3BD6" w14:paraId="70FDC2B2"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Observaciones y Sinergias</w:t>
            </w:r>
          </w:p>
        </w:tc>
      </w:tr>
      <w:tr w:rsidRPr="004E70A8" w:rsidR="005E3BD6" w:rsidTr="006023C6" w14:paraId="40B7D492" w14:textId="77777777">
        <w:trPr>
          <w:trHeight w:val="1333"/>
        </w:trPr>
        <w:tc>
          <w:tcPr>
            <w:tcW w:w="2900" w:type="dxa"/>
            <w:tcBorders>
              <w:top w:val="single" w:color="FFFFFF" w:themeColor="background1" w:sz="4" w:space="0"/>
            </w:tcBorders>
            <w:vAlign w:val="center"/>
          </w:tcPr>
          <w:p w:rsidRPr="004E70A8" w:rsidR="005E3BD6" w:rsidP="00B4771C" w:rsidRDefault="005E3BD6" w14:paraId="274F5E93" w14:textId="732C3261">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110:</w:t>
            </w:r>
            <w:r w:rsidRPr="2FC2A464">
              <w:rPr>
                <w:rFonts w:ascii="Nunito Sans" w:hAnsi="Nunito Sans" w:eastAsia="Arial" w:cs="Calibri"/>
                <w:color w:val="000000" w:themeColor="text1"/>
                <w:sz w:val="18"/>
                <w:szCs w:val="18"/>
              </w:rPr>
              <w:t xml:space="preserve"> Fortalecer el Modelo de Arquitectura empresarial, basado en el M</w:t>
            </w:r>
            <w:r w:rsidRPr="2FC2A464" w:rsidR="5329B399">
              <w:rPr>
                <w:rFonts w:ascii="Nunito Sans" w:hAnsi="Nunito Sans" w:eastAsia="Arial" w:cs="Calibri"/>
                <w:color w:val="000000" w:themeColor="text1"/>
                <w:sz w:val="18"/>
                <w:szCs w:val="18"/>
              </w:rPr>
              <w:t>R</w:t>
            </w:r>
            <w:r w:rsidRPr="2FC2A464">
              <w:rPr>
                <w:rFonts w:ascii="Nunito Sans" w:hAnsi="Nunito Sans" w:eastAsia="Arial" w:cs="Calibri"/>
                <w:color w:val="000000" w:themeColor="text1"/>
                <w:sz w:val="18"/>
                <w:szCs w:val="18"/>
              </w:rPr>
              <w:t>AE.</w:t>
            </w:r>
          </w:p>
          <w:p w:rsidRPr="004E70A8" w:rsidR="005E3BD6" w:rsidP="00B4771C" w:rsidRDefault="005E3BD6" w14:paraId="2AEBFF60" w14:textId="77777777">
            <w:pPr>
              <w:jc w:val="center"/>
              <w:rPr>
                <w:rFonts w:ascii="Nunito Sans" w:hAnsi="Nunito Sans" w:eastAsia="Arial" w:cs="Calibri"/>
                <w:color w:val="000000" w:themeColor="text1"/>
                <w:sz w:val="18"/>
                <w:szCs w:val="18"/>
              </w:rPr>
            </w:pPr>
          </w:p>
        </w:tc>
        <w:tc>
          <w:tcPr>
            <w:tcW w:w="2900" w:type="dxa"/>
            <w:tcBorders>
              <w:top w:val="single" w:color="FFFFFF" w:themeColor="background1" w:sz="4" w:space="0"/>
            </w:tcBorders>
            <w:tcMar>
              <w:left w:w="70" w:type="dxa"/>
              <w:right w:w="70" w:type="dxa"/>
            </w:tcMar>
            <w:vAlign w:val="center"/>
          </w:tcPr>
          <w:p w:rsidRPr="004E70A8" w:rsidR="005E3BD6" w:rsidP="00B4771C" w:rsidRDefault="005E3BD6" w14:paraId="3AB0D4C6" w14:textId="77777777">
            <w:pPr>
              <w:jc w:val="center"/>
              <w:rPr>
                <w:rFonts w:ascii="Nunito Sans" w:hAnsi="Nunito Sans" w:cs="Calibri"/>
                <w:sz w:val="18"/>
                <w:szCs w:val="18"/>
              </w:rPr>
            </w:pPr>
            <w:r w:rsidRPr="006023C6">
              <w:rPr>
                <w:rFonts w:ascii="Nunito Sans" w:hAnsi="Nunito Sans" w:eastAsia="Arial" w:cs="Calibri"/>
                <w:b/>
                <w:bCs/>
                <w:color w:val="000000" w:themeColor="text1"/>
                <w:sz w:val="18"/>
                <w:szCs w:val="18"/>
              </w:rPr>
              <w:t>INS_PRY_02:</w:t>
            </w:r>
            <w:r w:rsidRPr="004E70A8">
              <w:rPr>
                <w:rFonts w:ascii="Nunito Sans" w:hAnsi="Nunito Sans" w:eastAsia="Arial" w:cs="Calibri"/>
                <w:color w:val="000000" w:themeColor="text1"/>
                <w:sz w:val="18"/>
                <w:szCs w:val="18"/>
              </w:rPr>
              <w:t xml:space="preserve"> Diseño e Implementación del Marco de Gobierno de TI</w:t>
            </w:r>
          </w:p>
          <w:p w:rsidRPr="004E70A8" w:rsidR="005E3BD6" w:rsidP="00B4771C" w:rsidRDefault="005E3BD6" w14:paraId="2CDF9409" w14:textId="77777777">
            <w:pPr>
              <w:jc w:val="center"/>
              <w:rPr>
                <w:rFonts w:ascii="Nunito Sans" w:hAnsi="Nunito Sans" w:cs="Calibri"/>
                <w:sz w:val="18"/>
                <w:szCs w:val="18"/>
              </w:rPr>
            </w:pPr>
          </w:p>
        </w:tc>
        <w:tc>
          <w:tcPr>
            <w:tcW w:w="2763" w:type="dxa"/>
            <w:tcBorders>
              <w:top w:val="single" w:color="FFFFFF" w:themeColor="background1" w:sz="4" w:space="0"/>
            </w:tcBorders>
            <w:tcMar>
              <w:left w:w="70" w:type="dxa"/>
              <w:right w:w="70" w:type="dxa"/>
            </w:tcMar>
            <w:vAlign w:val="center"/>
          </w:tcPr>
          <w:p w:rsidRPr="004E70A8" w:rsidR="005E3BD6" w:rsidP="00B4771C" w:rsidRDefault="005E3BD6" w14:paraId="183EEA86" w14:textId="7ECD98A7">
            <w:pPr>
              <w:jc w:val="center"/>
              <w:rPr>
                <w:rFonts w:ascii="Nunito Sans" w:hAnsi="Nunito Sans" w:cs="Calibri"/>
                <w:sz w:val="18"/>
                <w:szCs w:val="18"/>
              </w:rPr>
            </w:pPr>
            <w:r w:rsidRPr="2FC2A464">
              <w:rPr>
                <w:rFonts w:ascii="Nunito Sans" w:hAnsi="Nunito Sans" w:eastAsia="Arial" w:cs="Calibri"/>
                <w:color w:val="000000" w:themeColor="text1"/>
                <w:sz w:val="18"/>
                <w:szCs w:val="18"/>
              </w:rPr>
              <w:t>Alineación Estratégica. Se busca ordenar la gestión tecnológica. La CREG se enfoca en Gobierno de TI y el MME en Arquitectura Empresarial (M</w:t>
            </w:r>
            <w:r w:rsidRPr="2FC2A464" w:rsidR="42F9748E">
              <w:rPr>
                <w:rFonts w:ascii="Nunito Sans" w:hAnsi="Nunito Sans" w:eastAsia="Arial" w:cs="Calibri"/>
                <w:color w:val="000000" w:themeColor="text1"/>
                <w:sz w:val="18"/>
                <w:szCs w:val="18"/>
              </w:rPr>
              <w:t>R</w:t>
            </w:r>
            <w:r w:rsidRPr="2FC2A464">
              <w:rPr>
                <w:rFonts w:ascii="Nunito Sans" w:hAnsi="Nunito Sans" w:eastAsia="Arial" w:cs="Calibri"/>
                <w:color w:val="000000" w:themeColor="text1"/>
                <w:sz w:val="18"/>
                <w:szCs w:val="18"/>
              </w:rPr>
              <w:t>AE).</w:t>
            </w:r>
          </w:p>
        </w:tc>
      </w:tr>
    </w:tbl>
    <w:p w:rsidR="005E3BD6" w:rsidP="005E3BD6" w:rsidRDefault="005E3BD6" w14:paraId="6762C03A" w14:textId="77777777">
      <w:pPr>
        <w:pStyle w:val="Default"/>
        <w:spacing w:line="360" w:lineRule="auto"/>
        <w:jc w:val="center"/>
        <w:rPr>
          <w:rFonts w:ascii="Nunito Sans" w:hAnsi="Nunito Sans" w:eastAsia="CIDFont+F9" w:cs="Calibri"/>
          <w:color w:val="000000" w:themeColor="text1"/>
          <w:sz w:val="18"/>
          <w:szCs w:val="18"/>
        </w:rPr>
      </w:pPr>
      <w:r w:rsidRPr="007E3FC8">
        <w:rPr>
          <w:rFonts w:ascii="Nunito Sans" w:hAnsi="Nunito Sans" w:eastAsia="CIDFont+F9" w:cs="Calibri"/>
          <w:color w:val="000000" w:themeColor="text1"/>
          <w:sz w:val="18"/>
          <w:szCs w:val="18"/>
        </w:rPr>
        <w:t>Fuente: Elaboración propia</w:t>
      </w:r>
    </w:p>
    <w:p w:rsidRPr="000A3312" w:rsidR="005E3BD6" w:rsidP="005E3BD6" w:rsidRDefault="005E3BD6" w14:paraId="52754D15" w14:textId="77777777">
      <w:pPr>
        <w:pStyle w:val="Default"/>
        <w:spacing w:line="360" w:lineRule="auto"/>
        <w:jc w:val="center"/>
        <w:rPr>
          <w:rFonts w:ascii="Nunito Sans" w:hAnsi="Nunito Sans" w:eastAsia="CIDFont+F9" w:cs="Calibri"/>
          <w:color w:val="000000" w:themeColor="text1"/>
          <w:sz w:val="18"/>
          <w:szCs w:val="18"/>
        </w:rPr>
      </w:pPr>
    </w:p>
    <w:p w:rsidR="005E3BD6" w:rsidP="005E3BD6" w:rsidRDefault="005E3BD6" w14:paraId="791AFA90"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análisis comparativo con la CREG demuestra una alineación estratégica significativa en los ejes de transformación digital del sector, particularmente en Datos, Interoperabilidad y Gobierno/Arquitectura.</w:t>
      </w:r>
    </w:p>
    <w:p w:rsidRPr="000C272B" w:rsidR="005E3BD6" w:rsidP="005E3BD6" w:rsidRDefault="005E3BD6" w14:paraId="1B0B61A6" w14:textId="77777777">
      <w:pPr>
        <w:jc w:val="both"/>
        <w:rPr>
          <w:rFonts w:ascii="Nunito Sans" w:hAnsi="Nunito Sans" w:cs="Calibri"/>
        </w:rPr>
      </w:pPr>
    </w:p>
    <w:p w:rsidR="005E3BD6" w:rsidRDefault="005E3BD6" w14:paraId="1EADD02F" w14:textId="39E128C0">
      <w:pPr>
        <w:pStyle w:val="Ttulo3"/>
        <w:numPr>
          <w:ilvl w:val="2"/>
          <w:numId w:val="37"/>
        </w:numPr>
      </w:pPr>
      <w:bookmarkStart w:name="_Toc234234501" w:id="342"/>
      <w:r w:rsidRPr="0E79E4E6">
        <w:t>Análisis IPSE</w:t>
      </w:r>
      <w:bookmarkEnd w:id="342"/>
    </w:p>
    <w:p w:rsidRPr="00DF354F" w:rsidR="00DF354F" w:rsidP="00DF354F" w:rsidRDefault="00DF354F" w14:paraId="6CF4F6BA" w14:textId="77777777">
      <w:pPr>
        <w:rPr>
          <w:lang w:val="es-ES"/>
        </w:rPr>
      </w:pPr>
    </w:p>
    <w:p w:rsidR="005E3BD6" w:rsidP="005E3BD6" w:rsidRDefault="005E3BD6" w14:paraId="0D185B5E"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Se analizan los proyectos del Instituto de planificación y promoción de soluciones energéticas para las zonas no interconectadas (IPSE), identificando las sinergias y objetivos comunes que pueden ser aprovechados para una gestión sectorial más eficiente.</w:t>
      </w:r>
    </w:p>
    <w:p w:rsidR="005E3BD6" w:rsidP="005E3BD6" w:rsidRDefault="005E3BD6" w14:paraId="7A75D2C7" w14:textId="77777777">
      <w:pPr>
        <w:jc w:val="both"/>
        <w:rPr>
          <w:rFonts w:ascii="Nunito Sans" w:hAnsi="Nunito Sans" w:eastAsia="Arial" w:cs="Calibri"/>
          <w:b/>
          <w:bCs/>
          <w:sz w:val="22"/>
          <w:szCs w:val="22"/>
          <w:lang w:val="es-ES"/>
        </w:rPr>
      </w:pPr>
    </w:p>
    <w:p w:rsidR="005E3BD6" w:rsidP="005E3BD6" w:rsidRDefault="005E3BD6" w14:paraId="15240DE3"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23357F07"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1: Infraestructura.</w:t>
      </w:r>
    </w:p>
    <w:p w:rsidR="005E3BD6" w:rsidP="005E3BD6" w:rsidRDefault="005E3BD6" w14:paraId="565706E9" w14:textId="77777777">
      <w:pPr>
        <w:jc w:val="both"/>
        <w:rPr>
          <w:rFonts w:ascii="Nunito Sans" w:hAnsi="Nunito Sans" w:eastAsia="Arial" w:cs="Calibri"/>
          <w:b/>
          <w:bCs/>
          <w:sz w:val="22"/>
          <w:szCs w:val="22"/>
          <w:lang w:val="es-ES"/>
        </w:rPr>
      </w:pPr>
    </w:p>
    <w:p w:rsidR="005E3BD6" w:rsidP="005E3BD6" w:rsidRDefault="005E3BD6" w14:paraId="63B0EA8A"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El enfoque del MME permite mayor especialización en la contratación. El IPSE podría tener dificultades administrativas al tratar de contratar todo en un solo bloque gigante.</w:t>
      </w:r>
    </w:p>
    <w:p w:rsidR="005E3BD6" w:rsidP="005E3BD6" w:rsidRDefault="005E3BD6" w14:paraId="15229E6E" w14:textId="77777777">
      <w:pPr>
        <w:jc w:val="both"/>
        <w:rPr>
          <w:rFonts w:ascii="Nunito Sans" w:hAnsi="Nunito Sans" w:eastAsia="Arial" w:cs="Calibri"/>
          <w:b/>
          <w:bCs/>
          <w:sz w:val="22"/>
          <w:szCs w:val="22"/>
          <w:lang w:val="es-ES"/>
        </w:rPr>
      </w:pPr>
    </w:p>
    <w:p w:rsidRPr="00EB43A6" w:rsidR="005E3BD6" w:rsidP="005E3BD6" w:rsidRDefault="005B3EC6" w14:paraId="6C24A3D2" w14:textId="5F6EABC2">
      <w:pPr>
        <w:ind w:left="360" w:hanging="360"/>
        <w:jc w:val="center"/>
        <w:rPr>
          <w:rFonts w:ascii="Nunito Sans" w:hAnsi="Nunito Sans" w:cs="Calibri"/>
          <w:b/>
          <w:bCs/>
          <w:sz w:val="18"/>
          <w:szCs w:val="18"/>
        </w:rPr>
      </w:pPr>
      <w:bookmarkStart w:name="_Toc220664218" w:id="343"/>
      <w:r w:rsidRPr="005B3EC6">
        <w:rPr>
          <w:rFonts w:ascii="Nunito Sans" w:hAnsi="Nunito Sans" w:cs="Calibri"/>
          <w:b/>
          <w:bCs/>
          <w:sz w:val="18"/>
          <w:szCs w:val="18"/>
        </w:rPr>
        <w:t xml:space="preserve">Tabla </w:t>
      </w:r>
      <w:r w:rsidRPr="005B3EC6">
        <w:rPr>
          <w:rFonts w:ascii="Nunito Sans" w:hAnsi="Nunito Sans" w:cs="Calibri"/>
          <w:b/>
          <w:bCs/>
          <w:sz w:val="18"/>
          <w:szCs w:val="18"/>
        </w:rPr>
        <w:fldChar w:fldCharType="begin"/>
      </w:r>
      <w:r w:rsidRPr="005B3EC6">
        <w:rPr>
          <w:rFonts w:ascii="Nunito Sans" w:hAnsi="Nunito Sans" w:cs="Calibri"/>
          <w:b/>
          <w:bCs/>
          <w:sz w:val="18"/>
          <w:szCs w:val="18"/>
        </w:rPr>
        <w:instrText xml:space="preserve"> SEQ Tabla \* ARABIC </w:instrText>
      </w:r>
      <w:r w:rsidRPr="005B3EC6">
        <w:rPr>
          <w:rFonts w:ascii="Nunito Sans" w:hAnsi="Nunito Sans" w:cs="Calibri"/>
          <w:b/>
          <w:bCs/>
          <w:sz w:val="18"/>
          <w:szCs w:val="18"/>
        </w:rPr>
        <w:fldChar w:fldCharType="separate"/>
      </w:r>
      <w:r w:rsidR="00C57F7B">
        <w:rPr>
          <w:rFonts w:ascii="Nunito Sans" w:hAnsi="Nunito Sans" w:cs="Calibri"/>
          <w:b/>
          <w:bCs/>
          <w:noProof/>
          <w:sz w:val="18"/>
          <w:szCs w:val="18"/>
        </w:rPr>
        <w:t>47</w:t>
      </w:r>
      <w:r w:rsidRPr="005B3EC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IPSE en el Eje 1</w:t>
      </w:r>
      <w:bookmarkEnd w:id="343"/>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416"/>
        <w:gridCol w:w="3061"/>
        <w:gridCol w:w="3089"/>
      </w:tblGrid>
      <w:tr w:rsidR="005E3BD6" w:rsidTr="006023C6" w14:paraId="2E635C36" w14:textId="77777777">
        <w:trPr>
          <w:trHeight w:val="349"/>
          <w:jc w:val="center"/>
        </w:trPr>
        <w:tc>
          <w:tcPr>
            <w:tcW w:w="241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4E70A8" w:rsidR="005E3BD6" w:rsidP="00B4771C" w:rsidRDefault="005E3BD6" w14:paraId="54ADA287"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Ministerio de Minas</w:t>
            </w:r>
          </w:p>
          <w:p w:rsidRPr="004E70A8" w:rsidR="005E3BD6" w:rsidP="00B4771C" w:rsidRDefault="005E3BD6" w14:paraId="2440FCF8"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y Energía (MME)</w:t>
            </w:r>
          </w:p>
        </w:tc>
        <w:tc>
          <w:tcPr>
            <w:tcW w:w="306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E70A8" w:rsidR="005E3BD6" w:rsidP="00B4771C" w:rsidRDefault="005E3BD6" w14:paraId="6C358D75"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Instituto de Planificación y Promoción de Soluciones Energéticas para Las Zonas No Interconectadas - IPSE</w:t>
            </w:r>
          </w:p>
        </w:tc>
        <w:tc>
          <w:tcPr>
            <w:tcW w:w="308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4E70A8" w:rsidR="005E3BD6" w:rsidP="00B4771C" w:rsidRDefault="005E3BD6" w14:paraId="5D80B9C3" w14:textId="77777777">
            <w:pPr>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Observaciones y Sinergias</w:t>
            </w:r>
          </w:p>
        </w:tc>
      </w:tr>
      <w:tr w:rsidR="005E3BD6" w:rsidTr="006023C6" w14:paraId="261F5902" w14:textId="77777777">
        <w:trPr>
          <w:trHeight w:val="1367"/>
          <w:jc w:val="center"/>
        </w:trPr>
        <w:tc>
          <w:tcPr>
            <w:tcW w:w="2416" w:type="dxa"/>
            <w:tcBorders>
              <w:top w:val="single" w:color="FFFFFF" w:themeColor="background1" w:sz="4" w:space="0"/>
            </w:tcBorders>
            <w:tcMar>
              <w:left w:w="70" w:type="dxa"/>
              <w:right w:w="70" w:type="dxa"/>
            </w:tcMar>
            <w:vAlign w:val="center"/>
          </w:tcPr>
          <w:p w:rsidRPr="004E70A8" w:rsidR="005E3BD6" w:rsidP="00B4771C" w:rsidRDefault="005E3BD6" w14:paraId="34D54C73"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106:</w:t>
            </w:r>
            <w:r w:rsidRPr="004E70A8">
              <w:rPr>
                <w:rFonts w:ascii="Nunito Sans" w:hAnsi="Nunito Sans" w:eastAsia="Arial" w:cs="Calibri"/>
                <w:color w:val="000000" w:themeColor="text1"/>
                <w:sz w:val="18"/>
                <w:szCs w:val="18"/>
              </w:rPr>
              <w:t xml:space="preserve"> Adquisición Infraestructura + 108: Respaldo en Nube</w:t>
            </w:r>
          </w:p>
        </w:tc>
        <w:tc>
          <w:tcPr>
            <w:tcW w:w="3061" w:type="dxa"/>
            <w:tcBorders>
              <w:top w:val="single" w:color="FFFFFF" w:themeColor="background1" w:sz="4" w:space="0"/>
            </w:tcBorders>
            <w:vAlign w:val="center"/>
          </w:tcPr>
          <w:p w:rsidRPr="004E70A8" w:rsidR="005E3BD6" w:rsidP="00B4771C" w:rsidRDefault="005E3BD6" w14:paraId="75E2A088"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PR001:</w:t>
            </w:r>
            <w:r w:rsidRPr="004E70A8">
              <w:rPr>
                <w:rFonts w:ascii="Nunito Sans" w:hAnsi="Nunito Sans" w:eastAsia="Arial" w:cs="Calibri"/>
                <w:color w:val="000000" w:themeColor="text1"/>
                <w:sz w:val="18"/>
                <w:szCs w:val="18"/>
              </w:rPr>
              <w:t xml:space="preserve"> Servicios tecnológicos de Infraestructura digital ($15.7MM)</w:t>
            </w:r>
          </w:p>
        </w:tc>
        <w:tc>
          <w:tcPr>
            <w:tcW w:w="3089" w:type="dxa"/>
            <w:tcBorders>
              <w:top w:val="single" w:color="FFFFFF" w:themeColor="background1" w:sz="4" w:space="0"/>
            </w:tcBorders>
            <w:tcMar>
              <w:left w:w="70" w:type="dxa"/>
              <w:right w:w="70" w:type="dxa"/>
            </w:tcMar>
            <w:vAlign w:val="center"/>
          </w:tcPr>
          <w:p w:rsidRPr="004E70A8" w:rsidR="005E3BD6" w:rsidP="00B4771C" w:rsidRDefault="005E3BD6" w14:paraId="1235698F" w14:textId="77777777">
            <w:pPr>
              <w:jc w:val="center"/>
              <w:rPr>
                <w:rFonts w:ascii="Nunito Sans" w:hAnsi="Nunito Sans" w:eastAsia="Arial" w:cs="Calibri"/>
                <w:color w:val="000000" w:themeColor="text1"/>
                <w:sz w:val="18"/>
                <w:szCs w:val="18"/>
              </w:rPr>
            </w:pPr>
            <w:r w:rsidRPr="004E70A8">
              <w:rPr>
                <w:rFonts w:ascii="Nunito Sans" w:hAnsi="Nunito Sans" w:eastAsia="Arial" w:cs="Calibri"/>
                <w:color w:val="000000" w:themeColor="text1"/>
                <w:sz w:val="18"/>
                <w:szCs w:val="18"/>
              </w:rPr>
              <w:t>Ambos renuevan HW/SW. Oportunidad de compra conjunta bajo Acuerdos Marco de Precios (CCE).</w:t>
            </w:r>
          </w:p>
        </w:tc>
      </w:tr>
    </w:tbl>
    <w:p w:rsidRPr="000A3312" w:rsidR="005E3BD6" w:rsidP="005E3BD6" w:rsidRDefault="005E3BD6" w14:paraId="1BA67533"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BEAE657"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5D937603"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2: Gestión de seguridad de la Información</w:t>
      </w:r>
    </w:p>
    <w:p w:rsidR="005E3BD6" w:rsidP="005E3BD6" w:rsidRDefault="005E3BD6" w14:paraId="7D234C32" w14:textId="77777777">
      <w:pPr>
        <w:jc w:val="both"/>
        <w:rPr>
          <w:rFonts w:ascii="Nunito Sans" w:hAnsi="Nunito Sans" w:eastAsia="Arial" w:cs="Calibri"/>
          <w:b/>
          <w:bCs/>
          <w:sz w:val="22"/>
          <w:szCs w:val="22"/>
          <w:lang w:val="es-ES"/>
        </w:rPr>
      </w:pPr>
    </w:p>
    <w:p w:rsidR="005E3BD6" w:rsidP="005E3BD6" w:rsidRDefault="005E3BD6" w14:paraId="4E2F04B6" w14:textId="77777777">
      <w:pPr>
        <w:jc w:val="both"/>
        <w:rPr>
          <w:rFonts w:ascii="Nunito Sans" w:hAnsi="Nunito Sans" w:eastAsia="Arial" w:cs="Calibri"/>
          <w:sz w:val="22"/>
          <w:szCs w:val="22"/>
          <w:lang w:val="es-ES"/>
        </w:rPr>
      </w:pPr>
      <w:r w:rsidRPr="761B0734">
        <w:rPr>
          <w:rFonts w:ascii="Nunito Sans" w:hAnsi="Nunito Sans" w:eastAsia="Arial" w:cs="Calibri"/>
          <w:sz w:val="22"/>
          <w:szCs w:val="22"/>
          <w:lang w:val="es-ES"/>
        </w:rPr>
        <w:t>Ambas entidades están en la misma fase de maduración.</w:t>
      </w:r>
    </w:p>
    <w:p w:rsidR="005E3BD6" w:rsidP="005E3BD6" w:rsidRDefault="005E3BD6" w14:paraId="7CD49F58" w14:textId="77777777">
      <w:pPr>
        <w:jc w:val="both"/>
        <w:rPr>
          <w:rFonts w:ascii="Nunito Sans" w:hAnsi="Nunito Sans" w:eastAsia="Arial" w:cs="Calibri"/>
          <w:sz w:val="22"/>
          <w:szCs w:val="22"/>
          <w:lang w:val="es-ES"/>
        </w:rPr>
      </w:pPr>
    </w:p>
    <w:p w:rsidRPr="00EB43A6" w:rsidR="005E3BD6" w:rsidP="005E3BD6" w:rsidRDefault="005B3EC6" w14:paraId="03F1DC06" w14:textId="3120809E">
      <w:pPr>
        <w:ind w:left="360" w:hanging="360"/>
        <w:jc w:val="center"/>
        <w:rPr>
          <w:rFonts w:ascii="Nunito Sans" w:hAnsi="Nunito Sans" w:cs="Calibri"/>
          <w:b/>
          <w:bCs/>
          <w:sz w:val="18"/>
          <w:szCs w:val="18"/>
        </w:rPr>
      </w:pPr>
      <w:bookmarkStart w:name="_Toc220664219" w:id="344"/>
      <w:r w:rsidRPr="005B3EC6">
        <w:rPr>
          <w:rFonts w:ascii="Nunito Sans" w:hAnsi="Nunito Sans" w:cs="Calibri"/>
          <w:b/>
          <w:bCs/>
          <w:sz w:val="18"/>
          <w:szCs w:val="18"/>
        </w:rPr>
        <w:t xml:space="preserve">Tabla </w:t>
      </w:r>
      <w:r w:rsidRPr="005B3EC6">
        <w:rPr>
          <w:rFonts w:ascii="Nunito Sans" w:hAnsi="Nunito Sans" w:cs="Calibri"/>
          <w:b/>
          <w:bCs/>
          <w:sz w:val="18"/>
          <w:szCs w:val="18"/>
        </w:rPr>
        <w:fldChar w:fldCharType="begin"/>
      </w:r>
      <w:r w:rsidRPr="005B3EC6">
        <w:rPr>
          <w:rFonts w:ascii="Nunito Sans" w:hAnsi="Nunito Sans" w:cs="Calibri"/>
          <w:b/>
          <w:bCs/>
          <w:sz w:val="18"/>
          <w:szCs w:val="18"/>
        </w:rPr>
        <w:instrText xml:space="preserve"> SEQ Tabla \* ARABIC </w:instrText>
      </w:r>
      <w:r w:rsidRPr="005B3EC6">
        <w:rPr>
          <w:rFonts w:ascii="Nunito Sans" w:hAnsi="Nunito Sans" w:cs="Calibri"/>
          <w:b/>
          <w:bCs/>
          <w:sz w:val="18"/>
          <w:szCs w:val="18"/>
        </w:rPr>
        <w:fldChar w:fldCharType="separate"/>
      </w:r>
      <w:r w:rsidR="00C57F7B">
        <w:rPr>
          <w:rFonts w:ascii="Nunito Sans" w:hAnsi="Nunito Sans" w:cs="Calibri"/>
          <w:b/>
          <w:bCs/>
          <w:noProof/>
          <w:sz w:val="18"/>
          <w:szCs w:val="18"/>
        </w:rPr>
        <w:t>48</w:t>
      </w:r>
      <w:r w:rsidRPr="005B3EC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IPSE en el Eje 2</w:t>
      </w:r>
      <w:bookmarkEnd w:id="344"/>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542"/>
        <w:gridCol w:w="3118"/>
        <w:gridCol w:w="3119"/>
      </w:tblGrid>
      <w:tr w:rsidRPr="00CB7427" w:rsidR="005E3BD6" w:rsidTr="00D37CD4" w14:paraId="2D36252B" w14:textId="77777777">
        <w:trPr>
          <w:trHeight w:val="340"/>
          <w:jc w:val="center"/>
        </w:trPr>
        <w:tc>
          <w:tcPr>
            <w:tcW w:w="25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CB7427" w:rsidR="005E3BD6" w:rsidP="00B4771C" w:rsidRDefault="005E3BD6" w14:paraId="709278C4" w14:textId="77777777">
            <w:pPr>
              <w:jc w:val="center"/>
              <w:rPr>
                <w:rFonts w:ascii="Nunito Sans" w:hAnsi="Nunito Sans" w:eastAsia="Arial" w:cs="Calibri"/>
                <w:b/>
                <w:bCs/>
                <w:color w:val="FFFFFF" w:themeColor="background1"/>
                <w:sz w:val="18"/>
                <w:szCs w:val="18"/>
              </w:rPr>
            </w:pPr>
            <w:r w:rsidRPr="00CB7427">
              <w:rPr>
                <w:rFonts w:ascii="Nunito Sans" w:hAnsi="Nunito Sans" w:eastAsia="Arial" w:cs="Calibri"/>
                <w:b/>
                <w:bCs/>
                <w:color w:val="FFFFFF" w:themeColor="background1"/>
                <w:sz w:val="18"/>
                <w:szCs w:val="18"/>
              </w:rPr>
              <w:t>Ministerio de Minas</w:t>
            </w:r>
          </w:p>
          <w:p w:rsidRPr="00CB7427" w:rsidR="005E3BD6" w:rsidP="00B4771C" w:rsidRDefault="005E3BD6" w14:paraId="3E2FE5F3" w14:textId="77777777">
            <w:pPr>
              <w:jc w:val="center"/>
              <w:rPr>
                <w:rFonts w:ascii="Nunito Sans" w:hAnsi="Nunito Sans" w:eastAsia="Arial" w:cs="Calibri"/>
                <w:b/>
                <w:bCs/>
                <w:color w:val="FFFFFF" w:themeColor="background1"/>
                <w:sz w:val="18"/>
                <w:szCs w:val="18"/>
              </w:rPr>
            </w:pPr>
            <w:r w:rsidRPr="00CB7427">
              <w:rPr>
                <w:rFonts w:ascii="Nunito Sans" w:hAnsi="Nunito Sans" w:eastAsia="Arial" w:cs="Calibri"/>
                <w:b/>
                <w:bCs/>
                <w:color w:val="FFFFFF" w:themeColor="background1"/>
                <w:sz w:val="18"/>
                <w:szCs w:val="18"/>
              </w:rPr>
              <w:t>y Energía (MME)</w:t>
            </w:r>
          </w:p>
        </w:tc>
        <w:tc>
          <w:tcPr>
            <w:tcW w:w="311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CB7427" w:rsidR="005E3BD6" w:rsidP="00B4771C" w:rsidRDefault="005E3BD6" w14:paraId="4E9560BC" w14:textId="77777777">
            <w:pPr>
              <w:jc w:val="center"/>
              <w:rPr>
                <w:rFonts w:ascii="Nunito Sans" w:hAnsi="Nunito Sans" w:eastAsia="Arial" w:cs="Calibri"/>
                <w:b/>
                <w:bCs/>
                <w:color w:val="FFFFFF" w:themeColor="background1"/>
                <w:sz w:val="18"/>
                <w:szCs w:val="18"/>
              </w:rPr>
            </w:pPr>
            <w:r w:rsidRPr="00CB7427">
              <w:rPr>
                <w:rFonts w:ascii="Nunito Sans" w:hAnsi="Nunito Sans" w:eastAsia="Arial" w:cs="Calibri"/>
                <w:b/>
                <w:bCs/>
                <w:color w:val="FFFFFF" w:themeColor="background1"/>
                <w:sz w:val="18"/>
                <w:szCs w:val="18"/>
              </w:rPr>
              <w:t>Instituto de Planificación y Promoción de Soluciones Energéticas para Las Zonas No Interconectadas - IPSE</w:t>
            </w:r>
          </w:p>
        </w:tc>
        <w:tc>
          <w:tcPr>
            <w:tcW w:w="311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CB7427" w:rsidR="005E3BD6" w:rsidP="00B4771C" w:rsidRDefault="005E3BD6" w14:paraId="53ACF4BF" w14:textId="77777777">
            <w:pPr>
              <w:jc w:val="center"/>
              <w:rPr>
                <w:rFonts w:ascii="Nunito Sans" w:hAnsi="Nunito Sans" w:eastAsia="Arial" w:cs="Calibri"/>
                <w:b/>
                <w:bCs/>
                <w:color w:val="FFFFFF" w:themeColor="background1"/>
                <w:sz w:val="18"/>
                <w:szCs w:val="18"/>
              </w:rPr>
            </w:pPr>
            <w:r w:rsidRPr="00CB7427">
              <w:rPr>
                <w:rFonts w:ascii="Nunito Sans" w:hAnsi="Nunito Sans" w:eastAsia="Arial" w:cs="Calibri"/>
                <w:b/>
                <w:bCs/>
                <w:color w:val="FFFFFF" w:themeColor="background1"/>
                <w:sz w:val="18"/>
                <w:szCs w:val="18"/>
              </w:rPr>
              <w:t>Observaciones y Sinergias</w:t>
            </w:r>
          </w:p>
        </w:tc>
      </w:tr>
      <w:tr w:rsidRPr="00CB7427" w:rsidR="005E3BD6" w:rsidTr="00D37CD4" w14:paraId="3DE31303" w14:textId="77777777">
        <w:trPr>
          <w:trHeight w:val="1330"/>
          <w:jc w:val="center"/>
        </w:trPr>
        <w:tc>
          <w:tcPr>
            <w:tcW w:w="2542" w:type="dxa"/>
            <w:tcBorders>
              <w:top w:val="single" w:color="FFFFFF" w:themeColor="background1" w:sz="4" w:space="0"/>
            </w:tcBorders>
            <w:tcMar>
              <w:left w:w="70" w:type="dxa"/>
              <w:right w:w="70" w:type="dxa"/>
            </w:tcMar>
            <w:vAlign w:val="center"/>
          </w:tcPr>
          <w:p w:rsidRPr="00CB7427" w:rsidR="005E3BD6" w:rsidP="00B4771C" w:rsidRDefault="005E3BD6" w14:paraId="113CBE09"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111/112:</w:t>
            </w:r>
            <w:r w:rsidRPr="00CB7427">
              <w:rPr>
                <w:rFonts w:ascii="Nunito Sans" w:hAnsi="Nunito Sans" w:eastAsia="Arial" w:cs="Calibri"/>
                <w:color w:val="000000" w:themeColor="text1"/>
                <w:sz w:val="18"/>
                <w:szCs w:val="18"/>
              </w:rPr>
              <w:t xml:space="preserve"> Actualización Modelo de Seguridad y Privacidad + 113: Continuidad (DRP)</w:t>
            </w:r>
          </w:p>
          <w:p w:rsidRPr="00CB7427" w:rsidR="005E3BD6" w:rsidP="00B4771C" w:rsidRDefault="005E3BD6" w14:paraId="625329D2" w14:textId="77777777">
            <w:pPr>
              <w:jc w:val="center"/>
              <w:rPr>
                <w:rFonts w:ascii="Nunito Sans" w:hAnsi="Nunito Sans" w:eastAsia="Arial" w:cs="Calibri"/>
                <w:color w:val="000000" w:themeColor="text1"/>
                <w:sz w:val="18"/>
                <w:szCs w:val="18"/>
              </w:rPr>
            </w:pPr>
          </w:p>
        </w:tc>
        <w:tc>
          <w:tcPr>
            <w:tcW w:w="3118" w:type="dxa"/>
            <w:tcBorders>
              <w:top w:val="single" w:color="FFFFFF" w:themeColor="background1" w:sz="4" w:space="0"/>
            </w:tcBorders>
            <w:vAlign w:val="center"/>
          </w:tcPr>
          <w:p w:rsidRPr="00CB7427" w:rsidR="005E3BD6" w:rsidP="00B4771C" w:rsidRDefault="005E3BD6" w14:paraId="2B78533A" w14:textId="77777777">
            <w:pPr>
              <w:jc w:val="center"/>
              <w:rPr>
                <w:rFonts w:ascii="Nunito Sans" w:hAnsi="Nunito Sans" w:eastAsia="Arial" w:cs="Calibri"/>
                <w:color w:val="000000" w:themeColor="text1"/>
                <w:sz w:val="18"/>
                <w:szCs w:val="18"/>
              </w:rPr>
            </w:pPr>
            <w:r w:rsidRPr="006023C6">
              <w:rPr>
                <w:rFonts w:ascii="Nunito Sans" w:hAnsi="Nunito Sans" w:eastAsia="Arial" w:cs="Calibri"/>
                <w:b/>
                <w:bCs/>
                <w:color w:val="000000" w:themeColor="text1"/>
                <w:sz w:val="18"/>
                <w:szCs w:val="18"/>
              </w:rPr>
              <w:t>PR002:</w:t>
            </w:r>
            <w:r w:rsidRPr="00CB7427">
              <w:rPr>
                <w:rFonts w:ascii="Nunito Sans" w:hAnsi="Nunito Sans" w:eastAsia="Arial" w:cs="Calibri"/>
                <w:color w:val="000000" w:themeColor="text1"/>
                <w:sz w:val="18"/>
                <w:szCs w:val="18"/>
              </w:rPr>
              <w:t xml:space="preserve"> Gestión y fortalecimiento de Seguridad Digital ($9.5MM)</w:t>
            </w:r>
          </w:p>
          <w:p w:rsidRPr="00CB7427" w:rsidR="005E3BD6" w:rsidP="00B4771C" w:rsidRDefault="005E3BD6" w14:paraId="421DAE2A" w14:textId="77777777">
            <w:pPr>
              <w:jc w:val="center"/>
              <w:rPr>
                <w:rFonts w:ascii="Nunito Sans" w:hAnsi="Nunito Sans" w:eastAsia="Arial" w:cs="Calibri"/>
                <w:color w:val="000000" w:themeColor="text1"/>
                <w:sz w:val="18"/>
                <w:szCs w:val="18"/>
              </w:rPr>
            </w:pPr>
          </w:p>
        </w:tc>
        <w:tc>
          <w:tcPr>
            <w:tcW w:w="3119" w:type="dxa"/>
            <w:tcBorders>
              <w:top w:val="single" w:color="FFFFFF" w:themeColor="background1" w:sz="4" w:space="0"/>
            </w:tcBorders>
            <w:tcMar>
              <w:left w:w="70" w:type="dxa"/>
              <w:right w:w="70" w:type="dxa"/>
            </w:tcMar>
            <w:vAlign w:val="center"/>
          </w:tcPr>
          <w:p w:rsidRPr="00CB7427" w:rsidR="005E3BD6" w:rsidP="00B4771C" w:rsidRDefault="005E3BD6" w14:paraId="07AF4FC9" w14:textId="77777777">
            <w:pPr>
              <w:jc w:val="center"/>
              <w:rPr>
                <w:rFonts w:ascii="Nunito Sans" w:hAnsi="Nunito Sans" w:eastAsia="Arial" w:cs="Calibri"/>
                <w:color w:val="000000" w:themeColor="text1"/>
                <w:sz w:val="18"/>
                <w:szCs w:val="18"/>
              </w:rPr>
            </w:pPr>
            <w:r w:rsidRPr="00CB7427">
              <w:rPr>
                <w:rFonts w:ascii="Nunito Sans" w:hAnsi="Nunito Sans" w:eastAsia="Arial" w:cs="Calibri"/>
                <w:color w:val="000000" w:themeColor="text1"/>
                <w:sz w:val="18"/>
                <w:szCs w:val="18"/>
              </w:rPr>
              <w:t>Alineación total en ISO 27001. MME tiene DRP separado que IPSE podría adoptar como buena práctica.</w:t>
            </w:r>
          </w:p>
          <w:p w:rsidRPr="00CB7427" w:rsidR="005E3BD6" w:rsidP="00B4771C" w:rsidRDefault="005E3BD6" w14:paraId="6B949348" w14:textId="77777777">
            <w:pPr>
              <w:jc w:val="center"/>
              <w:rPr>
                <w:rFonts w:ascii="Nunito Sans" w:hAnsi="Nunito Sans" w:eastAsia="Arial" w:cs="Calibri"/>
                <w:color w:val="000000" w:themeColor="text1"/>
                <w:sz w:val="18"/>
                <w:szCs w:val="18"/>
              </w:rPr>
            </w:pPr>
          </w:p>
        </w:tc>
      </w:tr>
    </w:tbl>
    <w:p w:rsidRPr="000A3312" w:rsidR="005E3BD6" w:rsidP="005E3BD6" w:rsidRDefault="005E3BD6" w14:paraId="4B5D3C9F"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2EB7421"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2DD3040F" w14:textId="77777777">
      <w:pPr>
        <w:pStyle w:val="Prrafodelista"/>
        <w:ind w:left="993" w:hanging="567"/>
        <w:jc w:val="both"/>
        <w:rPr>
          <w:rFonts w:ascii="Nunito Sans" w:hAnsi="Nunito Sans" w:eastAsia="Arial" w:cs="Calibri"/>
          <w:b/>
          <w:bCs/>
          <w:sz w:val="22"/>
          <w:szCs w:val="22"/>
          <w:lang w:val="es-ES"/>
        </w:rPr>
      </w:pPr>
      <w:r w:rsidRPr="761B0734">
        <w:rPr>
          <w:rFonts w:ascii="Nunito Sans" w:hAnsi="Nunito Sans" w:eastAsia="Arial" w:cs="Calibri"/>
          <w:b/>
          <w:bCs/>
          <w:sz w:val="22"/>
          <w:szCs w:val="22"/>
          <w:lang w:val="es-ES"/>
        </w:rPr>
        <w:t>Eje Estratégico 3: Dominio de Datos y Analítica.</w:t>
      </w:r>
    </w:p>
    <w:p w:rsidR="005E3BD6" w:rsidP="005E3BD6" w:rsidRDefault="005E3BD6" w14:paraId="134F86C6" w14:textId="77777777">
      <w:pPr>
        <w:ind w:left="426"/>
        <w:jc w:val="both"/>
        <w:rPr>
          <w:rFonts w:ascii="Nunito Sans" w:hAnsi="Nunito Sans" w:cs="Calibri" w:eastAsiaTheme="minorEastAsia"/>
          <w:i/>
          <w:iCs/>
          <w:color w:val="FF0000"/>
          <w:sz w:val="22"/>
          <w:szCs w:val="22"/>
          <w:lang w:val="es-ES"/>
        </w:rPr>
      </w:pPr>
    </w:p>
    <w:p w:rsidR="005E3BD6" w:rsidP="005E3BD6" w:rsidRDefault="005E3BD6" w14:paraId="6CF20CCE" w14:textId="77777777">
      <w:pPr>
        <w:jc w:val="both"/>
        <w:rPr>
          <w:rFonts w:ascii="Nunito Sans" w:hAnsi="Nunito Sans" w:cs="Calibri"/>
        </w:rPr>
      </w:pPr>
      <w:r w:rsidRPr="761B0734">
        <w:rPr>
          <w:rFonts w:ascii="Nunito Sans" w:hAnsi="Nunito Sans" w:eastAsia="Arial" w:cs="Calibri"/>
          <w:sz w:val="22"/>
          <w:szCs w:val="22"/>
          <w:lang w:val="es-ES"/>
        </w:rPr>
        <w:t>IPSE enfoca en "Tecnologías Emergentes" (exploratorio). MME enfoca en "Gobierno de Datos" y "Espacial (IDE)" (normativo.</w:t>
      </w:r>
    </w:p>
    <w:p w:rsidR="005E3BD6" w:rsidP="005E3BD6" w:rsidRDefault="005E3BD6" w14:paraId="2A2B8C8E" w14:textId="77777777">
      <w:pPr>
        <w:ind w:left="360" w:hanging="360"/>
        <w:jc w:val="center"/>
        <w:rPr>
          <w:rFonts w:ascii="Nunito Sans" w:hAnsi="Nunito Sans" w:cs="Calibri"/>
          <w:b/>
          <w:bCs/>
          <w:sz w:val="18"/>
          <w:szCs w:val="18"/>
        </w:rPr>
      </w:pPr>
    </w:p>
    <w:p w:rsidR="005E3BD6" w:rsidP="005E3BD6" w:rsidRDefault="005E3BD6" w14:paraId="63BBFCC0" w14:textId="77777777">
      <w:pPr>
        <w:ind w:left="360" w:hanging="360"/>
        <w:jc w:val="center"/>
        <w:rPr>
          <w:rFonts w:ascii="Nunito Sans" w:hAnsi="Nunito Sans" w:cs="Calibri"/>
          <w:b/>
          <w:bCs/>
          <w:sz w:val="18"/>
          <w:szCs w:val="18"/>
        </w:rPr>
      </w:pPr>
    </w:p>
    <w:p w:rsidRPr="00EB43A6" w:rsidR="005E3BD6" w:rsidP="005E3BD6" w:rsidRDefault="005B3EC6" w14:paraId="3DDC316F" w14:textId="059A6AD2">
      <w:pPr>
        <w:ind w:left="360" w:hanging="360"/>
        <w:jc w:val="center"/>
        <w:rPr>
          <w:rFonts w:ascii="Nunito Sans" w:hAnsi="Nunito Sans" w:cs="Calibri"/>
          <w:b/>
          <w:bCs/>
          <w:sz w:val="18"/>
          <w:szCs w:val="18"/>
        </w:rPr>
      </w:pPr>
      <w:bookmarkStart w:name="_Toc220664220" w:id="345"/>
      <w:r w:rsidRPr="005B3EC6">
        <w:rPr>
          <w:rFonts w:ascii="Nunito Sans" w:hAnsi="Nunito Sans" w:cs="Calibri"/>
          <w:b/>
          <w:bCs/>
          <w:sz w:val="18"/>
          <w:szCs w:val="18"/>
        </w:rPr>
        <w:t xml:space="preserve">Tabla </w:t>
      </w:r>
      <w:r w:rsidRPr="005B3EC6">
        <w:rPr>
          <w:rFonts w:ascii="Nunito Sans" w:hAnsi="Nunito Sans" w:cs="Calibri"/>
          <w:b/>
          <w:bCs/>
          <w:sz w:val="18"/>
          <w:szCs w:val="18"/>
        </w:rPr>
        <w:fldChar w:fldCharType="begin"/>
      </w:r>
      <w:r w:rsidRPr="005B3EC6">
        <w:rPr>
          <w:rFonts w:ascii="Nunito Sans" w:hAnsi="Nunito Sans" w:cs="Calibri"/>
          <w:b/>
          <w:bCs/>
          <w:sz w:val="18"/>
          <w:szCs w:val="18"/>
        </w:rPr>
        <w:instrText xml:space="preserve"> SEQ Tabla \* ARABIC </w:instrText>
      </w:r>
      <w:r w:rsidRPr="005B3EC6">
        <w:rPr>
          <w:rFonts w:ascii="Nunito Sans" w:hAnsi="Nunito Sans" w:cs="Calibri"/>
          <w:b/>
          <w:bCs/>
          <w:sz w:val="18"/>
          <w:szCs w:val="18"/>
        </w:rPr>
        <w:fldChar w:fldCharType="separate"/>
      </w:r>
      <w:r w:rsidR="00C57F7B">
        <w:rPr>
          <w:rFonts w:ascii="Nunito Sans" w:hAnsi="Nunito Sans" w:cs="Calibri"/>
          <w:b/>
          <w:bCs/>
          <w:noProof/>
          <w:sz w:val="18"/>
          <w:szCs w:val="18"/>
        </w:rPr>
        <w:t>49</w:t>
      </w:r>
      <w:r w:rsidRPr="005B3EC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Articulación de Iniciativas MME–</w:t>
      </w:r>
      <w:r w:rsidR="005E3BD6">
        <w:rPr>
          <w:rFonts w:ascii="Nunito Sans" w:hAnsi="Nunito Sans" w:cs="Calibri"/>
          <w:b/>
          <w:bCs/>
          <w:sz w:val="18"/>
          <w:szCs w:val="18"/>
        </w:rPr>
        <w:t>IPSE en el Eje 3</w:t>
      </w:r>
      <w:bookmarkEnd w:id="345"/>
    </w:p>
    <w:tbl>
      <w:tblPr>
        <w:tblW w:w="8788" w:type="dxa"/>
        <w:tblInd w:w="274"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557"/>
        <w:gridCol w:w="3113"/>
        <w:gridCol w:w="3118"/>
      </w:tblGrid>
      <w:tr w:rsidRPr="004E70A8" w:rsidR="005E3BD6" w:rsidTr="00D37CD4" w14:paraId="58FD9680" w14:textId="77777777">
        <w:trPr>
          <w:trHeight w:val="315"/>
        </w:trPr>
        <w:tc>
          <w:tcPr>
            <w:tcW w:w="255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4E70A8" w:rsidR="005E3BD6" w:rsidP="00B4771C" w:rsidRDefault="005E3BD6" w14:paraId="43614771" w14:textId="77777777">
            <w:pPr>
              <w:ind w:left="-181" w:firstLine="181"/>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Ministerio de Minas</w:t>
            </w:r>
          </w:p>
          <w:p w:rsidRPr="004E70A8" w:rsidR="005E3BD6" w:rsidP="00B4771C" w:rsidRDefault="005E3BD6" w14:paraId="05FE84E8" w14:textId="77777777">
            <w:pPr>
              <w:ind w:left="-181" w:firstLine="181"/>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y Energía (MME)</w:t>
            </w:r>
          </w:p>
        </w:tc>
        <w:tc>
          <w:tcPr>
            <w:tcW w:w="311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4E70A8" w:rsidR="005E3BD6" w:rsidP="00B4771C" w:rsidRDefault="005E3BD6" w14:paraId="103D7D5E" w14:textId="77777777">
            <w:pPr>
              <w:ind w:left="-181" w:firstLine="181"/>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Instituto de Planificación y Promoción de Soluciones Energéticas para Las Zonas No Interconectadas - IPSE</w:t>
            </w:r>
          </w:p>
        </w:tc>
        <w:tc>
          <w:tcPr>
            <w:tcW w:w="311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4E70A8" w:rsidR="005E3BD6" w:rsidP="00B4771C" w:rsidRDefault="005E3BD6" w14:paraId="21FF44C2" w14:textId="77777777">
            <w:pPr>
              <w:ind w:left="-181" w:firstLine="181"/>
              <w:jc w:val="center"/>
              <w:rPr>
                <w:rFonts w:ascii="Nunito Sans" w:hAnsi="Nunito Sans" w:eastAsia="Arial" w:cs="Calibri"/>
                <w:b/>
                <w:bCs/>
                <w:color w:val="FFFFFF" w:themeColor="background1"/>
                <w:sz w:val="18"/>
                <w:szCs w:val="18"/>
              </w:rPr>
            </w:pPr>
            <w:r w:rsidRPr="004E70A8">
              <w:rPr>
                <w:rFonts w:ascii="Nunito Sans" w:hAnsi="Nunito Sans" w:eastAsia="Arial" w:cs="Calibri"/>
                <w:b/>
                <w:bCs/>
                <w:color w:val="FFFFFF" w:themeColor="background1"/>
                <w:sz w:val="18"/>
                <w:szCs w:val="18"/>
              </w:rPr>
              <w:t>Observaciones y Sinergias</w:t>
            </w:r>
          </w:p>
        </w:tc>
      </w:tr>
      <w:tr w:rsidRPr="004E70A8" w:rsidR="005E3BD6" w:rsidTr="00D37CD4" w14:paraId="3936927D" w14:textId="77777777">
        <w:trPr>
          <w:trHeight w:val="1230"/>
        </w:trPr>
        <w:tc>
          <w:tcPr>
            <w:tcW w:w="2557" w:type="dxa"/>
            <w:tcBorders>
              <w:top w:val="single" w:color="FFFFFF" w:themeColor="background1" w:sz="4" w:space="0"/>
            </w:tcBorders>
            <w:tcMar>
              <w:left w:w="70" w:type="dxa"/>
              <w:right w:w="70" w:type="dxa"/>
            </w:tcMar>
            <w:vAlign w:val="center"/>
          </w:tcPr>
          <w:p w:rsidRPr="004E70A8" w:rsidR="005E3BD6" w:rsidP="00B4771C" w:rsidRDefault="005E3BD6" w14:paraId="1383860B" w14:textId="77777777">
            <w:pPr>
              <w:jc w:val="center"/>
              <w:rPr>
                <w:rFonts w:ascii="Nunito Sans" w:hAnsi="Nunito Sans" w:cs="Calibri"/>
                <w:sz w:val="18"/>
                <w:szCs w:val="18"/>
              </w:rPr>
            </w:pPr>
            <w:r w:rsidRPr="00D37CD4">
              <w:rPr>
                <w:rFonts w:ascii="Nunito Sans" w:hAnsi="Nunito Sans" w:eastAsia="Arial" w:cs="Calibri"/>
                <w:b/>
                <w:bCs/>
                <w:color w:val="000000" w:themeColor="text1"/>
                <w:sz w:val="18"/>
                <w:szCs w:val="18"/>
              </w:rPr>
              <w:t>102:</w:t>
            </w:r>
            <w:r w:rsidRPr="004E70A8">
              <w:rPr>
                <w:rFonts w:ascii="Nunito Sans" w:hAnsi="Nunito Sans" w:eastAsia="Arial" w:cs="Calibri"/>
                <w:color w:val="000000" w:themeColor="text1"/>
                <w:sz w:val="18"/>
                <w:szCs w:val="18"/>
              </w:rPr>
              <w:t xml:space="preserve"> Gobierno de Datos + </w:t>
            </w:r>
            <w:r w:rsidRPr="00D37CD4">
              <w:rPr>
                <w:rFonts w:ascii="Nunito Sans" w:hAnsi="Nunito Sans" w:eastAsia="Arial" w:cs="Calibri"/>
                <w:b/>
                <w:bCs/>
                <w:color w:val="000000" w:themeColor="text1"/>
                <w:sz w:val="18"/>
                <w:szCs w:val="18"/>
              </w:rPr>
              <w:t>105:</w:t>
            </w:r>
            <w:r w:rsidRPr="004E70A8">
              <w:rPr>
                <w:rFonts w:ascii="Nunito Sans" w:hAnsi="Nunito Sans" w:eastAsia="Arial" w:cs="Calibri"/>
                <w:color w:val="000000" w:themeColor="text1"/>
                <w:sz w:val="18"/>
                <w:szCs w:val="18"/>
              </w:rPr>
              <w:t xml:space="preserve"> Analítica INTÉGRAME + 109: IDE</w:t>
            </w:r>
          </w:p>
        </w:tc>
        <w:tc>
          <w:tcPr>
            <w:tcW w:w="3113" w:type="dxa"/>
            <w:tcBorders>
              <w:top w:val="single" w:color="FFFFFF" w:themeColor="background1" w:sz="4" w:space="0"/>
            </w:tcBorders>
            <w:vAlign w:val="center"/>
          </w:tcPr>
          <w:p w:rsidRPr="004E70A8" w:rsidR="005E3BD6" w:rsidP="00B4771C" w:rsidRDefault="005E3BD6" w14:paraId="37BA09CC" w14:textId="77777777">
            <w:pPr>
              <w:jc w:val="center"/>
              <w:rPr>
                <w:rFonts w:ascii="Nunito Sans" w:hAnsi="Nunito Sans" w:eastAsia="Arial" w:cs="Calibri"/>
                <w:color w:val="000000" w:themeColor="text1"/>
                <w:sz w:val="18"/>
                <w:szCs w:val="18"/>
              </w:rPr>
            </w:pPr>
            <w:r w:rsidRPr="00D37CD4">
              <w:rPr>
                <w:rFonts w:ascii="Nunito Sans" w:hAnsi="Nunito Sans" w:eastAsia="Arial" w:cs="Calibri"/>
                <w:b/>
                <w:bCs/>
                <w:color w:val="000000" w:themeColor="text1"/>
                <w:sz w:val="18"/>
                <w:szCs w:val="18"/>
              </w:rPr>
              <w:t>PR003:</w:t>
            </w:r>
            <w:r w:rsidRPr="004E70A8">
              <w:rPr>
                <w:rFonts w:ascii="Nunito Sans" w:hAnsi="Nunito Sans" w:eastAsia="Arial" w:cs="Calibri"/>
                <w:color w:val="000000" w:themeColor="text1"/>
                <w:sz w:val="18"/>
                <w:szCs w:val="18"/>
              </w:rPr>
              <w:t xml:space="preserve"> Sistemas para adopción de tecnologías emergentes y analítica ($6.3MM)</w:t>
            </w:r>
          </w:p>
        </w:tc>
        <w:tc>
          <w:tcPr>
            <w:tcW w:w="3118" w:type="dxa"/>
            <w:tcBorders>
              <w:top w:val="single" w:color="FFFFFF" w:themeColor="background1" w:sz="4" w:space="0"/>
            </w:tcBorders>
            <w:tcMar>
              <w:left w:w="70" w:type="dxa"/>
              <w:right w:w="70" w:type="dxa"/>
            </w:tcMar>
            <w:vAlign w:val="center"/>
          </w:tcPr>
          <w:p w:rsidRPr="004E70A8" w:rsidR="005E3BD6" w:rsidP="00B4771C" w:rsidRDefault="005E3BD6" w14:paraId="77169A9E" w14:textId="77777777">
            <w:pPr>
              <w:jc w:val="center"/>
              <w:rPr>
                <w:rFonts w:ascii="Nunito Sans" w:hAnsi="Nunito Sans" w:cs="Calibri"/>
                <w:sz w:val="18"/>
                <w:szCs w:val="18"/>
              </w:rPr>
            </w:pPr>
            <w:r w:rsidRPr="004E70A8">
              <w:rPr>
                <w:rFonts w:ascii="Nunito Sans" w:hAnsi="Nunito Sans" w:eastAsia="Arial" w:cs="Calibri"/>
                <w:color w:val="000000" w:themeColor="text1"/>
                <w:sz w:val="18"/>
                <w:szCs w:val="18"/>
              </w:rPr>
              <w:t>Ambos buscan Analítica. MME lidera con Gobierno de Datos sectorial; IPSE debe heredar esos lineamientos.</w:t>
            </w:r>
          </w:p>
        </w:tc>
      </w:tr>
    </w:tbl>
    <w:p w:rsidRPr="000A3312" w:rsidR="005E3BD6" w:rsidP="005E3BD6" w:rsidRDefault="005E3BD6" w14:paraId="7D9E9F3F"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49502BEC" w14:textId="77777777">
      <w:pPr>
        <w:ind w:left="360" w:hanging="360"/>
        <w:jc w:val="both"/>
        <w:rPr>
          <w:rFonts w:ascii="Nunito Sans" w:hAnsi="Nunito Sans" w:eastAsia="Arial" w:cs="Calibri"/>
          <w:sz w:val="22"/>
          <w:szCs w:val="22"/>
          <w:lang w:val="es-ES"/>
        </w:rPr>
      </w:pPr>
    </w:p>
    <w:p w:rsidR="005E3BD6" w:rsidRDefault="005E3BD6" w14:paraId="23B1D647" w14:textId="3C59CF79">
      <w:pPr>
        <w:pStyle w:val="Ttulo2"/>
        <w:numPr>
          <w:ilvl w:val="1"/>
          <w:numId w:val="37"/>
        </w:numPr>
      </w:pPr>
      <w:bookmarkStart w:name="_Toc795893808" w:id="346"/>
      <w:bookmarkStart w:name="_Toc234234502" w:id="347"/>
      <w:r w:rsidRPr="0E79E4E6">
        <w:t xml:space="preserve">Articulación </w:t>
      </w:r>
      <w:r w:rsidR="00E000B5">
        <w:t>d</w:t>
      </w:r>
      <w:r w:rsidRPr="0E79E4E6" w:rsidR="00E000B5">
        <w:t xml:space="preserve">e </w:t>
      </w:r>
      <w:r w:rsidR="00E000B5">
        <w:t>l</w:t>
      </w:r>
      <w:r w:rsidRPr="0E79E4E6" w:rsidR="00E000B5">
        <w:t xml:space="preserve">as Iniciativas </w:t>
      </w:r>
      <w:r w:rsidR="00E000B5">
        <w:t>e</w:t>
      </w:r>
      <w:r w:rsidRPr="0E79E4E6" w:rsidR="00E000B5">
        <w:t xml:space="preserve">n Curso </w:t>
      </w:r>
      <w:r w:rsidR="00E000B5">
        <w:t>c</w:t>
      </w:r>
      <w:r w:rsidRPr="0E79E4E6" w:rsidR="00E000B5">
        <w:t xml:space="preserve">on </w:t>
      </w:r>
      <w:r w:rsidR="00E000B5">
        <w:t>l</w:t>
      </w:r>
      <w:r w:rsidRPr="0E79E4E6" w:rsidR="00E000B5">
        <w:t>a Evolución Del Modelo Sectorial</w:t>
      </w:r>
      <w:bookmarkEnd w:id="346"/>
      <w:bookmarkEnd w:id="347"/>
    </w:p>
    <w:p w:rsidRPr="00900EB0" w:rsidR="005E3BD6" w:rsidP="005E3BD6" w:rsidRDefault="005E3BD6" w14:paraId="78761797" w14:textId="77777777">
      <w:pPr>
        <w:jc w:val="both"/>
        <w:rPr>
          <w:rFonts w:ascii="Nunito Sans" w:hAnsi="Nunito Sans" w:eastAsia="Arial" w:cs="Calibri"/>
          <w:sz w:val="22"/>
          <w:szCs w:val="22"/>
        </w:rPr>
      </w:pPr>
      <w:r w:rsidRPr="00900EB0">
        <w:rPr>
          <w:rFonts w:ascii="Nunito Sans" w:hAnsi="Nunito Sans" w:eastAsia="Arial" w:cs="Calibri"/>
          <w:sz w:val="22"/>
          <w:szCs w:val="22"/>
        </w:rPr>
        <w:t xml:space="preserve">El análisis de la Situación Actual permite evidenciar que las entidades del Sector Minero-Energético adelantan un conjunto amplio y diverso de proyectos y actividades orientados al fortalecimiento de capacidades institucionales, tecnológicas y digitales, abarcando dominios como arquitectura institucional, datos e información, sistemas de información, interoperabilidad, infraestructura y servicios tecnológicos, seguridad de la información y transformación digital. Estas iniciativas reflejan un esfuerzo sostenido de modernización y responden a necesidades reales </w:t>
      </w:r>
      <w:r w:rsidRPr="00900EB0">
        <w:rPr>
          <w:rFonts w:ascii="Nunito Sans" w:hAnsi="Nunito Sans" w:eastAsia="Arial" w:cs="Calibri"/>
          <w:sz w:val="22"/>
          <w:szCs w:val="22"/>
        </w:rPr>
        <w:lastRenderedPageBreak/>
        <w:t>asociadas a la operación sectorial, la regulación, la planeación y la prestación de servicios al ciudadano.</w:t>
      </w:r>
    </w:p>
    <w:p w:rsidR="005E3BD6" w:rsidP="005E3BD6" w:rsidRDefault="005E3BD6" w14:paraId="6573E5BA" w14:textId="77777777">
      <w:pPr>
        <w:jc w:val="both"/>
        <w:rPr>
          <w:rFonts w:ascii="Nunito Sans" w:hAnsi="Nunito Sans" w:eastAsia="Arial" w:cs="Calibri"/>
          <w:sz w:val="22"/>
          <w:szCs w:val="22"/>
        </w:rPr>
      </w:pPr>
    </w:p>
    <w:p w:rsidRPr="00900EB0" w:rsidR="005E3BD6" w:rsidP="005E3BD6" w:rsidRDefault="005E3BD6" w14:paraId="2A4103BD" w14:textId="77777777">
      <w:pPr>
        <w:jc w:val="both"/>
        <w:rPr>
          <w:rFonts w:ascii="Nunito Sans" w:hAnsi="Nunito Sans" w:eastAsia="Arial" w:cs="Calibri"/>
          <w:sz w:val="22"/>
          <w:szCs w:val="22"/>
        </w:rPr>
      </w:pPr>
      <w:r w:rsidRPr="00900EB0">
        <w:rPr>
          <w:rFonts w:ascii="Nunito Sans" w:hAnsi="Nunito Sans" w:eastAsia="Arial" w:cs="Calibri"/>
          <w:sz w:val="22"/>
          <w:szCs w:val="22"/>
        </w:rPr>
        <w:t>Sin embargo, dicho avance se ha desarrollado principalmente desde enfoques institucionales individuales, con niveles de madurez, alcances y ritmos diferenciados entre entidades. Esta situación, si bien ha permitido progresos relevantes en cada organización, también ha generado escenarios de dispersión tecnológica, heterogeneidad arquitectónica y limitada articulación sectorial. Se identifican múltiples iniciativas que abordan desafíos comunes como la gestión y aprovechamiento de datos, la interoperabilidad, la seguridad de la información, la modernización de plataformas y el fortalecimiento de la infraestructura tecnológica sin un marco sectorial que garantice su alineación y complementariedad.</w:t>
      </w:r>
    </w:p>
    <w:p w:rsidR="005E3BD6" w:rsidP="005E3BD6" w:rsidRDefault="005E3BD6" w14:paraId="1B39241B" w14:textId="77777777">
      <w:pPr>
        <w:jc w:val="both"/>
        <w:rPr>
          <w:rFonts w:ascii="Nunito Sans" w:hAnsi="Nunito Sans" w:eastAsia="Arial" w:cs="Calibri"/>
          <w:sz w:val="22"/>
          <w:szCs w:val="22"/>
        </w:rPr>
      </w:pPr>
    </w:p>
    <w:p w:rsidRPr="00900EB0" w:rsidR="005E3BD6" w:rsidP="005E3BD6" w:rsidRDefault="005E3BD6" w14:paraId="7A2AED5B" w14:textId="77777777">
      <w:pPr>
        <w:jc w:val="both"/>
        <w:rPr>
          <w:rFonts w:ascii="Nunito Sans" w:hAnsi="Nunito Sans" w:eastAsia="Arial" w:cs="Calibri"/>
          <w:sz w:val="22"/>
          <w:szCs w:val="22"/>
        </w:rPr>
      </w:pPr>
      <w:r w:rsidRPr="00900EB0">
        <w:rPr>
          <w:rFonts w:ascii="Nunito Sans" w:hAnsi="Nunito Sans" w:eastAsia="Arial" w:cs="Calibri"/>
          <w:sz w:val="22"/>
          <w:szCs w:val="22"/>
        </w:rPr>
        <w:t>En este sentido, las iniciativas en curso constituyen insumos clave para comprender el punto de partida del sector y los avances ya alcanzados, pero también ponen de manifiesto la necesidad de una articulación más estructurada que permita reducir redundancias, fortalecer capacidades compartidas y asegurar la sostenibilidad técnica y operativa a nivel sectorial. Esta articulación resulta fundamental para cerrar las brechas identificadas en la Situación Actual y para orientar de manera coherente la evolución de las capacidades digitales del sector.</w:t>
      </w:r>
    </w:p>
    <w:p w:rsidR="005E3BD6" w:rsidP="005E3BD6" w:rsidRDefault="005E3BD6" w14:paraId="5BE0BC2F" w14:textId="77777777">
      <w:pPr>
        <w:jc w:val="both"/>
        <w:rPr>
          <w:rFonts w:ascii="Nunito Sans" w:hAnsi="Nunito Sans" w:eastAsia="Arial" w:cs="Calibri"/>
          <w:sz w:val="22"/>
          <w:szCs w:val="22"/>
        </w:rPr>
      </w:pPr>
    </w:p>
    <w:p w:rsidRPr="00825A29" w:rsidR="005E3BD6" w:rsidP="005E3BD6" w:rsidRDefault="005E3BD6" w14:paraId="57A0484A" w14:textId="77777777">
      <w:pPr>
        <w:jc w:val="both"/>
        <w:rPr>
          <w:rFonts w:ascii="Nunito Sans" w:hAnsi="Nunito Sans" w:eastAsia="Arial" w:cs="Calibri"/>
          <w:sz w:val="22"/>
          <w:szCs w:val="22"/>
        </w:rPr>
      </w:pPr>
      <w:r w:rsidRPr="00900EB0">
        <w:rPr>
          <w:rFonts w:ascii="Nunito Sans" w:hAnsi="Nunito Sans" w:eastAsia="Arial" w:cs="Calibri"/>
          <w:sz w:val="22"/>
          <w:szCs w:val="22"/>
        </w:rPr>
        <w:t>Con el cierre del análisis del estado actual, el PETI sectorial avanza hacia la definición de los lineamientos, capacidades y orientaciones estratégicas que permitirán consolidar un modelo sectorial integrado, interoperable y seguro, alineado con los objetivos del Plan Nacional de Desarrollo y con el enfoque de Transición Energética Justa.</w:t>
      </w:r>
    </w:p>
    <w:p w:rsidR="005E3BD6" w:rsidRDefault="00265D18" w14:paraId="3B022A55" w14:textId="71EDBA55">
      <w:pPr>
        <w:pStyle w:val="Ttulo1"/>
        <w:numPr>
          <w:ilvl w:val="0"/>
          <w:numId w:val="37"/>
        </w:numPr>
        <w:jc w:val="center"/>
      </w:pPr>
      <w:bookmarkStart w:name="_Toc484471262" w:id="348"/>
      <w:bookmarkStart w:name="_Toc1906806612" w:id="349"/>
      <w:r>
        <w:t xml:space="preserve"> </w:t>
      </w:r>
      <w:bookmarkStart w:name="_Toc234234503" w:id="350"/>
      <w:r w:rsidRPr="0E79E4E6" w:rsidR="00133BF0">
        <w:t>SITUACIÓN OBJETIVO (TO-BE)</w:t>
      </w:r>
      <w:bookmarkEnd w:id="348"/>
      <w:bookmarkEnd w:id="349"/>
      <w:bookmarkEnd w:id="350"/>
    </w:p>
    <w:p w:rsidRPr="004E70A8" w:rsidR="005E3BD6" w:rsidP="005E3BD6" w:rsidRDefault="005E3BD6" w14:paraId="5D1EC47C" w14:textId="77777777"/>
    <w:p w:rsidRPr="00996AFA" w:rsidR="005E3BD6" w:rsidRDefault="005E3BD6" w14:paraId="0064BF70" w14:textId="4C9B468E">
      <w:pPr>
        <w:pStyle w:val="Ttulo2"/>
        <w:numPr>
          <w:ilvl w:val="1"/>
          <w:numId w:val="21"/>
        </w:numPr>
      </w:pPr>
      <w:bookmarkStart w:name="_Toc234234504" w:id="351"/>
      <w:r w:rsidRPr="00996AFA">
        <w:t>Situación Objetivo (</w:t>
      </w:r>
      <w:r w:rsidRPr="0E79E4E6" w:rsidR="009C0C0D">
        <w:t>TO – BE</w:t>
      </w:r>
      <w:r w:rsidRPr="00996AFA">
        <w:t xml:space="preserve">) </w:t>
      </w:r>
      <w:r w:rsidR="00E000B5">
        <w:t>Arquitectura S</w:t>
      </w:r>
      <w:r w:rsidRPr="00996AFA">
        <w:t>ectorial</w:t>
      </w:r>
      <w:bookmarkEnd w:id="351"/>
    </w:p>
    <w:p w:rsidRPr="00CA4194" w:rsidR="005E3BD6" w:rsidP="005E3BD6" w:rsidRDefault="005E3BD6" w14:paraId="3410DEDD" w14:textId="77777777">
      <w:pPr>
        <w:spacing w:line="259" w:lineRule="auto"/>
        <w:jc w:val="both"/>
        <w:rPr>
          <w:rFonts w:ascii="Nunito Sans" w:hAnsi="Nunito Sans" w:eastAsia="Arial" w:cs="Calibri"/>
          <w:sz w:val="22"/>
          <w:szCs w:val="22"/>
        </w:rPr>
      </w:pPr>
      <w:r w:rsidRPr="761B0734">
        <w:rPr>
          <w:rFonts w:ascii="Nunito Sans" w:hAnsi="Nunito Sans" w:eastAsia="Arial" w:cs="Calibri"/>
          <w:sz w:val="22"/>
          <w:szCs w:val="22"/>
        </w:rPr>
        <w:t>La situación deseada del sector minero-energético al horizonte del PETI se concibe como una evolución progresiva frente al estado actual, orientada a fortalecer la articulación sectorial y a consolidar capacidades comunes que permitan responder de manera más efectiva a los retos de planeación, regulación, fiscalización y prestación de servicios. Este escenario no se limita a la actualización tecnológica de cada entidad, sino que prioriza la coherencia, coordinación y alineación de las capacidades institucionales y tecnológicas del sector.</w:t>
      </w:r>
    </w:p>
    <w:p w:rsidRPr="00CA4194" w:rsidR="005E3BD6" w:rsidP="005E3BD6" w:rsidRDefault="005E3BD6" w14:paraId="0642A074" w14:textId="77777777">
      <w:pPr>
        <w:spacing w:line="259" w:lineRule="auto"/>
        <w:jc w:val="both"/>
        <w:rPr>
          <w:rFonts w:ascii="Nunito Sans" w:hAnsi="Nunito Sans" w:eastAsia="Arial" w:cs="Calibri"/>
          <w:sz w:val="22"/>
          <w:szCs w:val="22"/>
        </w:rPr>
      </w:pPr>
    </w:p>
    <w:p w:rsidRPr="00CA4194" w:rsidR="005E3BD6" w:rsidP="005E3BD6" w:rsidRDefault="005E3BD6" w14:paraId="45122DAD" w14:textId="77777777">
      <w:pPr>
        <w:spacing w:line="259" w:lineRule="auto"/>
        <w:jc w:val="both"/>
        <w:rPr>
          <w:rFonts w:ascii="Nunito Sans" w:hAnsi="Nunito Sans" w:eastAsia="Arial" w:cs="Calibri"/>
          <w:sz w:val="22"/>
          <w:szCs w:val="22"/>
        </w:rPr>
      </w:pPr>
      <w:r w:rsidRPr="761B0734">
        <w:rPr>
          <w:rFonts w:ascii="Nunito Sans" w:hAnsi="Nunito Sans" w:eastAsia="Arial" w:cs="Calibri"/>
          <w:sz w:val="22"/>
          <w:szCs w:val="22"/>
        </w:rPr>
        <w:t xml:space="preserve">En este contexto, la evolución propuesta busca superar la fragmentación existente mediante la definición de un marco sectorial común para la gestión de la arquitectura empresarial, las tecnologías de información y los datos, respetando la autonomía operativa de las entidades, pero estableciendo lineamientos, estándares y mecanismos de gobernanza que faciliten el trabajo </w:t>
      </w:r>
      <w:r w:rsidRPr="761B0734">
        <w:rPr>
          <w:rFonts w:ascii="Nunito Sans" w:hAnsi="Nunito Sans" w:eastAsia="Arial" w:cs="Calibri"/>
          <w:sz w:val="22"/>
          <w:szCs w:val="22"/>
        </w:rPr>
        <w:lastRenderedPageBreak/>
        <w:t>conjunto y la optimización de recursos. La tecnología se consolida, así como un habilitador transversal para el cumplimiento de los objetivos sectoriales y para el avance de la Transición Energética Justa.</w:t>
      </w:r>
    </w:p>
    <w:p w:rsidRPr="00CA4194" w:rsidR="005E3BD6" w:rsidP="005E3BD6" w:rsidRDefault="005E3BD6" w14:paraId="656F0DC7" w14:textId="77777777">
      <w:pPr>
        <w:spacing w:line="259" w:lineRule="auto"/>
        <w:jc w:val="both"/>
        <w:rPr>
          <w:rFonts w:ascii="Nunito Sans" w:hAnsi="Nunito Sans" w:eastAsia="Arial" w:cs="Calibri"/>
          <w:sz w:val="22"/>
          <w:szCs w:val="22"/>
        </w:rPr>
      </w:pPr>
    </w:p>
    <w:p w:rsidR="005E3BD6" w:rsidP="005E3BD6" w:rsidRDefault="005E3BD6" w14:paraId="70707384" w14:textId="77777777">
      <w:pPr>
        <w:spacing w:line="259" w:lineRule="auto"/>
        <w:jc w:val="both"/>
        <w:rPr>
          <w:rFonts w:ascii="Nunito Sans" w:hAnsi="Nunito Sans" w:eastAsia="Arial" w:cs="Calibri"/>
          <w:sz w:val="22"/>
          <w:szCs w:val="22"/>
        </w:rPr>
      </w:pPr>
      <w:r w:rsidRPr="761B0734">
        <w:rPr>
          <w:rFonts w:ascii="Nunito Sans" w:hAnsi="Nunito Sans" w:eastAsia="Arial" w:cs="Calibri"/>
          <w:sz w:val="22"/>
          <w:szCs w:val="22"/>
        </w:rPr>
        <w:t>La situación deseada se desarrolla a través de los dominios del Modelo de Referencia de Arquitectura Empresarial (MRAE), permitiendo estructurar de manera ordenada las capacidades objetivo, los lineamientos estratégicos y las transformaciones necesarias en cada ámbito. A continuación, se presenta el desarrollo del escenario deseado por dominio, iniciando con la arquitectura institucional como base habilitadora del modelo sectorial y continuando con los demás dominios que soportan la evolución integral del sector.</w:t>
      </w:r>
    </w:p>
    <w:p w:rsidR="005E3BD6" w:rsidP="005E3BD6" w:rsidRDefault="005E3BD6" w14:paraId="250C8232" w14:textId="77777777">
      <w:pPr>
        <w:spacing w:line="259" w:lineRule="auto"/>
        <w:jc w:val="both"/>
        <w:rPr>
          <w:rFonts w:ascii="Nunito Sans" w:hAnsi="Nunito Sans" w:eastAsia="Arial" w:cs="Calibri"/>
          <w:sz w:val="22"/>
          <w:szCs w:val="22"/>
        </w:rPr>
      </w:pPr>
    </w:p>
    <w:p w:rsidR="005E3BD6" w:rsidRDefault="005E3BD6" w14:paraId="6BEB79B9" w14:textId="6B54F385">
      <w:pPr>
        <w:pStyle w:val="Ttulo3"/>
        <w:numPr>
          <w:ilvl w:val="2"/>
          <w:numId w:val="22"/>
        </w:numPr>
        <w:rPr>
          <w:rFonts w:cs="Calibri" w:eastAsiaTheme="minorEastAsia"/>
        </w:rPr>
      </w:pPr>
      <w:bookmarkStart w:name="_Toc220407509" w:id="352"/>
      <w:bookmarkStart w:name="_Toc220407743" w:id="353"/>
      <w:bookmarkStart w:name="_Toc234234505" w:id="354"/>
      <w:bookmarkEnd w:id="352"/>
      <w:bookmarkEnd w:id="353"/>
      <w:r w:rsidRPr="00432D4D">
        <w:rPr>
          <w:rFonts w:cs="Calibri" w:eastAsiaTheme="minorEastAsia"/>
        </w:rPr>
        <w:t>Situación Objetivo</w:t>
      </w:r>
      <w:r>
        <w:rPr>
          <w:rFonts w:cs="Calibri" w:eastAsiaTheme="minorEastAsia"/>
        </w:rPr>
        <w:t xml:space="preserve"> </w:t>
      </w:r>
      <w:r w:rsidRPr="00432D4D">
        <w:rPr>
          <w:rFonts w:cs="Calibri" w:eastAsiaTheme="minorEastAsia"/>
        </w:rPr>
        <w:t xml:space="preserve">dominio Arquitectura sectorial </w:t>
      </w:r>
      <w:r>
        <w:rPr>
          <w:rFonts w:cs="Calibri" w:eastAsiaTheme="minorEastAsia"/>
        </w:rPr>
        <w:t>–</w:t>
      </w:r>
      <w:r w:rsidRPr="00432D4D">
        <w:rPr>
          <w:rFonts w:cs="Calibri" w:eastAsiaTheme="minorEastAsia"/>
        </w:rPr>
        <w:t xml:space="preserve"> institucional</w:t>
      </w:r>
      <w:r>
        <w:rPr>
          <w:rFonts w:cs="Calibri" w:eastAsiaTheme="minorEastAsia"/>
        </w:rPr>
        <w:t>:</w:t>
      </w:r>
      <w:bookmarkEnd w:id="354"/>
    </w:p>
    <w:p w:rsidRPr="00E000B5" w:rsidR="00E000B5" w:rsidP="00E000B5" w:rsidRDefault="00E000B5" w14:paraId="2C592413" w14:textId="77777777">
      <w:pPr>
        <w:rPr>
          <w:lang w:val="es-ES"/>
        </w:rPr>
      </w:pPr>
    </w:p>
    <w:p w:rsidRPr="00CA4194" w:rsidR="005E3BD6" w:rsidP="005E3BD6" w:rsidRDefault="1F325162" w14:paraId="43A9ABF0" w14:textId="5D73E99C">
      <w:pPr>
        <w:spacing w:line="276" w:lineRule="auto"/>
        <w:jc w:val="both"/>
        <w:rPr>
          <w:rFonts w:ascii="Nunito Sans" w:hAnsi="Nunito Sans" w:eastAsia="Arial" w:cs="Calibri"/>
          <w:sz w:val="22"/>
          <w:szCs w:val="22"/>
          <w:lang w:val="es-ES"/>
        </w:rPr>
      </w:pPr>
      <w:r w:rsidRPr="4E60D266">
        <w:rPr>
          <w:rFonts w:ascii="Nunito Sans" w:hAnsi="Nunito Sans" w:eastAsia="Arial" w:cs="Calibri"/>
          <w:sz w:val="22"/>
          <w:szCs w:val="22"/>
          <w:lang w:val="es-ES"/>
        </w:rPr>
        <w:t>La situación objetivo busca fortalecer la gestión y gobernanza de las tecnologías de la información, apalancando los objetivos estratégicos sectoriales e institucionales de las entidades, incorporando los lineamientos establecidos en la Política de Gobierno Digital para reforzar las capacidades del sector aplicando los lineamientos, estándares y mejores prácticas definidos en el Marco de Referencia de Arquitectura Empresarial del Estado. Como punto de partida se plantea el desarrollo de un ejercicio de arquitectura empresarial que permita establecer el análisis las iniciativas ya desarrolladas. Por ello, el PETI Sectorial apoya los objetivos establecidos en el Plan Estratégico Sectorial- PES</w:t>
      </w:r>
      <w:r w:rsidRPr="4E60D266" w:rsidR="005E3BD6">
        <w:rPr>
          <w:rStyle w:val="Refdenotaalpie"/>
          <w:rFonts w:ascii="Nunito Sans" w:hAnsi="Nunito Sans" w:eastAsia="Arial" w:cs="Calibri"/>
          <w:sz w:val="22"/>
          <w:szCs w:val="22"/>
          <w:lang w:val="es-ES"/>
        </w:rPr>
        <w:footnoteReference w:id="12"/>
      </w:r>
      <w:r w:rsidRPr="4E60D266">
        <w:rPr>
          <w:rFonts w:ascii="Nunito Sans" w:hAnsi="Nunito Sans" w:eastAsia="Arial" w:cs="Calibri"/>
          <w:sz w:val="22"/>
          <w:szCs w:val="22"/>
          <w:lang w:val="es-ES"/>
        </w:rPr>
        <w:t xml:space="preserve">, a través del entendimiento del portafolio de servicios y productos sectoriales </w:t>
      </w:r>
    </w:p>
    <w:p w:rsidRPr="00CA4194" w:rsidR="005E3BD6" w:rsidP="005E3BD6" w:rsidRDefault="005E3BD6" w14:paraId="5F35E83B" w14:textId="77777777">
      <w:pPr>
        <w:spacing w:line="276" w:lineRule="auto"/>
        <w:jc w:val="both"/>
        <w:rPr>
          <w:rFonts w:ascii="Nunito Sans" w:hAnsi="Nunito Sans" w:cs="Calibri" w:eastAsiaTheme="minorEastAsia"/>
          <w:sz w:val="22"/>
          <w:szCs w:val="22"/>
          <w:lang w:val="es-ES"/>
        </w:rPr>
      </w:pPr>
    </w:p>
    <w:p w:rsidRPr="00CA4194" w:rsidR="005E3BD6" w:rsidP="005E3BD6" w:rsidRDefault="005E3BD6" w14:paraId="321B1BAA" w14:textId="77777777">
      <w:pPr>
        <w:spacing w:line="276" w:lineRule="auto"/>
        <w:jc w:val="both"/>
        <w:rPr>
          <w:rFonts w:ascii="Nunito Sans" w:hAnsi="Nunito Sans" w:eastAsia="Arial" w:cs="Calibri"/>
          <w:sz w:val="22"/>
          <w:szCs w:val="22"/>
          <w:lang w:val="es-ES"/>
        </w:rPr>
      </w:pPr>
      <w:r w:rsidRPr="0E79E4E6">
        <w:rPr>
          <w:rFonts w:ascii="Nunito Sans" w:hAnsi="Nunito Sans" w:eastAsia="Arial" w:cs="Calibri"/>
          <w:sz w:val="22"/>
          <w:szCs w:val="22"/>
          <w:lang w:val="es-ES"/>
        </w:rPr>
        <w:t>Por lo anterior, recopilar las necesidades e iniciativas establecidas en el Plan Estratégico Sectorial – PES es el primer paso para realizar el respectivo análisis de tal forma que se alineen los requisitos del sector con los productos y/o servicios de TI ofrecidos por las entidades que conforman el sector. Posteriormente, la gestión se debe encaminar a la generación e integración de acciones que permitan afrontar los grandes retos sectoriales y posicionarlo como referente a nivel nacional. De igual manera, se debe establecer los lineamientos, políticas y prácticas de TI que permitan contar con una visión integral y sistémica del sector en lo referente a la arquitectura de TI, optimizando el uso de los recursos propios de cada entidad, generando beneficios y reduciendo el riesgo.</w:t>
      </w:r>
    </w:p>
    <w:p w:rsidR="005E3BD6" w:rsidP="005E3BD6" w:rsidRDefault="005E3BD6" w14:paraId="550128BD" w14:textId="77777777">
      <w:pPr>
        <w:spacing w:line="276" w:lineRule="auto"/>
        <w:jc w:val="both"/>
        <w:rPr>
          <w:rFonts w:ascii="Nunito Sans" w:hAnsi="Nunito Sans" w:eastAsia="Arial" w:cs="Calibri"/>
          <w:sz w:val="22"/>
          <w:szCs w:val="22"/>
          <w:lang w:val="es-ES"/>
        </w:rPr>
      </w:pPr>
    </w:p>
    <w:p w:rsidR="005E3BD6" w:rsidRDefault="005E3BD6" w14:paraId="2884CEA7" w14:textId="11191086">
      <w:pPr>
        <w:pStyle w:val="Ttulo4"/>
        <w:numPr>
          <w:ilvl w:val="3"/>
          <w:numId w:val="22"/>
        </w:numPr>
      </w:pPr>
      <w:bookmarkStart w:name="_Toc124409351" w:id="355"/>
      <w:r w:rsidRPr="00A34053">
        <w:t>Estrategia TI Sectorial</w:t>
      </w:r>
      <w:bookmarkEnd w:id="355"/>
      <w:r w:rsidRPr="00A34053">
        <w:t xml:space="preserve"> </w:t>
      </w:r>
    </w:p>
    <w:p w:rsidRPr="00DF354F" w:rsidR="00DF354F" w:rsidP="00DF354F" w:rsidRDefault="00DF354F" w14:paraId="757EBB3C" w14:textId="77777777">
      <w:pPr>
        <w:rPr>
          <w:lang w:val="es-ES"/>
        </w:rPr>
      </w:pPr>
    </w:p>
    <w:p w:rsidRPr="00CA4194" w:rsidR="005E3BD6" w:rsidP="005E3BD6" w:rsidRDefault="005E3BD6" w14:paraId="09F8970A"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lastRenderedPageBreak/>
        <w:t>Definir e implementar el conjunto de principios y acciones que guíen al sector Minero Energético en el uso de las tecnologías para alcanzar las metas institucionales, a través de  la articulación de proyectos de Tecnologías de Información que impulsen la transformación digital del sector minero y energético mediante la alineación de las TIC con la Estrategia Nacional Digital 2023-2026, los Planes Estratégicos Institucionales,  y el uso estratégico de la información para soportar decisiones basadas en datos para impactar la calidad de vida de los ciudadanos y la competitividad del país.</w:t>
      </w:r>
    </w:p>
    <w:p w:rsidR="005E3BD6" w:rsidP="005E3BD6" w:rsidRDefault="005E3BD6" w14:paraId="20C72138" w14:textId="77777777"/>
    <w:p w:rsidR="005E3BD6" w:rsidRDefault="005E3BD6" w14:paraId="125218DE" w14:textId="33A47649">
      <w:pPr>
        <w:pStyle w:val="Ttulo4"/>
        <w:numPr>
          <w:ilvl w:val="3"/>
          <w:numId w:val="22"/>
        </w:numPr>
      </w:pPr>
      <w:bookmarkStart w:name="_Toc922061607" w:id="356"/>
      <w:r w:rsidRPr="00E40053">
        <w:t>Misión de TI Sectorial</w:t>
      </w:r>
      <w:bookmarkEnd w:id="356"/>
      <w:r w:rsidRPr="00E40053">
        <w:t xml:space="preserve"> </w:t>
      </w:r>
    </w:p>
    <w:p w:rsidRPr="00DF354F" w:rsidR="00DF354F" w:rsidP="00DF354F" w:rsidRDefault="00DF354F" w14:paraId="09A19DF2" w14:textId="77777777">
      <w:pPr>
        <w:rPr>
          <w:lang w:val="es-ES"/>
        </w:rPr>
      </w:pPr>
    </w:p>
    <w:p w:rsidRPr="00CA4194" w:rsidR="005E3BD6" w:rsidP="005E3BD6" w:rsidRDefault="005E3BD6" w14:paraId="7290C6F9" w14:textId="77777777">
      <w:pPr>
        <w:jc w:val="both"/>
        <w:rPr>
          <w:rFonts w:ascii="Nunito Sans" w:hAnsi="Nunito Sans" w:cs="Calibri" w:eastAsiaTheme="minorEastAsia"/>
          <w:sz w:val="22"/>
          <w:szCs w:val="22"/>
          <w:lang w:val="es-ES"/>
        </w:rPr>
      </w:pPr>
      <w:r w:rsidRPr="00CA4194">
        <w:rPr>
          <w:rFonts w:ascii="Nunito Sans" w:hAnsi="Nunito Sans" w:cs="Calibri" w:eastAsiaTheme="minorEastAsia"/>
          <w:sz w:val="22"/>
          <w:szCs w:val="22"/>
          <w:lang w:val="es-ES"/>
        </w:rPr>
        <w:t xml:space="preserve">Liderar estratégicamente la implementación y el uso de las Tecnologías de Información y las Comunicaciones, que apoyen el logro de los objetivos estratégicos del Ministerio de Minas y Energía y de las entidades adscritas del sector, con un enfoque de transformación digital, bajo principios que promuevan la formulación e implementación de la arquitectura empresarial para la gestión digital y el uso de datos para el bien común con un enfoque de seguridad y Gobierno digital para la gente. </w:t>
      </w:r>
    </w:p>
    <w:p w:rsidR="005E3BD6" w:rsidP="005E3BD6" w:rsidRDefault="005E3BD6" w14:paraId="372E45DA" w14:textId="77777777">
      <w:bookmarkStart w:name="_Toc2017728411" w:id="357"/>
    </w:p>
    <w:p w:rsidR="005E3BD6" w:rsidRDefault="005E3BD6" w14:paraId="053A9EBB" w14:textId="40C84820">
      <w:pPr>
        <w:pStyle w:val="Ttulo4"/>
        <w:numPr>
          <w:ilvl w:val="3"/>
          <w:numId w:val="22"/>
        </w:numPr>
      </w:pPr>
      <w:r w:rsidRPr="00E40053">
        <w:t>Visión de TI Sectorial</w:t>
      </w:r>
      <w:bookmarkEnd w:id="357"/>
    </w:p>
    <w:p w:rsidRPr="00DF354F" w:rsidR="00DF354F" w:rsidP="00DF354F" w:rsidRDefault="00DF354F" w14:paraId="44542E63" w14:textId="77777777">
      <w:pPr>
        <w:rPr>
          <w:lang w:val="es-ES"/>
        </w:rPr>
      </w:pPr>
    </w:p>
    <w:p w:rsidR="005E3BD6" w:rsidP="005E3BD6" w:rsidRDefault="5FD9A9A3" w14:paraId="34E819F1" w14:textId="118041C3">
      <w:pPr>
        <w:jc w:val="both"/>
      </w:pPr>
      <w:r w:rsidRPr="4E60D266">
        <w:rPr>
          <w:rFonts w:ascii="Nunito Sans" w:hAnsi="Nunito Sans" w:cs="Calibri" w:eastAsiaTheme="minorEastAsia"/>
          <w:sz w:val="22"/>
          <w:szCs w:val="22"/>
          <w:lang w:val="es-ES"/>
        </w:rPr>
        <w:t>Para el 2030, el sector minero-energético colombiano se consolidará como un ecosistema digital integrado, referente nacional en transformación digital y gobernanza de datos. A través de la articulación estratégica de las oficinas de tecnologías de la información de sus entidades adscritas y vinculadas, el sector liderará la adopción progresiva de tecnologías emergentes, inteligencia analítica e infraestructura tecnológica resiliente, promoviendo una cultura de innovación digital con propósito que apalanque de manera eficiente la Transición Energética Justa y genere valor público para la ciudadanía.</w:t>
      </w:r>
    </w:p>
    <w:p w:rsidR="005E3BD6" w:rsidP="005E3BD6" w:rsidRDefault="005E3BD6" w14:paraId="4737FA42" w14:textId="77777777">
      <w:pPr>
        <w:jc w:val="both"/>
        <w:rPr>
          <w:rFonts w:ascii="Nunito Sans" w:hAnsi="Nunito Sans" w:cs="Calibri" w:eastAsiaTheme="minorEastAsia"/>
          <w:sz w:val="22"/>
          <w:szCs w:val="22"/>
          <w:lang w:val="es-ES"/>
        </w:rPr>
      </w:pPr>
    </w:p>
    <w:p w:rsidRPr="00E40053" w:rsidR="005E3BD6" w:rsidRDefault="005E3BD6" w14:paraId="4988894C" w14:textId="2689D62E">
      <w:pPr>
        <w:pStyle w:val="Ttulo4"/>
        <w:numPr>
          <w:ilvl w:val="3"/>
          <w:numId w:val="22"/>
        </w:numPr>
      </w:pPr>
      <w:bookmarkStart w:name="_Toc1990710275" w:id="358"/>
      <w:r w:rsidRPr="00E40053">
        <w:t xml:space="preserve">Objetivos </w:t>
      </w:r>
      <w:r w:rsidR="00FA3CC3">
        <w:t>E</w:t>
      </w:r>
      <w:r w:rsidRPr="00E40053">
        <w:t>stratégicos de TI Sectoriales</w:t>
      </w:r>
      <w:bookmarkEnd w:id="358"/>
      <w:r w:rsidRPr="00E40053">
        <w:t xml:space="preserve"> </w:t>
      </w:r>
    </w:p>
    <w:p w:rsidR="005E3BD6" w:rsidP="005E3BD6" w:rsidRDefault="005E3BD6" w14:paraId="160801DA" w14:textId="77777777">
      <w:pPr>
        <w:rPr>
          <w:lang w:val="es-ES"/>
        </w:rPr>
      </w:pPr>
    </w:p>
    <w:p w:rsidRPr="00EB43A6" w:rsidR="005E3BD6" w:rsidP="005E3BD6" w:rsidRDefault="005B3EC6" w14:paraId="4C3BC87C" w14:textId="4B8DCAC4">
      <w:pPr>
        <w:ind w:left="360" w:hanging="360"/>
        <w:jc w:val="center"/>
        <w:rPr>
          <w:rFonts w:ascii="Nunito Sans" w:hAnsi="Nunito Sans" w:cs="Calibri"/>
          <w:b/>
          <w:bCs/>
          <w:sz w:val="18"/>
          <w:szCs w:val="18"/>
        </w:rPr>
      </w:pPr>
      <w:bookmarkStart w:name="_Toc220664221" w:id="359"/>
      <w:r w:rsidRPr="005B3EC6">
        <w:rPr>
          <w:rFonts w:ascii="Nunito Sans" w:hAnsi="Nunito Sans" w:cs="Calibri"/>
          <w:b/>
          <w:bCs/>
          <w:sz w:val="18"/>
          <w:szCs w:val="18"/>
        </w:rPr>
        <w:t xml:space="preserve">Tabla </w:t>
      </w:r>
      <w:r w:rsidRPr="005B3EC6">
        <w:rPr>
          <w:rFonts w:ascii="Nunito Sans" w:hAnsi="Nunito Sans" w:cs="Calibri"/>
          <w:b/>
          <w:bCs/>
          <w:sz w:val="18"/>
          <w:szCs w:val="18"/>
        </w:rPr>
        <w:fldChar w:fldCharType="begin"/>
      </w:r>
      <w:r w:rsidRPr="005B3EC6">
        <w:rPr>
          <w:rFonts w:ascii="Nunito Sans" w:hAnsi="Nunito Sans" w:cs="Calibri"/>
          <w:b/>
          <w:bCs/>
          <w:sz w:val="18"/>
          <w:szCs w:val="18"/>
        </w:rPr>
        <w:instrText xml:space="preserve"> SEQ Tabla \* ARABIC </w:instrText>
      </w:r>
      <w:r w:rsidRPr="005B3EC6">
        <w:rPr>
          <w:rFonts w:ascii="Nunito Sans" w:hAnsi="Nunito Sans" w:cs="Calibri"/>
          <w:b/>
          <w:bCs/>
          <w:sz w:val="18"/>
          <w:szCs w:val="18"/>
        </w:rPr>
        <w:fldChar w:fldCharType="separate"/>
      </w:r>
      <w:r w:rsidR="00C57F7B">
        <w:rPr>
          <w:rFonts w:ascii="Nunito Sans" w:hAnsi="Nunito Sans" w:cs="Calibri"/>
          <w:b/>
          <w:bCs/>
          <w:noProof/>
          <w:sz w:val="18"/>
          <w:szCs w:val="18"/>
        </w:rPr>
        <w:t>50</w:t>
      </w:r>
      <w:r w:rsidRPr="005B3EC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Objetivos Estratégicos del Sector</w:t>
      </w:r>
      <w:bookmarkEnd w:id="359"/>
      <w:r w:rsidR="005E3BD6">
        <w:rPr>
          <w:rFonts w:ascii="Nunito Sans" w:hAnsi="Nunito Sans" w:cs="Calibri"/>
          <w:b/>
          <w:bCs/>
          <w:sz w:val="18"/>
          <w:szCs w:val="18"/>
        </w:rPr>
        <w:t xml:space="preserve"> </w:t>
      </w:r>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2887"/>
        <w:gridCol w:w="2887"/>
        <w:gridCol w:w="2887"/>
      </w:tblGrid>
      <w:tr w:rsidRPr="00432D4D" w:rsidR="005E3BD6" w:rsidTr="002B6958" w14:paraId="3E8A9638" w14:textId="77777777">
        <w:trPr>
          <w:trHeight w:val="299"/>
          <w:jc w:val="center"/>
        </w:trPr>
        <w:tc>
          <w:tcPr>
            <w:tcW w:w="2887" w:type="dxa"/>
            <w:shd w:val="clear" w:color="auto" w:fill="E1AF3B"/>
            <w:vAlign w:val="center"/>
          </w:tcPr>
          <w:p w:rsidRPr="0093248C" w:rsidR="005E3BD6" w:rsidP="002B6958" w:rsidRDefault="1F325162" w14:paraId="2C87110B" w14:textId="77777777">
            <w:pPr>
              <w:jc w:val="center"/>
              <w:rPr>
                <w:rFonts w:ascii="Nunito Sans" w:hAnsi="Nunito Sans" w:eastAsia="Nunito Sans" w:cs="Nunito Sans"/>
                <w:b/>
                <w:bCs/>
                <w:color w:val="FFFFFF" w:themeColor="background1"/>
                <w:sz w:val="18"/>
                <w:szCs w:val="18"/>
                <w:lang w:val="es-ES"/>
              </w:rPr>
            </w:pPr>
            <w:r w:rsidRPr="0093248C">
              <w:rPr>
                <w:rFonts w:ascii="Nunito Sans" w:hAnsi="Nunito Sans" w:eastAsia="Nunito Sans" w:cs="Nunito Sans"/>
                <w:b/>
                <w:bCs/>
                <w:color w:val="FFFFFF" w:themeColor="background1"/>
                <w:sz w:val="18"/>
                <w:szCs w:val="18"/>
                <w:lang w:val="es-ES"/>
              </w:rPr>
              <w:t>Cod Objetivo</w:t>
            </w:r>
          </w:p>
        </w:tc>
        <w:tc>
          <w:tcPr>
            <w:tcW w:w="2887" w:type="dxa"/>
            <w:shd w:val="clear" w:color="auto" w:fill="E1AF3B"/>
            <w:vAlign w:val="center"/>
          </w:tcPr>
          <w:p w:rsidRPr="0093248C" w:rsidR="005E3BD6" w:rsidP="002B6958" w:rsidRDefault="1F325162" w14:paraId="54A59E39" w14:textId="77777777">
            <w:pPr>
              <w:jc w:val="center"/>
              <w:rPr>
                <w:rFonts w:ascii="Nunito Sans" w:hAnsi="Nunito Sans" w:eastAsia="Nunito Sans" w:cs="Nunito Sans"/>
                <w:b/>
                <w:bCs/>
                <w:color w:val="FFFFFF" w:themeColor="background1"/>
                <w:sz w:val="18"/>
                <w:szCs w:val="18"/>
                <w:lang w:val="es-ES"/>
              </w:rPr>
            </w:pPr>
            <w:r w:rsidRPr="0093248C">
              <w:rPr>
                <w:rFonts w:ascii="Nunito Sans" w:hAnsi="Nunito Sans" w:eastAsia="Nunito Sans" w:cs="Nunito Sans"/>
                <w:b/>
                <w:bCs/>
                <w:color w:val="FFFFFF" w:themeColor="background1"/>
                <w:sz w:val="18"/>
                <w:szCs w:val="18"/>
                <w:lang w:val="es-ES"/>
              </w:rPr>
              <w:t>Descripción</w:t>
            </w:r>
          </w:p>
        </w:tc>
        <w:tc>
          <w:tcPr>
            <w:tcW w:w="2887" w:type="dxa"/>
            <w:shd w:val="clear" w:color="auto" w:fill="E1AF3B"/>
            <w:vAlign w:val="center"/>
          </w:tcPr>
          <w:p w:rsidRPr="0093248C" w:rsidR="005E3BD6" w:rsidP="002B6958" w:rsidRDefault="1F325162" w14:paraId="70B3D8A1" w14:textId="77777777">
            <w:pPr>
              <w:jc w:val="center"/>
              <w:rPr>
                <w:rFonts w:ascii="Nunito Sans" w:hAnsi="Nunito Sans" w:eastAsia="Nunito Sans" w:cs="Nunito Sans"/>
                <w:b/>
                <w:bCs/>
                <w:color w:val="FFFFFF" w:themeColor="background1"/>
                <w:sz w:val="18"/>
                <w:szCs w:val="18"/>
                <w:lang w:val="es-ES"/>
              </w:rPr>
            </w:pPr>
            <w:r w:rsidRPr="0093248C">
              <w:rPr>
                <w:rFonts w:ascii="Nunito Sans" w:hAnsi="Nunito Sans" w:eastAsia="Nunito Sans" w:cs="Nunito Sans"/>
                <w:b/>
                <w:bCs/>
                <w:color w:val="FFFFFF" w:themeColor="background1"/>
                <w:sz w:val="18"/>
                <w:szCs w:val="18"/>
                <w:lang w:val="es-ES"/>
              </w:rPr>
              <w:t>Dominio</w:t>
            </w:r>
          </w:p>
        </w:tc>
      </w:tr>
      <w:tr w:rsidRPr="00432D4D" w:rsidR="005E3BD6" w:rsidTr="002B6958" w14:paraId="25670B82" w14:textId="77777777">
        <w:trPr>
          <w:trHeight w:val="299"/>
          <w:jc w:val="center"/>
        </w:trPr>
        <w:tc>
          <w:tcPr>
            <w:tcW w:w="2887" w:type="dxa"/>
            <w:vAlign w:val="center"/>
          </w:tcPr>
          <w:p w:rsidRPr="007D688D" w:rsidR="005E3BD6" w:rsidP="002B6958" w:rsidRDefault="1F325162" w14:paraId="65B1B463" w14:textId="77777777">
            <w:pPr>
              <w:jc w:val="center"/>
              <w:rPr>
                <w:rFonts w:ascii="Nunito Sans" w:hAnsi="Nunito Sans"/>
                <w:sz w:val="18"/>
                <w:szCs w:val="18"/>
              </w:rPr>
            </w:pPr>
            <w:r w:rsidRPr="007D688D">
              <w:rPr>
                <w:rFonts w:ascii="Nunito Sans" w:hAnsi="Nunito Sans" w:eastAsia="Nunito Sans" w:cs="Nunito Sans"/>
                <w:sz w:val="18"/>
                <w:szCs w:val="18"/>
                <w:lang w:val="es-ES"/>
              </w:rPr>
              <w:t>OE-TI-01</w:t>
            </w:r>
          </w:p>
        </w:tc>
        <w:tc>
          <w:tcPr>
            <w:tcW w:w="2887" w:type="dxa"/>
            <w:vAlign w:val="center"/>
          </w:tcPr>
          <w:p w:rsidRPr="007D688D" w:rsidR="005E3BD6" w:rsidP="002B6958" w:rsidRDefault="1F325162" w14:paraId="6D623632" w14:textId="77777777">
            <w:pPr>
              <w:jc w:val="center"/>
              <w:rPr>
                <w:rFonts w:ascii="Nunito Sans" w:hAnsi="Nunito Sans"/>
                <w:sz w:val="18"/>
                <w:szCs w:val="18"/>
              </w:rPr>
            </w:pPr>
            <w:r w:rsidRPr="007D688D">
              <w:rPr>
                <w:rFonts w:ascii="Nunito Sans" w:hAnsi="Nunito Sans" w:eastAsia="Nunito Sans" w:cs="Nunito Sans"/>
                <w:sz w:val="18"/>
                <w:szCs w:val="18"/>
                <w:lang w:val="es-ES"/>
              </w:rPr>
              <w:t>Fortalecer el gobierno y la calidad del dato sectorial mediante un modelo federado que estandarice definiciones, mejore la trazabilidad y habilite el Energy Data Lake sectorial.</w:t>
            </w:r>
          </w:p>
        </w:tc>
        <w:tc>
          <w:tcPr>
            <w:tcW w:w="2887" w:type="dxa"/>
            <w:vAlign w:val="center"/>
          </w:tcPr>
          <w:p w:rsidRPr="007D688D" w:rsidR="005E3BD6" w:rsidP="002B6958" w:rsidRDefault="1F325162" w14:paraId="6BC5FC25" w14:textId="77777777">
            <w:pPr>
              <w:jc w:val="center"/>
              <w:rPr>
                <w:rFonts w:ascii="Nunito Sans" w:hAnsi="Nunito Sans"/>
                <w:sz w:val="18"/>
                <w:szCs w:val="18"/>
              </w:rPr>
            </w:pPr>
            <w:r w:rsidRPr="007D688D">
              <w:rPr>
                <w:rFonts w:ascii="Nunito Sans" w:hAnsi="Nunito Sans" w:eastAsia="Nunito Sans" w:cs="Nunito Sans"/>
                <w:sz w:val="18"/>
                <w:szCs w:val="18"/>
                <w:lang w:val="es-ES"/>
              </w:rPr>
              <w:t>Datos e información</w:t>
            </w:r>
          </w:p>
        </w:tc>
      </w:tr>
      <w:tr w:rsidRPr="00432D4D" w:rsidR="005E3BD6" w:rsidTr="002B6958" w14:paraId="34A605D5" w14:textId="77777777">
        <w:trPr>
          <w:trHeight w:val="299"/>
          <w:jc w:val="center"/>
        </w:trPr>
        <w:tc>
          <w:tcPr>
            <w:tcW w:w="2887" w:type="dxa"/>
            <w:vAlign w:val="center"/>
          </w:tcPr>
          <w:p w:rsidRPr="007D688D" w:rsidR="005E3BD6" w:rsidP="002B6958" w:rsidRDefault="1F325162" w14:paraId="7D313BA3" w14:textId="77777777">
            <w:pPr>
              <w:jc w:val="center"/>
              <w:rPr>
                <w:rFonts w:ascii="Nunito Sans" w:hAnsi="Nunito Sans"/>
                <w:sz w:val="18"/>
                <w:szCs w:val="18"/>
              </w:rPr>
            </w:pPr>
            <w:r w:rsidRPr="007D688D">
              <w:rPr>
                <w:rFonts w:ascii="Nunito Sans" w:hAnsi="Nunito Sans" w:eastAsia="Nunito Sans" w:cs="Nunito Sans"/>
                <w:sz w:val="18"/>
                <w:szCs w:val="18"/>
                <w:lang w:val="es-ES"/>
              </w:rPr>
              <w:t>OE-TI-02</w:t>
            </w:r>
          </w:p>
        </w:tc>
        <w:tc>
          <w:tcPr>
            <w:tcW w:w="2887" w:type="dxa"/>
            <w:vAlign w:val="center"/>
          </w:tcPr>
          <w:p w:rsidRPr="007D688D" w:rsidR="005E3BD6" w:rsidP="002B6958" w:rsidRDefault="1F325162" w14:paraId="64C9CC02" w14:textId="77777777">
            <w:pPr>
              <w:jc w:val="center"/>
              <w:rPr>
                <w:rFonts w:ascii="Nunito Sans" w:hAnsi="Nunito Sans"/>
                <w:sz w:val="18"/>
                <w:szCs w:val="18"/>
              </w:rPr>
            </w:pPr>
            <w:r w:rsidRPr="007D688D">
              <w:rPr>
                <w:rFonts w:ascii="Nunito Sans" w:hAnsi="Nunito Sans" w:eastAsia="Nunito Sans" w:cs="Nunito Sans"/>
                <w:sz w:val="18"/>
                <w:szCs w:val="18"/>
                <w:lang w:val="es-ES"/>
              </w:rPr>
              <w:t>Consolidar una infraestructura tecnológica híbrida, resiliente y sostenible que soporte cargas críticas, analítica avanzada y procesamiento en borde, especialmente en ZNI.</w:t>
            </w:r>
          </w:p>
        </w:tc>
        <w:tc>
          <w:tcPr>
            <w:tcW w:w="2887" w:type="dxa"/>
            <w:vAlign w:val="center"/>
          </w:tcPr>
          <w:p w:rsidRPr="007D688D" w:rsidR="005E3BD6" w:rsidP="002B6958" w:rsidRDefault="1F325162" w14:paraId="2CA442DE" w14:textId="77777777">
            <w:pPr>
              <w:jc w:val="center"/>
              <w:rPr>
                <w:rFonts w:ascii="Nunito Sans" w:hAnsi="Nunito Sans" w:eastAsia="Nunito Sans" w:cs="Nunito Sans"/>
                <w:sz w:val="18"/>
                <w:szCs w:val="18"/>
                <w:lang w:val="es-ES"/>
              </w:rPr>
            </w:pPr>
            <w:r w:rsidRPr="007D688D">
              <w:rPr>
                <w:rFonts w:ascii="Nunito Sans" w:hAnsi="Nunito Sans" w:eastAsia="Nunito Sans" w:cs="Nunito Sans"/>
                <w:sz w:val="18"/>
                <w:szCs w:val="18"/>
                <w:lang w:val="es-ES"/>
              </w:rPr>
              <w:t>Infraestructura y Servicios Tecnológicos</w:t>
            </w:r>
          </w:p>
        </w:tc>
      </w:tr>
      <w:tr w:rsidRPr="00432D4D" w:rsidR="005E3BD6" w:rsidTr="002B6958" w14:paraId="03771CDF" w14:textId="77777777">
        <w:trPr>
          <w:trHeight w:val="299"/>
          <w:jc w:val="center"/>
        </w:trPr>
        <w:tc>
          <w:tcPr>
            <w:tcW w:w="2887" w:type="dxa"/>
            <w:vAlign w:val="center"/>
          </w:tcPr>
          <w:p w:rsidRPr="007D688D" w:rsidR="005E3BD6" w:rsidP="002B6958" w:rsidRDefault="1F325162" w14:paraId="603A8548" w14:textId="77777777">
            <w:pPr>
              <w:jc w:val="center"/>
              <w:rPr>
                <w:rFonts w:ascii="Nunito Sans" w:hAnsi="Nunito Sans"/>
                <w:sz w:val="18"/>
                <w:szCs w:val="18"/>
              </w:rPr>
            </w:pPr>
            <w:r w:rsidRPr="007D688D">
              <w:rPr>
                <w:rFonts w:ascii="Nunito Sans" w:hAnsi="Nunito Sans" w:eastAsia="Nunito Sans" w:cs="Nunito Sans"/>
                <w:sz w:val="18"/>
                <w:szCs w:val="18"/>
                <w:lang w:val="es-ES"/>
              </w:rPr>
              <w:t>OE-TI-03</w:t>
            </w:r>
          </w:p>
        </w:tc>
        <w:tc>
          <w:tcPr>
            <w:tcW w:w="2887" w:type="dxa"/>
            <w:vAlign w:val="center"/>
          </w:tcPr>
          <w:p w:rsidRPr="007D688D" w:rsidR="005E3BD6" w:rsidP="002B6958" w:rsidRDefault="1F325162" w14:paraId="4018113E" w14:textId="77777777">
            <w:pPr>
              <w:jc w:val="center"/>
              <w:rPr>
                <w:rFonts w:ascii="Nunito Sans" w:hAnsi="Nunito Sans"/>
                <w:sz w:val="18"/>
                <w:szCs w:val="18"/>
              </w:rPr>
            </w:pPr>
            <w:r w:rsidRPr="007D688D">
              <w:rPr>
                <w:rFonts w:ascii="Nunito Sans" w:hAnsi="Nunito Sans" w:eastAsia="Nunito Sans" w:cs="Nunito Sans"/>
                <w:sz w:val="18"/>
                <w:szCs w:val="18"/>
                <w:lang w:val="es-ES"/>
              </w:rPr>
              <w:t xml:space="preserve">Garantizar la seguridad digital sectorial y la protección de la </w:t>
            </w:r>
            <w:r w:rsidRPr="007D688D">
              <w:rPr>
                <w:rFonts w:ascii="Nunito Sans" w:hAnsi="Nunito Sans" w:eastAsia="Nunito Sans" w:cs="Nunito Sans"/>
                <w:sz w:val="18"/>
                <w:szCs w:val="18"/>
                <w:lang w:val="es-ES"/>
              </w:rPr>
              <w:lastRenderedPageBreak/>
              <w:t>infraestructura crítica, fortaleciendo la gestión de riesgos y la operación del CSIRT sectorial y los mecanismos de continuidad (CDA/DRP).</w:t>
            </w:r>
          </w:p>
        </w:tc>
        <w:tc>
          <w:tcPr>
            <w:tcW w:w="2887" w:type="dxa"/>
            <w:vAlign w:val="center"/>
          </w:tcPr>
          <w:p w:rsidRPr="007D688D" w:rsidR="005E3BD6" w:rsidP="002B6958" w:rsidRDefault="1F325162" w14:paraId="765A5B8D" w14:textId="77777777">
            <w:pPr>
              <w:jc w:val="center"/>
              <w:rPr>
                <w:rFonts w:ascii="Nunito Sans" w:hAnsi="Nunito Sans"/>
                <w:sz w:val="18"/>
                <w:szCs w:val="18"/>
              </w:rPr>
            </w:pPr>
            <w:r w:rsidRPr="007D688D">
              <w:rPr>
                <w:rFonts w:ascii="Nunito Sans" w:hAnsi="Nunito Sans" w:eastAsia="Nunito Sans" w:cs="Nunito Sans"/>
                <w:sz w:val="18"/>
                <w:szCs w:val="18"/>
                <w:lang w:val="es-ES"/>
              </w:rPr>
              <w:lastRenderedPageBreak/>
              <w:t>Seguridad y privacidad de la información</w:t>
            </w:r>
          </w:p>
        </w:tc>
      </w:tr>
      <w:tr w:rsidRPr="00432D4D" w:rsidR="005E3BD6" w:rsidTr="002B6958" w14:paraId="29DBBFC9" w14:textId="77777777">
        <w:trPr>
          <w:trHeight w:val="299"/>
          <w:jc w:val="center"/>
        </w:trPr>
        <w:tc>
          <w:tcPr>
            <w:tcW w:w="2887" w:type="dxa"/>
            <w:vAlign w:val="center"/>
          </w:tcPr>
          <w:p w:rsidRPr="007D688D" w:rsidR="005E3BD6" w:rsidP="002B6958" w:rsidRDefault="1F325162" w14:paraId="0B9B592D" w14:textId="77777777">
            <w:pPr>
              <w:jc w:val="center"/>
              <w:rPr>
                <w:rFonts w:ascii="Nunito Sans" w:hAnsi="Nunito Sans"/>
                <w:sz w:val="18"/>
                <w:szCs w:val="18"/>
              </w:rPr>
            </w:pPr>
            <w:r w:rsidRPr="007D688D">
              <w:rPr>
                <w:rFonts w:ascii="Nunito Sans" w:hAnsi="Nunito Sans" w:eastAsia="Nunito Sans" w:cs="Nunito Sans"/>
                <w:sz w:val="18"/>
                <w:szCs w:val="18"/>
                <w:lang w:val="es-ES"/>
              </w:rPr>
              <w:t>OE-TI-04</w:t>
            </w:r>
          </w:p>
        </w:tc>
        <w:tc>
          <w:tcPr>
            <w:tcW w:w="2887" w:type="dxa"/>
            <w:vAlign w:val="center"/>
          </w:tcPr>
          <w:p w:rsidRPr="007D688D" w:rsidR="005E3BD6" w:rsidP="002B6958" w:rsidRDefault="1F325162" w14:paraId="61B8D5BB" w14:textId="77777777">
            <w:pPr>
              <w:jc w:val="center"/>
              <w:rPr>
                <w:rFonts w:ascii="Nunito Sans" w:hAnsi="Nunito Sans"/>
                <w:sz w:val="18"/>
                <w:szCs w:val="18"/>
              </w:rPr>
            </w:pPr>
            <w:r w:rsidRPr="007D688D">
              <w:rPr>
                <w:rFonts w:ascii="Nunito Sans" w:hAnsi="Nunito Sans" w:eastAsia="Nunito Sans" w:cs="Nunito Sans"/>
                <w:sz w:val="18"/>
                <w:szCs w:val="18"/>
                <w:lang w:val="es-ES"/>
              </w:rPr>
              <w:t>Impulsar la interoperabilidad sectorial y la integración con el Estado mediante X-Road, APIs estandarizadas y catálogos de datos que habiliten flujos seguros y reutilizables de información.</w:t>
            </w:r>
          </w:p>
        </w:tc>
        <w:tc>
          <w:tcPr>
            <w:tcW w:w="2887" w:type="dxa"/>
            <w:vAlign w:val="center"/>
          </w:tcPr>
          <w:p w:rsidRPr="007D688D" w:rsidR="005E3BD6" w:rsidP="002B6958" w:rsidRDefault="1F325162" w14:paraId="0AEC6498" w14:textId="77777777">
            <w:pPr>
              <w:jc w:val="center"/>
              <w:rPr>
                <w:rFonts w:ascii="Nunito Sans" w:hAnsi="Nunito Sans"/>
                <w:sz w:val="18"/>
                <w:szCs w:val="18"/>
              </w:rPr>
            </w:pPr>
            <w:r w:rsidRPr="007D688D">
              <w:rPr>
                <w:rFonts w:ascii="Nunito Sans" w:hAnsi="Nunito Sans" w:eastAsia="Nunito Sans" w:cs="Nunito Sans"/>
                <w:sz w:val="18"/>
                <w:szCs w:val="18"/>
                <w:lang w:val="es-ES"/>
              </w:rPr>
              <w:t>Interoperabilidad</w:t>
            </w:r>
          </w:p>
        </w:tc>
      </w:tr>
      <w:tr w:rsidRPr="00432D4D" w:rsidR="005E3BD6" w:rsidTr="002B6958" w14:paraId="75300167" w14:textId="77777777">
        <w:trPr>
          <w:trHeight w:val="299"/>
          <w:jc w:val="center"/>
        </w:trPr>
        <w:tc>
          <w:tcPr>
            <w:tcW w:w="2887" w:type="dxa"/>
            <w:vAlign w:val="center"/>
          </w:tcPr>
          <w:p w:rsidRPr="007D688D" w:rsidR="005E3BD6" w:rsidP="002B6958" w:rsidRDefault="1F325162" w14:paraId="6E594E12" w14:textId="77777777">
            <w:pPr>
              <w:jc w:val="center"/>
              <w:rPr>
                <w:rFonts w:ascii="Nunito Sans" w:hAnsi="Nunito Sans"/>
                <w:sz w:val="18"/>
                <w:szCs w:val="18"/>
              </w:rPr>
            </w:pPr>
            <w:r w:rsidRPr="007D688D">
              <w:rPr>
                <w:rFonts w:ascii="Nunito Sans" w:hAnsi="Nunito Sans" w:eastAsia="Nunito Sans" w:cs="Nunito Sans"/>
                <w:sz w:val="18"/>
                <w:szCs w:val="18"/>
                <w:lang w:val="es-ES"/>
              </w:rPr>
              <w:t>OE-TI-05</w:t>
            </w:r>
          </w:p>
        </w:tc>
        <w:tc>
          <w:tcPr>
            <w:tcW w:w="2887" w:type="dxa"/>
            <w:vAlign w:val="center"/>
          </w:tcPr>
          <w:p w:rsidRPr="007D688D" w:rsidR="005E3BD6" w:rsidP="002B6958" w:rsidRDefault="1F325162" w14:paraId="7314F063" w14:textId="77777777">
            <w:pPr>
              <w:jc w:val="center"/>
              <w:rPr>
                <w:rFonts w:ascii="Nunito Sans" w:hAnsi="Nunito Sans"/>
                <w:sz w:val="18"/>
                <w:szCs w:val="18"/>
              </w:rPr>
            </w:pPr>
            <w:r w:rsidRPr="007D688D">
              <w:rPr>
                <w:rFonts w:ascii="Nunito Sans" w:hAnsi="Nunito Sans" w:eastAsia="Nunito Sans" w:cs="Nunito Sans"/>
                <w:sz w:val="18"/>
                <w:szCs w:val="18"/>
                <w:lang w:val="es-ES"/>
              </w:rPr>
              <w:t>Modernizar los sistemas de información críticos y migrarlos hacia arquitecturas modulares basadas en microservicios, contenedores y plataformas de integración híbrida.</w:t>
            </w:r>
          </w:p>
        </w:tc>
        <w:tc>
          <w:tcPr>
            <w:tcW w:w="2887" w:type="dxa"/>
            <w:vAlign w:val="center"/>
          </w:tcPr>
          <w:p w:rsidRPr="007D688D" w:rsidR="005E3BD6" w:rsidP="002B6958" w:rsidRDefault="1F325162" w14:paraId="0556FCE1" w14:textId="77777777">
            <w:pPr>
              <w:jc w:val="center"/>
              <w:rPr>
                <w:rFonts w:ascii="Nunito Sans" w:hAnsi="Nunito Sans"/>
                <w:sz w:val="18"/>
                <w:szCs w:val="18"/>
              </w:rPr>
            </w:pPr>
            <w:r w:rsidRPr="007D688D">
              <w:rPr>
                <w:rFonts w:ascii="Nunito Sans" w:hAnsi="Nunito Sans" w:eastAsia="Nunito Sans" w:cs="Nunito Sans"/>
                <w:sz w:val="18"/>
                <w:szCs w:val="18"/>
                <w:lang w:val="es-ES"/>
              </w:rPr>
              <w:t>Sistemas de información</w:t>
            </w:r>
          </w:p>
        </w:tc>
      </w:tr>
      <w:tr w:rsidRPr="00432D4D" w:rsidR="005E3BD6" w:rsidTr="002B6958" w14:paraId="25538191" w14:textId="77777777">
        <w:trPr>
          <w:trHeight w:val="299"/>
          <w:jc w:val="center"/>
        </w:trPr>
        <w:tc>
          <w:tcPr>
            <w:tcW w:w="2887" w:type="dxa"/>
            <w:vAlign w:val="center"/>
          </w:tcPr>
          <w:p w:rsidRPr="007D688D" w:rsidR="005E3BD6" w:rsidP="002B6958" w:rsidRDefault="1F325162" w14:paraId="4DB2B910" w14:textId="77777777">
            <w:pPr>
              <w:jc w:val="center"/>
              <w:rPr>
                <w:rFonts w:ascii="Nunito Sans" w:hAnsi="Nunito Sans"/>
                <w:sz w:val="18"/>
                <w:szCs w:val="18"/>
              </w:rPr>
            </w:pPr>
            <w:r w:rsidRPr="007D688D">
              <w:rPr>
                <w:rFonts w:ascii="Nunito Sans" w:hAnsi="Nunito Sans" w:eastAsia="Nunito Sans" w:cs="Nunito Sans"/>
                <w:sz w:val="18"/>
                <w:szCs w:val="18"/>
                <w:lang w:val="es-ES"/>
              </w:rPr>
              <w:t>OE-TI-06</w:t>
            </w:r>
          </w:p>
        </w:tc>
        <w:tc>
          <w:tcPr>
            <w:tcW w:w="2887" w:type="dxa"/>
            <w:vAlign w:val="center"/>
          </w:tcPr>
          <w:p w:rsidRPr="007D688D" w:rsidR="005E3BD6" w:rsidP="002B6958" w:rsidRDefault="1F325162" w14:paraId="5C728356" w14:textId="77777777">
            <w:pPr>
              <w:jc w:val="center"/>
              <w:rPr>
                <w:rFonts w:ascii="Nunito Sans" w:hAnsi="Nunito Sans"/>
                <w:sz w:val="18"/>
                <w:szCs w:val="18"/>
              </w:rPr>
            </w:pPr>
            <w:r w:rsidRPr="007D688D">
              <w:rPr>
                <w:rFonts w:ascii="Nunito Sans" w:hAnsi="Nunito Sans" w:eastAsia="Nunito Sans" w:cs="Nunito Sans"/>
                <w:sz w:val="18"/>
                <w:szCs w:val="18"/>
                <w:lang w:val="es-ES"/>
              </w:rPr>
              <w:t>Escalar la analítica avanzada y la inteligencia artificial para habilitar una gobernanza energética predictiva, soportada en modelos prescriptivos y gemelos digitales sectoriales.</w:t>
            </w:r>
          </w:p>
        </w:tc>
        <w:tc>
          <w:tcPr>
            <w:tcW w:w="2887" w:type="dxa"/>
            <w:vAlign w:val="center"/>
          </w:tcPr>
          <w:p w:rsidRPr="007D688D" w:rsidR="005E3BD6" w:rsidP="002B6958" w:rsidRDefault="1F325162" w14:paraId="302562FE" w14:textId="77777777">
            <w:pPr>
              <w:jc w:val="center"/>
              <w:rPr>
                <w:rFonts w:ascii="Nunito Sans" w:hAnsi="Nunito Sans" w:eastAsia="Nunito Sans" w:cs="Nunito Sans"/>
                <w:sz w:val="18"/>
                <w:szCs w:val="18"/>
                <w:lang w:val="es-ES"/>
              </w:rPr>
            </w:pPr>
            <w:r w:rsidRPr="007D688D">
              <w:rPr>
                <w:rFonts w:ascii="Nunito Sans" w:hAnsi="Nunito Sans" w:eastAsia="Nunito Sans" w:cs="Nunito Sans"/>
                <w:sz w:val="18"/>
                <w:szCs w:val="18"/>
                <w:lang w:val="es-ES"/>
              </w:rPr>
              <w:t>Transformación Digital</w:t>
            </w:r>
          </w:p>
        </w:tc>
      </w:tr>
      <w:tr w:rsidRPr="00432D4D" w:rsidR="005E3BD6" w:rsidTr="002B6958" w14:paraId="1C6E3AD5" w14:textId="77777777">
        <w:trPr>
          <w:trHeight w:val="299"/>
          <w:jc w:val="center"/>
        </w:trPr>
        <w:tc>
          <w:tcPr>
            <w:tcW w:w="2887" w:type="dxa"/>
            <w:vAlign w:val="center"/>
          </w:tcPr>
          <w:p w:rsidRPr="007D688D" w:rsidR="005E3BD6" w:rsidP="002B6958" w:rsidRDefault="1F325162" w14:paraId="0F9E629B" w14:textId="77777777">
            <w:pPr>
              <w:jc w:val="center"/>
              <w:rPr>
                <w:rFonts w:ascii="Nunito Sans" w:hAnsi="Nunito Sans" w:eastAsia="Nunito Sans" w:cs="Nunito Sans"/>
                <w:sz w:val="18"/>
                <w:szCs w:val="18"/>
                <w:lang w:val="es-ES"/>
              </w:rPr>
            </w:pPr>
            <w:r w:rsidRPr="007D688D">
              <w:rPr>
                <w:rFonts w:ascii="Nunito Sans" w:hAnsi="Nunito Sans" w:eastAsia="Nunito Sans" w:cs="Nunito Sans"/>
                <w:sz w:val="18"/>
                <w:szCs w:val="18"/>
                <w:lang w:val="es-ES"/>
              </w:rPr>
              <w:t>OE-TI-07</w:t>
            </w:r>
          </w:p>
        </w:tc>
        <w:tc>
          <w:tcPr>
            <w:tcW w:w="2887" w:type="dxa"/>
            <w:vAlign w:val="center"/>
          </w:tcPr>
          <w:p w:rsidRPr="007D688D" w:rsidR="005E3BD6" w:rsidP="002B6958" w:rsidRDefault="1F325162" w14:paraId="4A39A05C" w14:textId="78D27462">
            <w:pPr>
              <w:jc w:val="center"/>
              <w:rPr>
                <w:rFonts w:ascii="Nunito Sans" w:hAnsi="Nunito Sans"/>
                <w:sz w:val="18"/>
                <w:szCs w:val="18"/>
              </w:rPr>
            </w:pPr>
            <w:r w:rsidRPr="007D688D">
              <w:rPr>
                <w:rFonts w:ascii="Nunito Sans" w:hAnsi="Nunito Sans" w:eastAsia="Nunito Sans" w:cs="Nunito Sans"/>
                <w:sz w:val="18"/>
                <w:szCs w:val="18"/>
                <w:lang w:val="es-ES"/>
              </w:rPr>
              <w:t xml:space="preserve">Consolidar una experiencia ciudadana unificada mediante una ventanilla única sectorial de trámites y servicios digitales, integrada con Carpeta Ciudadana y </w:t>
            </w:r>
            <w:r w:rsidRPr="007D688D" w:rsidR="2D2BD0AB">
              <w:rPr>
                <w:rFonts w:ascii="Nunito Sans" w:hAnsi="Nunito Sans" w:eastAsiaTheme="minorEastAsia" w:cstheme="minorBidi"/>
                <w:sz w:val="18"/>
                <w:szCs w:val="18"/>
                <w:lang w:val="es-ES"/>
              </w:rPr>
              <w:t>(Single Sign-On, SSO)</w:t>
            </w:r>
            <w:r w:rsidRPr="007D688D">
              <w:rPr>
                <w:rFonts w:ascii="Nunito Sans" w:hAnsi="Nunito Sans" w:eastAsiaTheme="minorEastAsia" w:cstheme="minorBidi"/>
                <w:sz w:val="18"/>
                <w:szCs w:val="18"/>
                <w:lang w:val="es-ES"/>
              </w:rPr>
              <w:t>.</w:t>
            </w:r>
          </w:p>
        </w:tc>
        <w:tc>
          <w:tcPr>
            <w:tcW w:w="2887" w:type="dxa"/>
            <w:vAlign w:val="center"/>
          </w:tcPr>
          <w:p w:rsidRPr="007D688D" w:rsidR="005E3BD6" w:rsidP="002B6958" w:rsidRDefault="1F325162" w14:paraId="1FC9D146" w14:textId="77777777">
            <w:pPr>
              <w:jc w:val="center"/>
              <w:rPr>
                <w:rFonts w:ascii="Nunito Sans" w:hAnsi="Nunito Sans"/>
                <w:sz w:val="18"/>
                <w:szCs w:val="18"/>
              </w:rPr>
            </w:pPr>
            <w:r w:rsidRPr="007D688D">
              <w:rPr>
                <w:rFonts w:ascii="Nunito Sans" w:hAnsi="Nunito Sans" w:eastAsia="Nunito Sans" w:cs="Nunito Sans"/>
                <w:sz w:val="18"/>
                <w:szCs w:val="18"/>
                <w:lang w:val="es-ES"/>
              </w:rPr>
              <w:t>Transformación digital / Sistemas de Información</w:t>
            </w:r>
          </w:p>
        </w:tc>
      </w:tr>
      <w:tr w:rsidRPr="00432D4D" w:rsidR="005E3BD6" w:rsidTr="002B6958" w14:paraId="13C7CD8A" w14:textId="77777777">
        <w:trPr>
          <w:trHeight w:val="299"/>
          <w:jc w:val="center"/>
        </w:trPr>
        <w:tc>
          <w:tcPr>
            <w:tcW w:w="2887" w:type="dxa"/>
            <w:vAlign w:val="center"/>
          </w:tcPr>
          <w:p w:rsidRPr="007D688D" w:rsidR="005E3BD6" w:rsidP="002B6958" w:rsidRDefault="1F325162" w14:paraId="4BD3AD08" w14:textId="77777777">
            <w:pPr>
              <w:jc w:val="center"/>
              <w:rPr>
                <w:rFonts w:ascii="Nunito Sans" w:hAnsi="Nunito Sans"/>
                <w:sz w:val="18"/>
                <w:szCs w:val="18"/>
              </w:rPr>
            </w:pPr>
            <w:r w:rsidRPr="007D688D">
              <w:rPr>
                <w:rFonts w:ascii="Nunito Sans" w:hAnsi="Nunito Sans" w:eastAsia="Nunito Sans" w:cs="Nunito Sans"/>
                <w:sz w:val="18"/>
                <w:szCs w:val="18"/>
                <w:lang w:val="es-ES"/>
              </w:rPr>
              <w:t>OE-TI-08</w:t>
            </w:r>
          </w:p>
        </w:tc>
        <w:tc>
          <w:tcPr>
            <w:tcW w:w="2887" w:type="dxa"/>
            <w:vAlign w:val="center"/>
          </w:tcPr>
          <w:p w:rsidRPr="007D688D" w:rsidR="005E3BD6" w:rsidP="002B6958" w:rsidRDefault="1F325162" w14:paraId="12A1F9D4" w14:textId="77777777">
            <w:pPr>
              <w:jc w:val="center"/>
              <w:rPr>
                <w:rFonts w:ascii="Nunito Sans" w:hAnsi="Nunito Sans"/>
                <w:sz w:val="18"/>
                <w:szCs w:val="18"/>
              </w:rPr>
            </w:pPr>
            <w:r w:rsidRPr="007D688D">
              <w:rPr>
                <w:rFonts w:ascii="Nunito Sans" w:hAnsi="Nunito Sans" w:eastAsia="Nunito Sans" w:cs="Nunito Sans"/>
                <w:sz w:val="18"/>
                <w:szCs w:val="18"/>
                <w:lang w:val="es-ES"/>
              </w:rPr>
              <w:t>Potenciar la innovación, el desarrollo tecnológico y la gestión de conocimiento mediante capacidades de I+D sectorial y programas de talento 4.0.</w:t>
            </w:r>
          </w:p>
        </w:tc>
        <w:tc>
          <w:tcPr>
            <w:tcW w:w="2887" w:type="dxa"/>
            <w:vAlign w:val="center"/>
          </w:tcPr>
          <w:p w:rsidRPr="007D688D" w:rsidR="005E3BD6" w:rsidP="002B6958" w:rsidRDefault="1F325162" w14:paraId="6AF9FF66" w14:textId="77777777">
            <w:pPr>
              <w:jc w:val="center"/>
              <w:rPr>
                <w:rFonts w:ascii="Nunito Sans" w:hAnsi="Nunito Sans"/>
                <w:sz w:val="18"/>
                <w:szCs w:val="18"/>
              </w:rPr>
            </w:pPr>
            <w:r w:rsidRPr="007D688D">
              <w:rPr>
                <w:rFonts w:ascii="Nunito Sans" w:hAnsi="Nunito Sans" w:eastAsia="Nunito Sans" w:cs="Nunito Sans"/>
                <w:sz w:val="18"/>
                <w:szCs w:val="18"/>
                <w:lang w:val="es-ES"/>
              </w:rPr>
              <w:t>Arquitectura institucional / Transformación digital</w:t>
            </w:r>
          </w:p>
        </w:tc>
      </w:tr>
      <w:tr w:rsidRPr="00432D4D" w:rsidR="005E3BD6" w:rsidTr="002B6958" w14:paraId="758E217E" w14:textId="77777777">
        <w:trPr>
          <w:trHeight w:val="299"/>
          <w:jc w:val="center"/>
        </w:trPr>
        <w:tc>
          <w:tcPr>
            <w:tcW w:w="2887" w:type="dxa"/>
            <w:vAlign w:val="center"/>
          </w:tcPr>
          <w:p w:rsidRPr="007D688D" w:rsidR="005E3BD6" w:rsidP="002B6958" w:rsidRDefault="1F325162" w14:paraId="7324E6BE" w14:textId="77777777">
            <w:pPr>
              <w:jc w:val="center"/>
              <w:rPr>
                <w:rFonts w:ascii="Nunito Sans" w:hAnsi="Nunito Sans"/>
                <w:sz w:val="18"/>
                <w:szCs w:val="18"/>
              </w:rPr>
            </w:pPr>
            <w:r w:rsidRPr="007D688D">
              <w:rPr>
                <w:rFonts w:ascii="Nunito Sans" w:hAnsi="Nunito Sans" w:eastAsia="Nunito Sans" w:cs="Nunito Sans"/>
                <w:sz w:val="18"/>
                <w:szCs w:val="18"/>
                <w:lang w:val="es-ES"/>
              </w:rPr>
              <w:t>OE-TI-09</w:t>
            </w:r>
          </w:p>
        </w:tc>
        <w:tc>
          <w:tcPr>
            <w:tcW w:w="2887" w:type="dxa"/>
            <w:vAlign w:val="center"/>
          </w:tcPr>
          <w:p w:rsidRPr="007D688D" w:rsidR="005E3BD6" w:rsidP="002B6958" w:rsidRDefault="1F325162" w14:paraId="69B50F64" w14:textId="77777777">
            <w:pPr>
              <w:jc w:val="center"/>
              <w:rPr>
                <w:rFonts w:ascii="Nunito Sans" w:hAnsi="Nunito Sans"/>
                <w:sz w:val="18"/>
                <w:szCs w:val="18"/>
              </w:rPr>
            </w:pPr>
            <w:r w:rsidRPr="007D688D">
              <w:rPr>
                <w:rFonts w:ascii="Nunito Sans" w:hAnsi="Nunito Sans" w:eastAsia="Nunito Sans" w:cs="Nunito Sans"/>
                <w:sz w:val="18"/>
                <w:szCs w:val="18"/>
                <w:lang w:val="es-ES"/>
              </w:rPr>
              <w:t>Optimizar la inversión tecnológica y promover la estandarización sectorial, asegurando eficiencia, reutilización de soluciones y sostenibilidad de las capacidades de TI.</w:t>
            </w:r>
          </w:p>
        </w:tc>
        <w:tc>
          <w:tcPr>
            <w:tcW w:w="2887" w:type="dxa"/>
            <w:vAlign w:val="center"/>
          </w:tcPr>
          <w:p w:rsidRPr="007D688D" w:rsidR="005E3BD6" w:rsidP="002B6958" w:rsidRDefault="1F325162" w14:paraId="621C5FA5" w14:textId="77777777">
            <w:pPr>
              <w:jc w:val="center"/>
              <w:rPr>
                <w:rFonts w:ascii="Nunito Sans" w:hAnsi="Nunito Sans"/>
                <w:sz w:val="18"/>
                <w:szCs w:val="18"/>
              </w:rPr>
            </w:pPr>
            <w:r w:rsidRPr="007D688D">
              <w:rPr>
                <w:rFonts w:ascii="Nunito Sans" w:hAnsi="Nunito Sans" w:eastAsia="Nunito Sans" w:cs="Nunito Sans"/>
                <w:sz w:val="18"/>
                <w:szCs w:val="18"/>
                <w:lang w:val="es-ES"/>
              </w:rPr>
              <w:t>Arquitectura institucional / Infraestructura y servicios de TI</w:t>
            </w:r>
          </w:p>
        </w:tc>
      </w:tr>
      <w:tr w:rsidRPr="00432D4D" w:rsidR="005E3BD6" w:rsidTr="002B6958" w14:paraId="639E17A2" w14:textId="77777777">
        <w:trPr>
          <w:trHeight w:val="299"/>
          <w:jc w:val="center"/>
        </w:trPr>
        <w:tc>
          <w:tcPr>
            <w:tcW w:w="2887" w:type="dxa"/>
            <w:vAlign w:val="center"/>
          </w:tcPr>
          <w:p w:rsidRPr="007D688D" w:rsidR="005E3BD6" w:rsidP="002B6958" w:rsidRDefault="1F325162" w14:paraId="68A7D5D5" w14:textId="77777777">
            <w:pPr>
              <w:jc w:val="center"/>
              <w:rPr>
                <w:rFonts w:ascii="Nunito Sans" w:hAnsi="Nunito Sans"/>
                <w:sz w:val="18"/>
                <w:szCs w:val="18"/>
              </w:rPr>
            </w:pPr>
            <w:r w:rsidRPr="007D688D">
              <w:rPr>
                <w:rFonts w:ascii="Nunito Sans" w:hAnsi="Nunito Sans" w:eastAsia="Nunito Sans" w:cs="Nunito Sans"/>
                <w:sz w:val="18"/>
                <w:szCs w:val="18"/>
                <w:lang w:val="es-ES"/>
              </w:rPr>
              <w:t>OE-TI-10</w:t>
            </w:r>
          </w:p>
        </w:tc>
        <w:tc>
          <w:tcPr>
            <w:tcW w:w="2887" w:type="dxa"/>
            <w:vAlign w:val="center"/>
          </w:tcPr>
          <w:p w:rsidRPr="007D688D" w:rsidR="005E3BD6" w:rsidP="002B6958" w:rsidRDefault="1F325162" w14:paraId="09C33E59" w14:textId="77777777">
            <w:pPr>
              <w:jc w:val="center"/>
              <w:rPr>
                <w:rFonts w:ascii="Nunito Sans" w:hAnsi="Nunito Sans"/>
                <w:sz w:val="18"/>
                <w:szCs w:val="18"/>
              </w:rPr>
            </w:pPr>
            <w:r w:rsidRPr="007D688D">
              <w:rPr>
                <w:rFonts w:ascii="Nunito Sans" w:hAnsi="Nunito Sans" w:eastAsia="Nunito Sans" w:cs="Nunito Sans"/>
                <w:sz w:val="18"/>
                <w:szCs w:val="18"/>
                <w:lang w:val="es-ES"/>
              </w:rPr>
              <w:t xml:space="preserve">Adoptar y generalizar el Modelo de Arquitectura Empresarial sectorial, acompañando a las entidades en su implementación para asegurar alineación </w:t>
            </w:r>
            <w:r w:rsidRPr="007D688D">
              <w:rPr>
                <w:rFonts w:ascii="Nunito Sans" w:hAnsi="Nunito Sans" w:eastAsia="Nunito Sans" w:cs="Nunito Sans"/>
                <w:sz w:val="18"/>
                <w:szCs w:val="18"/>
                <w:lang w:val="es-ES"/>
              </w:rPr>
              <w:lastRenderedPageBreak/>
              <w:t>estratégica y coherencia arquitectónica.</w:t>
            </w:r>
          </w:p>
        </w:tc>
        <w:tc>
          <w:tcPr>
            <w:tcW w:w="2887" w:type="dxa"/>
            <w:vAlign w:val="center"/>
          </w:tcPr>
          <w:p w:rsidRPr="007D688D" w:rsidR="005E3BD6" w:rsidP="002B6958" w:rsidRDefault="1F325162" w14:paraId="223B9A60" w14:textId="77777777">
            <w:pPr>
              <w:jc w:val="center"/>
              <w:rPr>
                <w:rFonts w:ascii="Nunito Sans" w:hAnsi="Nunito Sans"/>
                <w:sz w:val="18"/>
                <w:szCs w:val="18"/>
              </w:rPr>
            </w:pPr>
            <w:r w:rsidRPr="007D688D">
              <w:rPr>
                <w:rFonts w:ascii="Nunito Sans" w:hAnsi="Nunito Sans" w:eastAsia="Nunito Sans" w:cs="Nunito Sans"/>
                <w:sz w:val="18"/>
                <w:szCs w:val="18"/>
                <w:lang w:val="es-ES"/>
              </w:rPr>
              <w:lastRenderedPageBreak/>
              <w:t>Arquitectura institucional</w:t>
            </w:r>
          </w:p>
        </w:tc>
      </w:tr>
    </w:tbl>
    <w:p w:rsidR="005E3BD6" w:rsidP="005E3BD6" w:rsidRDefault="005E3BD6" w14:paraId="42FD9BFC" w14:textId="77777777">
      <w:pPr>
        <w:pStyle w:val="Default"/>
        <w:spacing w:line="360" w:lineRule="auto"/>
        <w:jc w:val="center"/>
        <w:rPr>
          <w:rFonts w:ascii="Nunito Sans" w:hAnsi="Nunito Sans" w:eastAsia="CIDFont+F9" w:cs="Calibri"/>
          <w:color w:val="000000" w:themeColor="text1"/>
          <w:sz w:val="18"/>
          <w:szCs w:val="18"/>
        </w:rPr>
      </w:pPr>
      <w:r w:rsidRPr="007E3FC8">
        <w:rPr>
          <w:rFonts w:ascii="Nunito Sans" w:hAnsi="Nunito Sans" w:eastAsia="CIDFont+F9" w:cs="Calibri"/>
          <w:color w:val="000000" w:themeColor="text1"/>
          <w:sz w:val="18"/>
          <w:szCs w:val="18"/>
        </w:rPr>
        <w:t>Fuente: Elaboración propia</w:t>
      </w:r>
    </w:p>
    <w:p w:rsidRPr="000A3312" w:rsidR="007D688D" w:rsidP="005E3BD6" w:rsidRDefault="007D688D" w14:paraId="0888371D" w14:textId="77777777">
      <w:pPr>
        <w:pStyle w:val="Default"/>
        <w:spacing w:line="360" w:lineRule="auto"/>
        <w:jc w:val="center"/>
        <w:rPr>
          <w:rFonts w:ascii="Nunito Sans" w:hAnsi="Nunito Sans" w:cs="Calibri"/>
        </w:rPr>
      </w:pPr>
    </w:p>
    <w:p w:rsidR="005E3BD6" w:rsidRDefault="005E3BD6" w14:paraId="1655EF3C" w14:textId="554E52CF">
      <w:pPr>
        <w:pStyle w:val="Ttulo4"/>
        <w:numPr>
          <w:ilvl w:val="3"/>
          <w:numId w:val="22"/>
        </w:numPr>
      </w:pPr>
      <w:bookmarkStart w:name="_Toc1027009401" w:id="360"/>
      <w:bookmarkStart w:name="_Hlk213792867" w:id="361"/>
      <w:r w:rsidRPr="00E40053">
        <w:t>Políticas de TI Sectoriales</w:t>
      </w:r>
      <w:bookmarkEnd w:id="360"/>
      <w:r w:rsidRPr="00E40053">
        <w:t xml:space="preserve"> </w:t>
      </w:r>
    </w:p>
    <w:p w:rsidRPr="007D688D" w:rsidR="007D688D" w:rsidP="007D688D" w:rsidRDefault="007D688D" w14:paraId="031E807A" w14:textId="77777777">
      <w:pPr>
        <w:rPr>
          <w:lang w:val="es-ES"/>
        </w:rPr>
      </w:pPr>
    </w:p>
    <w:p w:rsidR="005E3BD6" w:rsidP="005E3BD6" w:rsidRDefault="005E3BD6" w14:paraId="79C79EB8" w14:textId="77777777">
      <w:pPr>
        <w:spacing w:after="240"/>
        <w:jc w:val="both"/>
      </w:pPr>
      <w:r w:rsidRPr="761B0734">
        <w:rPr>
          <w:rFonts w:ascii="Nunito Sans" w:hAnsi="Nunito Sans" w:eastAsia="Nunito Sans" w:cs="Nunito Sans"/>
          <w:sz w:val="22"/>
          <w:szCs w:val="22"/>
          <w:lang w:val="es-ES"/>
        </w:rPr>
        <w:t>Las Políticas de Tecnologías de la Información del Sector Minero-Energético establecen los lineamientos, principios y límites necesarios para contar con un marco de gobernabilidad de las tecnologías de información que garantice su adecuada planeación, uso, operación y evolución. Dichas políticas buscan generar certeza a los usuarios, equipos técnicos y directivos sobre la disponibilidad, el desempeño y las condiciones de acceso a las capacidades tecnológicas, de manera que la TI se consolide como un habilitador del fortalecimiento institucional y del logro de los objetivos misionales del sector.</w:t>
      </w:r>
    </w:p>
    <w:p w:rsidR="005E3BD6" w:rsidP="005E3BD6" w:rsidRDefault="005E3BD6" w14:paraId="7A20F572" w14:textId="77777777">
      <w:pPr>
        <w:spacing w:before="240" w:after="240"/>
        <w:jc w:val="both"/>
      </w:pPr>
      <w:r w:rsidRPr="761B0734">
        <w:rPr>
          <w:rFonts w:ascii="Nunito Sans" w:hAnsi="Nunito Sans" w:eastAsia="Nunito Sans" w:cs="Nunito Sans"/>
          <w:sz w:val="22"/>
          <w:szCs w:val="22"/>
          <w:lang w:val="es-ES"/>
        </w:rPr>
        <w:t>Estas políticas definen las reglas bajo las cuales los diferentes grupos de interés —usuarios finales, desarrolladores, responsables de TI y directivos— interactúan con los servicios, sistemas, datos e infraestructuras tecnológicas del sector, asegurando coherencia, seguridad y sostenibilidad. En este marco, se establecen lineamientos sectoriales relacionados con el acceso a la información, la gestión de identidades y permisos, la segregación y control de los entornos de desarrollo, pruebas y producción, así como los niveles esperados de disponibilidad, capacidad y desempeño de los servicios tecnológicos.</w:t>
      </w:r>
    </w:p>
    <w:p w:rsidR="005E3BD6" w:rsidP="005E3BD6" w:rsidRDefault="005E3BD6" w14:paraId="5D751950" w14:textId="77777777">
      <w:pPr>
        <w:spacing w:before="240" w:after="240"/>
        <w:jc w:val="both"/>
      </w:pPr>
      <w:r w:rsidRPr="761B0734">
        <w:rPr>
          <w:rFonts w:ascii="Nunito Sans" w:hAnsi="Nunito Sans" w:eastAsia="Nunito Sans" w:cs="Nunito Sans"/>
          <w:sz w:val="22"/>
          <w:szCs w:val="22"/>
          <w:lang w:val="es-ES"/>
        </w:rPr>
        <w:t>La definición de las políticas de TI se orienta a privilegiar el uso efectivo y la apropiación de la tecnología, promoviendo su aprovechamiento como un activo estratégico para el cumplimiento de los objetivos institucionales y sectoriales. En consecuencia, las políticas buscan facilitar que los usuarios cuenten con las herramientas tecnológicas necesarias para desarrollar sus funciones misionales, optimizando la eficiencia operativa y la calidad de los servicios prestados al ciudadano.</w:t>
      </w:r>
    </w:p>
    <w:p w:rsidR="005E3BD6" w:rsidP="005E3BD6" w:rsidRDefault="005E3BD6" w14:paraId="7058F87D" w14:textId="77777777">
      <w:pPr>
        <w:spacing w:before="240" w:after="240"/>
        <w:jc w:val="both"/>
      </w:pPr>
      <w:r w:rsidRPr="761B0734">
        <w:rPr>
          <w:rFonts w:ascii="Nunito Sans" w:hAnsi="Nunito Sans" w:eastAsia="Nunito Sans" w:cs="Nunito Sans"/>
          <w:sz w:val="22"/>
          <w:szCs w:val="22"/>
          <w:lang w:val="es-ES"/>
        </w:rPr>
        <w:t>Cuando las políticas establecen restricciones al uso de la tecnología, estas responden exclusivamente a la necesidad de mitigar riesgos, proteger la información, garantizar la continuidad operativa o atender limitaciones técnicas u operativas debidamente justificadas. En ningún caso dichas restricciones persiguen limitar la innovación o el uso productivo de la tecnología, sino asegurar que su utilización se realice de manera controlada, segura y alineada con los intereses del sector y del Estado.</w:t>
      </w:r>
    </w:p>
    <w:p w:rsidR="005E3BD6" w:rsidP="005E3BD6" w:rsidRDefault="005E3BD6" w14:paraId="2041B8DE" w14:textId="77777777">
      <w:pPr>
        <w:spacing w:before="240" w:after="240"/>
        <w:jc w:val="both"/>
        <w:rPr>
          <w:rFonts w:ascii="Nunito Sans" w:hAnsi="Nunito Sans" w:eastAsia="Nunito Sans" w:cs="Nunito Sans"/>
          <w:sz w:val="22"/>
          <w:szCs w:val="22"/>
          <w:lang w:val="es-ES"/>
        </w:rPr>
      </w:pPr>
      <w:r w:rsidRPr="761B0734">
        <w:rPr>
          <w:rFonts w:ascii="Nunito Sans" w:hAnsi="Nunito Sans" w:eastAsia="Nunito Sans" w:cs="Nunito Sans"/>
          <w:sz w:val="22"/>
          <w:szCs w:val="22"/>
          <w:lang w:val="es-ES"/>
        </w:rPr>
        <w:t>En conjunto, las Políticas de TI Sectoriales constituyen un marco orientador que permite armonizar las decisiones tecnológicas del Ministerio y de las entidades adscritas, reducir la dispersión de soluciones, fortalecer la interoperabilidad y asegurar que las inversiones en TI generen valor público, contribuyan a la toma de decisiones basada en información confiable y respalden los objetivos estratégicos del Sector Minero-Energético.</w:t>
      </w:r>
    </w:p>
    <w:p w:rsidR="002B6958" w:rsidP="005E3BD6" w:rsidRDefault="002B6958" w14:paraId="46218705" w14:textId="77777777">
      <w:pPr>
        <w:spacing w:before="240" w:after="240"/>
        <w:jc w:val="both"/>
        <w:rPr>
          <w:rFonts w:ascii="Nunito Sans" w:hAnsi="Nunito Sans" w:eastAsia="Nunito Sans" w:cs="Nunito Sans"/>
          <w:sz w:val="22"/>
          <w:szCs w:val="22"/>
          <w:lang w:val="es-ES"/>
        </w:rPr>
      </w:pPr>
    </w:p>
    <w:p w:rsidRPr="00EB43A6" w:rsidR="005E3BD6" w:rsidP="005E3BD6" w:rsidRDefault="00155E0A" w14:paraId="145DCE07" w14:textId="47A0169E">
      <w:pPr>
        <w:ind w:left="360" w:hanging="360"/>
        <w:jc w:val="center"/>
        <w:rPr>
          <w:rFonts w:ascii="Nunito Sans" w:hAnsi="Nunito Sans" w:cs="Calibri"/>
          <w:b/>
          <w:bCs/>
          <w:sz w:val="18"/>
          <w:szCs w:val="18"/>
        </w:rPr>
      </w:pPr>
      <w:bookmarkStart w:name="_Toc220664222" w:id="362"/>
      <w:r w:rsidRPr="00155E0A">
        <w:rPr>
          <w:rFonts w:ascii="Nunito Sans" w:hAnsi="Nunito Sans" w:cs="Calibri"/>
          <w:b/>
          <w:bCs/>
          <w:sz w:val="18"/>
          <w:szCs w:val="18"/>
        </w:rPr>
        <w:lastRenderedPageBreak/>
        <w:t xml:space="preserve">Tabla </w:t>
      </w:r>
      <w:r w:rsidRPr="00155E0A">
        <w:rPr>
          <w:rFonts w:ascii="Nunito Sans" w:hAnsi="Nunito Sans" w:cs="Calibri"/>
          <w:b/>
          <w:bCs/>
          <w:sz w:val="18"/>
          <w:szCs w:val="18"/>
        </w:rPr>
        <w:fldChar w:fldCharType="begin"/>
      </w:r>
      <w:r w:rsidRPr="00155E0A">
        <w:rPr>
          <w:rFonts w:ascii="Nunito Sans" w:hAnsi="Nunito Sans" w:cs="Calibri"/>
          <w:b/>
          <w:bCs/>
          <w:sz w:val="18"/>
          <w:szCs w:val="18"/>
        </w:rPr>
        <w:instrText xml:space="preserve"> SEQ Tabla \* ARABIC </w:instrText>
      </w:r>
      <w:r w:rsidRPr="00155E0A">
        <w:rPr>
          <w:rFonts w:ascii="Nunito Sans" w:hAnsi="Nunito Sans" w:cs="Calibri"/>
          <w:b/>
          <w:bCs/>
          <w:sz w:val="18"/>
          <w:szCs w:val="18"/>
        </w:rPr>
        <w:fldChar w:fldCharType="separate"/>
      </w:r>
      <w:r w:rsidR="00C57F7B">
        <w:rPr>
          <w:rFonts w:ascii="Nunito Sans" w:hAnsi="Nunito Sans" w:cs="Calibri"/>
          <w:b/>
          <w:bCs/>
          <w:noProof/>
          <w:sz w:val="18"/>
          <w:szCs w:val="18"/>
        </w:rPr>
        <w:t>51</w:t>
      </w:r>
      <w:r w:rsidRPr="00155E0A">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Políticas de TI del Sector</w:t>
      </w:r>
      <w:bookmarkEnd w:id="362"/>
    </w:p>
    <w:tbl>
      <w:tblPr>
        <w:tblStyle w:val="Tablaconcuadrcula"/>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2084"/>
        <w:gridCol w:w="2476"/>
        <w:gridCol w:w="3813"/>
      </w:tblGrid>
      <w:tr w:rsidRPr="002E48E8" w:rsidR="005E3BD6" w:rsidTr="00222A23" w14:paraId="5A136A6F" w14:textId="77777777">
        <w:trPr>
          <w:trHeight w:val="272"/>
          <w:jc w:val="center"/>
        </w:trPr>
        <w:tc>
          <w:tcPr>
            <w:tcW w:w="2084" w:type="dxa"/>
            <w:shd w:val="clear" w:color="auto" w:fill="E1AF3B"/>
            <w:vAlign w:val="center"/>
          </w:tcPr>
          <w:p w:rsidRPr="002E48E8" w:rsidR="005E3BD6" w:rsidP="00222A23" w:rsidRDefault="005E3BD6" w14:paraId="6DB5B0EA" w14:textId="77777777">
            <w:pPr>
              <w:jc w:val="center"/>
              <w:rPr>
                <w:rFonts w:ascii="Nunito Sans" w:hAnsi="Nunito Sans" w:cs="Calibri" w:eastAsiaTheme="minorEastAsia"/>
                <w:b/>
                <w:bCs/>
                <w:color w:val="FFFFFF" w:themeColor="background1"/>
                <w:sz w:val="18"/>
                <w:szCs w:val="18"/>
                <w:lang w:val="es-ES"/>
              </w:rPr>
            </w:pPr>
            <w:r w:rsidRPr="002E48E8">
              <w:rPr>
                <w:rFonts w:ascii="Nunito Sans" w:hAnsi="Nunito Sans" w:cs="Calibri" w:eastAsiaTheme="minorEastAsia"/>
                <w:b/>
                <w:bCs/>
                <w:color w:val="FFFFFF" w:themeColor="background1"/>
                <w:sz w:val="18"/>
                <w:szCs w:val="18"/>
                <w:lang w:val="es-ES"/>
              </w:rPr>
              <w:t>Política</w:t>
            </w:r>
          </w:p>
        </w:tc>
        <w:tc>
          <w:tcPr>
            <w:tcW w:w="2476" w:type="dxa"/>
            <w:shd w:val="clear" w:color="auto" w:fill="E1AF3B"/>
            <w:vAlign w:val="center"/>
          </w:tcPr>
          <w:p w:rsidRPr="002E48E8" w:rsidR="005E3BD6" w:rsidP="00222A23" w:rsidRDefault="005E3BD6" w14:paraId="6E51010F" w14:textId="77777777">
            <w:pPr>
              <w:jc w:val="center"/>
              <w:rPr>
                <w:rFonts w:ascii="Nunito Sans" w:hAnsi="Nunito Sans" w:cs="Calibri" w:eastAsiaTheme="minorEastAsia"/>
                <w:b/>
                <w:bCs/>
                <w:color w:val="FFFFFF" w:themeColor="background1"/>
                <w:sz w:val="18"/>
                <w:szCs w:val="18"/>
                <w:lang w:val="es-ES"/>
              </w:rPr>
            </w:pPr>
            <w:r w:rsidRPr="002E48E8">
              <w:rPr>
                <w:rFonts w:ascii="Nunito Sans" w:hAnsi="Nunito Sans" w:cs="Calibri" w:eastAsiaTheme="minorEastAsia"/>
                <w:b/>
                <w:bCs/>
                <w:color w:val="FFFFFF" w:themeColor="background1"/>
                <w:sz w:val="18"/>
                <w:szCs w:val="18"/>
                <w:lang w:val="es-ES"/>
              </w:rPr>
              <w:t>Propósito</w:t>
            </w:r>
          </w:p>
        </w:tc>
        <w:tc>
          <w:tcPr>
            <w:tcW w:w="3813" w:type="dxa"/>
            <w:shd w:val="clear" w:color="auto" w:fill="E1AF3B"/>
            <w:vAlign w:val="center"/>
          </w:tcPr>
          <w:p w:rsidRPr="002E48E8" w:rsidR="005E3BD6" w:rsidP="00222A23" w:rsidRDefault="005E3BD6" w14:paraId="34A286A0" w14:textId="77777777">
            <w:pPr>
              <w:jc w:val="center"/>
              <w:rPr>
                <w:rFonts w:ascii="Nunito Sans" w:hAnsi="Nunito Sans" w:cs="Calibri" w:eastAsiaTheme="minorEastAsia"/>
                <w:b/>
                <w:bCs/>
                <w:color w:val="FFFFFF" w:themeColor="background1"/>
                <w:sz w:val="18"/>
                <w:szCs w:val="18"/>
                <w:lang w:val="es-ES"/>
              </w:rPr>
            </w:pPr>
            <w:r w:rsidRPr="002E48E8">
              <w:rPr>
                <w:rFonts w:ascii="Nunito Sans" w:hAnsi="Nunito Sans" w:cs="Calibri" w:eastAsiaTheme="minorEastAsia"/>
                <w:b/>
                <w:bCs/>
                <w:color w:val="FFFFFF" w:themeColor="background1"/>
                <w:sz w:val="18"/>
                <w:szCs w:val="18"/>
                <w:lang w:val="es-ES"/>
              </w:rPr>
              <w:t>Instrumento</w:t>
            </w:r>
          </w:p>
        </w:tc>
      </w:tr>
      <w:tr w:rsidRPr="002E48E8" w:rsidR="005E3BD6" w:rsidTr="00222A23" w14:paraId="30CA001C" w14:textId="77777777">
        <w:trPr>
          <w:trHeight w:val="272"/>
          <w:jc w:val="center"/>
        </w:trPr>
        <w:tc>
          <w:tcPr>
            <w:tcW w:w="2084" w:type="dxa"/>
            <w:vAlign w:val="center"/>
          </w:tcPr>
          <w:p w:rsidRPr="002E48E8" w:rsidR="005E3BD6" w:rsidP="00222A23" w:rsidRDefault="005E3BD6" w14:paraId="35E71B03" w14:textId="77777777">
            <w:pPr>
              <w:jc w:val="center"/>
              <w:rPr>
                <w:rFonts w:ascii="Nunito Sans" w:hAnsi="Nunito Sans"/>
                <w:sz w:val="18"/>
                <w:szCs w:val="18"/>
              </w:rPr>
            </w:pPr>
            <w:r w:rsidRPr="002E48E8">
              <w:rPr>
                <w:rFonts w:ascii="Nunito Sans" w:hAnsi="Nunito Sans" w:eastAsia="Nunito Sans" w:cs="Nunito Sans"/>
                <w:sz w:val="18"/>
                <w:szCs w:val="18"/>
                <w:lang w:val="es-ES"/>
              </w:rPr>
              <w:t>TI-01. Gobierno, acceso y calidad de los datos</w:t>
            </w:r>
          </w:p>
        </w:tc>
        <w:tc>
          <w:tcPr>
            <w:tcW w:w="2476" w:type="dxa"/>
            <w:vAlign w:val="center"/>
          </w:tcPr>
          <w:p w:rsidRPr="002E48E8" w:rsidR="005E3BD6" w:rsidP="00222A23" w:rsidRDefault="005E3BD6" w14:paraId="7E041123" w14:textId="77777777">
            <w:pPr>
              <w:jc w:val="center"/>
              <w:rPr>
                <w:rFonts w:ascii="Nunito Sans" w:hAnsi="Nunito Sans"/>
                <w:sz w:val="18"/>
                <w:szCs w:val="18"/>
              </w:rPr>
            </w:pPr>
            <w:r w:rsidRPr="002E48E8">
              <w:rPr>
                <w:rFonts w:ascii="Nunito Sans" w:hAnsi="Nunito Sans" w:eastAsia="Nunito Sans" w:cs="Nunito Sans"/>
                <w:sz w:val="18"/>
                <w:szCs w:val="18"/>
                <w:lang w:val="es-ES"/>
              </w:rPr>
              <w:t>Definir reglas comunes para la gestión, custodia, calidad, acceso y uso de los datos sectoriales, asegurando consistencia semántica, trazabilidad y aprovechamiento analítico, sin centralizar la operación de los datos</w:t>
            </w:r>
          </w:p>
        </w:tc>
        <w:tc>
          <w:tcPr>
            <w:tcW w:w="3813" w:type="dxa"/>
            <w:vAlign w:val="center"/>
          </w:tcPr>
          <w:p w:rsidRPr="009F3AB1" w:rsidR="005E3BD6" w:rsidRDefault="005E3BD6" w14:paraId="7D125DC1"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Gobierno de Datos</w:t>
            </w:r>
          </w:p>
          <w:p w:rsidRPr="009F3AB1" w:rsidR="005E3BD6" w:rsidRDefault="005E3BD6" w14:paraId="44A3A0A3"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Modelo sectorial de Gobierno y Gestión de Datos</w:t>
            </w:r>
          </w:p>
          <w:p w:rsidRPr="009F3AB1" w:rsidR="005E3BD6" w:rsidRDefault="005E3BD6" w14:paraId="0FC26C86" w14:textId="01EBE351">
            <w:pPr>
              <w:pStyle w:val="Prrafodelista"/>
              <w:numPr>
                <w:ilvl w:val="0"/>
                <w:numId w:val="27"/>
              </w:numPr>
              <w:ind w:left="433" w:hanging="283"/>
              <w:rPr>
                <w:rFonts w:ascii="Nunito Sans" w:hAnsi="Nunito Sans"/>
                <w:sz w:val="18"/>
                <w:szCs w:val="18"/>
                <w:lang w:val="es-ES"/>
              </w:rPr>
            </w:pPr>
            <w:r w:rsidRPr="009F3AB1">
              <w:rPr>
                <w:rFonts w:ascii="Nunito Sans" w:hAnsi="Nunito Sans" w:eastAsia="Nunito Sans"/>
                <w:sz w:val="18"/>
                <w:szCs w:val="18"/>
                <w:lang w:val="es-ES"/>
              </w:rPr>
              <w:t>Estándar técnico de calidad, metadatos y catálogos de datos</w:t>
            </w:r>
          </w:p>
        </w:tc>
      </w:tr>
      <w:tr w:rsidRPr="002E48E8" w:rsidR="005E3BD6" w:rsidTr="00222A23" w14:paraId="255567D0" w14:textId="77777777">
        <w:trPr>
          <w:trHeight w:val="272"/>
          <w:jc w:val="center"/>
        </w:trPr>
        <w:tc>
          <w:tcPr>
            <w:tcW w:w="2084" w:type="dxa"/>
            <w:vAlign w:val="center"/>
          </w:tcPr>
          <w:p w:rsidRPr="002E48E8" w:rsidR="005E3BD6" w:rsidP="00222A23" w:rsidRDefault="005E3BD6" w14:paraId="50730B30" w14:textId="77777777">
            <w:pPr>
              <w:jc w:val="center"/>
              <w:rPr>
                <w:rFonts w:ascii="Nunito Sans" w:hAnsi="Nunito Sans"/>
                <w:sz w:val="18"/>
                <w:szCs w:val="18"/>
              </w:rPr>
            </w:pPr>
            <w:r w:rsidRPr="002E48E8">
              <w:rPr>
                <w:rFonts w:ascii="Nunito Sans" w:hAnsi="Nunito Sans" w:eastAsia="Nunito Sans" w:cs="Nunito Sans"/>
                <w:sz w:val="18"/>
                <w:szCs w:val="18"/>
                <w:lang w:val="es-ES"/>
              </w:rPr>
              <w:t>TI-02. Interoperabilidad sectorial y articulación con el Estado</w:t>
            </w:r>
          </w:p>
        </w:tc>
        <w:tc>
          <w:tcPr>
            <w:tcW w:w="2476" w:type="dxa"/>
            <w:vAlign w:val="center"/>
          </w:tcPr>
          <w:p w:rsidRPr="002E48E8" w:rsidR="005E3BD6" w:rsidP="00222A23" w:rsidRDefault="005E3BD6" w14:paraId="6881022F" w14:textId="77777777">
            <w:pPr>
              <w:jc w:val="center"/>
              <w:rPr>
                <w:rFonts w:ascii="Nunito Sans" w:hAnsi="Nunito Sans"/>
                <w:sz w:val="18"/>
                <w:szCs w:val="18"/>
              </w:rPr>
            </w:pPr>
            <w:r w:rsidRPr="002E48E8">
              <w:rPr>
                <w:rFonts w:ascii="Nunito Sans" w:hAnsi="Nunito Sans" w:eastAsia="Nunito Sans" w:cs="Nunito Sans"/>
                <w:sz w:val="18"/>
                <w:szCs w:val="18"/>
                <w:lang w:val="es-ES"/>
              </w:rPr>
              <w:t>Establecer cómo deben integrarse los sistemas del sector, qué estándares adoptar y cómo evitar integraciones punto a punto, garantizando reutilización, seguridad y trazabilidad en el intercambio de información</w:t>
            </w:r>
          </w:p>
        </w:tc>
        <w:tc>
          <w:tcPr>
            <w:tcW w:w="3813" w:type="dxa"/>
            <w:vAlign w:val="center"/>
          </w:tcPr>
          <w:p w:rsidRPr="009F3AB1" w:rsidR="005E3BD6" w:rsidRDefault="005E3BD6" w14:paraId="383DA56F"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interoperabilidad</w:t>
            </w:r>
          </w:p>
          <w:p w:rsidRPr="009F3AB1" w:rsidR="005E3BD6" w:rsidRDefault="005E3BD6" w14:paraId="30005D6E"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Marco técnico de integración (X-Road, APIs, servicios)</w:t>
            </w:r>
          </w:p>
          <w:p w:rsidRPr="009F3AB1" w:rsidR="005E3BD6" w:rsidRDefault="005E3BD6" w14:paraId="190D1117"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Catálogo sectorial de servicios de interoperabilidad</w:t>
            </w:r>
          </w:p>
        </w:tc>
      </w:tr>
      <w:tr w:rsidRPr="002E48E8" w:rsidR="005E3BD6" w:rsidTr="00222A23" w14:paraId="5F2A9616" w14:textId="77777777">
        <w:trPr>
          <w:trHeight w:val="272"/>
          <w:jc w:val="center"/>
        </w:trPr>
        <w:tc>
          <w:tcPr>
            <w:tcW w:w="2084" w:type="dxa"/>
            <w:vAlign w:val="center"/>
          </w:tcPr>
          <w:p w:rsidRPr="002E48E8" w:rsidR="005E3BD6" w:rsidP="00222A23" w:rsidRDefault="005E3BD6" w14:paraId="587C62D7" w14:textId="77777777">
            <w:pPr>
              <w:jc w:val="center"/>
              <w:rPr>
                <w:rFonts w:ascii="Nunito Sans" w:hAnsi="Nunito Sans"/>
                <w:sz w:val="18"/>
                <w:szCs w:val="18"/>
              </w:rPr>
            </w:pPr>
            <w:r w:rsidRPr="002E48E8">
              <w:rPr>
                <w:rFonts w:ascii="Nunito Sans" w:hAnsi="Nunito Sans" w:eastAsia="Nunito Sans" w:cs="Nunito Sans"/>
                <w:sz w:val="18"/>
                <w:szCs w:val="18"/>
                <w:lang w:val="es-ES"/>
              </w:rPr>
              <w:t>TI-03. Seguridad de la información, privacidad y gestión del riesgo</w:t>
            </w:r>
          </w:p>
        </w:tc>
        <w:tc>
          <w:tcPr>
            <w:tcW w:w="2476" w:type="dxa"/>
            <w:vAlign w:val="center"/>
          </w:tcPr>
          <w:p w:rsidRPr="002E48E8" w:rsidR="005E3BD6" w:rsidP="00222A23" w:rsidRDefault="005E3BD6" w14:paraId="36E8A880" w14:textId="77777777">
            <w:pPr>
              <w:jc w:val="center"/>
              <w:rPr>
                <w:rFonts w:ascii="Nunito Sans" w:hAnsi="Nunito Sans"/>
                <w:sz w:val="18"/>
                <w:szCs w:val="18"/>
              </w:rPr>
            </w:pPr>
            <w:r w:rsidRPr="002E48E8">
              <w:rPr>
                <w:rFonts w:ascii="Nunito Sans" w:hAnsi="Nunito Sans" w:eastAsia="Nunito Sans" w:cs="Nunito Sans"/>
                <w:sz w:val="18"/>
                <w:szCs w:val="18"/>
                <w:lang w:val="es-ES"/>
              </w:rPr>
              <w:t>Alinear los controles mínimos de seguridad, continuidad y protección de datos, asegurando respuesta coordinada ante incidentes y protección de la infraestructura crítica del sector.</w:t>
            </w:r>
          </w:p>
        </w:tc>
        <w:tc>
          <w:tcPr>
            <w:tcW w:w="3813" w:type="dxa"/>
            <w:vAlign w:val="center"/>
          </w:tcPr>
          <w:p w:rsidRPr="009F3AB1" w:rsidR="005E3BD6" w:rsidRDefault="005E3BD6" w14:paraId="1694FA8A"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seguridad de la información y ciberseguridad</w:t>
            </w:r>
          </w:p>
          <w:p w:rsidRPr="009F3AB1" w:rsidR="005E3BD6" w:rsidRDefault="005E3BD6" w14:paraId="6C5C30E9"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Modelo sectorial de gestión de incidentes y CSIRT</w:t>
            </w:r>
          </w:p>
          <w:p w:rsidRPr="009F3AB1" w:rsidR="005E3BD6" w:rsidRDefault="005E3BD6" w14:paraId="07D05A73" w14:textId="28DA9A46">
            <w:pPr>
              <w:pStyle w:val="Prrafodelista"/>
              <w:numPr>
                <w:ilvl w:val="0"/>
                <w:numId w:val="27"/>
              </w:numPr>
              <w:ind w:left="433" w:hanging="283"/>
              <w:rPr>
                <w:rFonts w:ascii="Nunito Sans" w:hAnsi="Nunito Sans"/>
                <w:sz w:val="18"/>
                <w:szCs w:val="18"/>
                <w:lang w:val="es-ES"/>
              </w:rPr>
            </w:pPr>
            <w:r w:rsidRPr="009F3AB1">
              <w:rPr>
                <w:rFonts w:ascii="Nunito Sans" w:hAnsi="Nunito Sans" w:eastAsia="Nunito Sans"/>
                <w:sz w:val="18"/>
                <w:szCs w:val="18"/>
                <w:lang w:val="es-ES"/>
              </w:rPr>
              <w:t>Guía mínima de continuidad operativa (BCP/DRP) sectorial</w:t>
            </w:r>
          </w:p>
        </w:tc>
      </w:tr>
      <w:tr w:rsidRPr="002E48E8" w:rsidR="005E3BD6" w:rsidTr="00222A23" w14:paraId="2CE4E124" w14:textId="77777777">
        <w:trPr>
          <w:trHeight w:val="272"/>
          <w:jc w:val="center"/>
        </w:trPr>
        <w:tc>
          <w:tcPr>
            <w:tcW w:w="2084" w:type="dxa"/>
            <w:vAlign w:val="center"/>
          </w:tcPr>
          <w:p w:rsidRPr="002E48E8" w:rsidR="005E3BD6" w:rsidP="00222A23" w:rsidRDefault="005E3BD6" w14:paraId="7FCCBF8D" w14:textId="77777777">
            <w:pPr>
              <w:jc w:val="center"/>
              <w:rPr>
                <w:rFonts w:ascii="Nunito Sans" w:hAnsi="Nunito Sans"/>
                <w:sz w:val="18"/>
                <w:szCs w:val="18"/>
              </w:rPr>
            </w:pPr>
            <w:r w:rsidRPr="002E48E8">
              <w:rPr>
                <w:rFonts w:ascii="Nunito Sans" w:hAnsi="Nunito Sans" w:eastAsia="Nunito Sans" w:cs="Nunito Sans"/>
                <w:sz w:val="18"/>
                <w:szCs w:val="18"/>
                <w:lang w:val="es-ES"/>
              </w:rPr>
              <w:t>TI-04. Infraestructura tecnológica y niveles de servicio</w:t>
            </w:r>
          </w:p>
        </w:tc>
        <w:tc>
          <w:tcPr>
            <w:tcW w:w="2476" w:type="dxa"/>
            <w:vAlign w:val="center"/>
          </w:tcPr>
          <w:p w:rsidRPr="002E48E8" w:rsidR="005E3BD6" w:rsidP="00222A23" w:rsidRDefault="005E3BD6" w14:paraId="6CDD8433" w14:textId="77777777">
            <w:pPr>
              <w:jc w:val="center"/>
              <w:rPr>
                <w:rFonts w:ascii="Nunito Sans" w:hAnsi="Nunito Sans"/>
                <w:sz w:val="18"/>
                <w:szCs w:val="18"/>
              </w:rPr>
            </w:pPr>
            <w:r w:rsidRPr="002E48E8">
              <w:rPr>
                <w:rFonts w:ascii="Nunito Sans" w:hAnsi="Nunito Sans" w:eastAsia="Nunito Sans" w:cs="Nunito Sans"/>
                <w:sz w:val="18"/>
                <w:szCs w:val="18"/>
                <w:lang w:val="es-ES"/>
              </w:rPr>
              <w:t>Homogeneizar criterios de disponibilidad, desempeño, escalabilidad y sostenibilidad de la infraestructura, respetando la autonomía tecnológica de las entidades</w:t>
            </w:r>
          </w:p>
        </w:tc>
        <w:tc>
          <w:tcPr>
            <w:tcW w:w="3813" w:type="dxa"/>
            <w:vAlign w:val="center"/>
          </w:tcPr>
          <w:p w:rsidRPr="009F3AB1" w:rsidR="005E3BD6" w:rsidRDefault="005E3BD6" w14:paraId="09257BA9"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infraestructura tecnológica</w:t>
            </w:r>
          </w:p>
          <w:p w:rsidRPr="009F3AB1" w:rsidR="005E3BD6" w:rsidRDefault="005E3BD6" w14:paraId="7E05C1DB"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Estándar mínimo de niveles de servicio (SLA/SLO)</w:t>
            </w:r>
          </w:p>
          <w:p w:rsidRPr="009F3AB1" w:rsidR="005E3BD6" w:rsidRDefault="005E3BD6" w14:paraId="77F92A9E" w14:textId="3991C9C5">
            <w:pPr>
              <w:pStyle w:val="Prrafodelista"/>
              <w:numPr>
                <w:ilvl w:val="0"/>
                <w:numId w:val="27"/>
              </w:numPr>
              <w:ind w:left="433" w:hanging="283"/>
              <w:rPr>
                <w:rFonts w:ascii="Nunito Sans" w:hAnsi="Nunito Sans"/>
                <w:sz w:val="18"/>
                <w:szCs w:val="18"/>
                <w:lang w:val="es-ES"/>
              </w:rPr>
            </w:pPr>
            <w:r w:rsidRPr="009F3AB1">
              <w:rPr>
                <w:rFonts w:ascii="Nunito Sans" w:hAnsi="Nunito Sans" w:eastAsia="Nunito Sans"/>
                <w:sz w:val="18"/>
                <w:szCs w:val="18"/>
                <w:lang w:val="es-ES"/>
              </w:rPr>
              <w:t>Guía de adopción de infraestructura híbrida y TI verde</w:t>
            </w:r>
          </w:p>
        </w:tc>
      </w:tr>
      <w:tr w:rsidRPr="002E48E8" w:rsidR="005E3BD6" w:rsidTr="00222A23" w14:paraId="05007D58" w14:textId="77777777">
        <w:trPr>
          <w:trHeight w:val="272"/>
          <w:jc w:val="center"/>
        </w:trPr>
        <w:tc>
          <w:tcPr>
            <w:tcW w:w="2084" w:type="dxa"/>
            <w:vAlign w:val="center"/>
          </w:tcPr>
          <w:p w:rsidRPr="002E48E8" w:rsidR="005E3BD6" w:rsidP="00222A23" w:rsidRDefault="005E3BD6" w14:paraId="639DF1BA" w14:textId="77777777">
            <w:pPr>
              <w:jc w:val="center"/>
              <w:rPr>
                <w:rFonts w:ascii="Nunito Sans" w:hAnsi="Nunito Sans"/>
                <w:sz w:val="18"/>
                <w:szCs w:val="18"/>
              </w:rPr>
            </w:pPr>
            <w:r w:rsidRPr="002E48E8">
              <w:rPr>
                <w:rFonts w:ascii="Nunito Sans" w:hAnsi="Nunito Sans" w:eastAsia="Nunito Sans" w:cs="Nunito Sans"/>
                <w:sz w:val="18"/>
                <w:szCs w:val="18"/>
                <w:lang w:val="es-ES"/>
              </w:rPr>
              <w:t>TI-05. Sistemas de información y ciclo de vida de aplicaciones</w:t>
            </w:r>
          </w:p>
        </w:tc>
        <w:tc>
          <w:tcPr>
            <w:tcW w:w="2476" w:type="dxa"/>
            <w:vAlign w:val="center"/>
          </w:tcPr>
          <w:p w:rsidRPr="002E48E8" w:rsidR="005E3BD6" w:rsidP="00222A23" w:rsidRDefault="005E3BD6" w14:paraId="3D4F49A2" w14:textId="77777777">
            <w:pPr>
              <w:jc w:val="center"/>
              <w:rPr>
                <w:rFonts w:ascii="Nunito Sans" w:hAnsi="Nunito Sans"/>
                <w:sz w:val="18"/>
                <w:szCs w:val="18"/>
              </w:rPr>
            </w:pPr>
            <w:r w:rsidRPr="002E48E8">
              <w:rPr>
                <w:rFonts w:ascii="Nunito Sans" w:hAnsi="Nunito Sans" w:eastAsia="Nunito Sans" w:cs="Nunito Sans"/>
                <w:sz w:val="18"/>
                <w:szCs w:val="18"/>
                <w:lang w:val="es-ES"/>
              </w:rPr>
              <w:t>Garantizar que los sistemas nuevos o modernizados sean interoperables, sostenibles, seguros y alineados con la arquitectura sectorial, reduciendo obsolescencia y dependencia tecnológica.</w:t>
            </w:r>
          </w:p>
        </w:tc>
        <w:tc>
          <w:tcPr>
            <w:tcW w:w="3813" w:type="dxa"/>
            <w:vAlign w:val="center"/>
          </w:tcPr>
          <w:p w:rsidRPr="009F3AB1" w:rsidR="005E3BD6" w:rsidRDefault="005E3BD6" w14:paraId="25C89642"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desarrollo y mantenimiento de software</w:t>
            </w:r>
          </w:p>
          <w:p w:rsidRPr="009F3AB1" w:rsidR="005E3BD6" w:rsidRDefault="005E3BD6" w14:paraId="1B39239E"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Manual de gestión del ciclo de vida de aplicaciones</w:t>
            </w:r>
          </w:p>
          <w:p w:rsidRPr="009F3AB1" w:rsidR="005E3BD6" w:rsidRDefault="005E3BD6" w14:paraId="7A181C5E"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Estándar de arquitectura de sistemas (modularidad, APIs)</w:t>
            </w:r>
          </w:p>
          <w:p w:rsidRPr="009F3AB1" w:rsidR="005E3BD6" w:rsidP="009F3AB1" w:rsidRDefault="005E3BD6" w14:paraId="0A05364A" w14:textId="77777777">
            <w:pPr>
              <w:ind w:left="433" w:hanging="283"/>
              <w:rPr>
                <w:rFonts w:ascii="Nunito Sans" w:hAnsi="Nunito Sans"/>
                <w:sz w:val="18"/>
                <w:szCs w:val="18"/>
                <w:lang w:val="es-ES"/>
              </w:rPr>
            </w:pPr>
          </w:p>
        </w:tc>
      </w:tr>
      <w:tr w:rsidRPr="002E48E8" w:rsidR="005E3BD6" w:rsidTr="00222A23" w14:paraId="339E0A79" w14:textId="77777777">
        <w:trPr>
          <w:trHeight w:val="272"/>
          <w:jc w:val="center"/>
        </w:trPr>
        <w:tc>
          <w:tcPr>
            <w:tcW w:w="2084" w:type="dxa"/>
            <w:vAlign w:val="center"/>
          </w:tcPr>
          <w:p w:rsidRPr="002E48E8" w:rsidR="005E3BD6" w:rsidP="00222A23" w:rsidRDefault="005E3BD6" w14:paraId="7ED53EE1" w14:textId="77777777">
            <w:pPr>
              <w:jc w:val="center"/>
              <w:rPr>
                <w:rFonts w:ascii="Nunito Sans" w:hAnsi="Nunito Sans"/>
                <w:sz w:val="18"/>
                <w:szCs w:val="18"/>
              </w:rPr>
            </w:pPr>
            <w:r w:rsidRPr="002E48E8">
              <w:rPr>
                <w:rFonts w:ascii="Nunito Sans" w:hAnsi="Nunito Sans" w:eastAsia="Nunito Sans" w:cs="Nunito Sans"/>
                <w:sz w:val="18"/>
                <w:szCs w:val="18"/>
                <w:lang w:val="es-ES"/>
              </w:rPr>
              <w:t>TI-06. Uso, apropiación y experiencia digital</w:t>
            </w:r>
          </w:p>
        </w:tc>
        <w:tc>
          <w:tcPr>
            <w:tcW w:w="2476" w:type="dxa"/>
            <w:vAlign w:val="center"/>
          </w:tcPr>
          <w:p w:rsidRPr="002E48E8" w:rsidR="005E3BD6" w:rsidP="00222A23" w:rsidRDefault="005E3BD6" w14:paraId="55DA3A7E" w14:textId="77777777">
            <w:pPr>
              <w:jc w:val="center"/>
              <w:rPr>
                <w:rFonts w:ascii="Nunito Sans" w:hAnsi="Nunito Sans"/>
                <w:sz w:val="18"/>
                <w:szCs w:val="18"/>
              </w:rPr>
            </w:pPr>
            <w:proofErr w:type="gramStart"/>
            <w:r w:rsidRPr="002E48E8">
              <w:rPr>
                <w:rFonts w:ascii="Nunito Sans" w:hAnsi="Nunito Sans" w:eastAsia="Nunito Sans" w:cs="Nunito Sans"/>
                <w:sz w:val="18"/>
                <w:szCs w:val="18"/>
                <w:lang w:val="es-ES"/>
              </w:rPr>
              <w:t>Asegurar</w:t>
            </w:r>
            <w:proofErr w:type="gramEnd"/>
            <w:r w:rsidRPr="002E48E8">
              <w:rPr>
                <w:rFonts w:ascii="Nunito Sans" w:hAnsi="Nunito Sans" w:eastAsia="Nunito Sans" w:cs="Nunito Sans"/>
                <w:sz w:val="18"/>
                <w:szCs w:val="18"/>
                <w:lang w:val="es-ES"/>
              </w:rPr>
              <w:t xml:space="preserve"> que las soluciones tecnológicas sean efectivamente utilizadas y generen valor, priorizando accesibilidad, usabilidad y simplificación </w:t>
            </w:r>
            <w:r w:rsidRPr="002E48E8">
              <w:rPr>
                <w:rFonts w:ascii="Nunito Sans" w:hAnsi="Nunito Sans" w:eastAsia="Nunito Sans" w:cs="Nunito Sans"/>
                <w:sz w:val="18"/>
                <w:szCs w:val="18"/>
                <w:lang w:val="es-ES"/>
              </w:rPr>
              <w:lastRenderedPageBreak/>
              <w:t>de trámites para ciudadanos y funcionarios.</w:t>
            </w:r>
          </w:p>
        </w:tc>
        <w:tc>
          <w:tcPr>
            <w:tcW w:w="3813" w:type="dxa"/>
            <w:vAlign w:val="center"/>
          </w:tcPr>
          <w:p w:rsidRPr="009F3AB1" w:rsidR="005E3BD6" w:rsidRDefault="005E3BD6" w14:paraId="3002DE3F" w14:textId="77777777">
            <w:pPr>
              <w:pStyle w:val="Prrafodelista"/>
              <w:numPr>
                <w:ilvl w:val="0"/>
                <w:numId w:val="27"/>
              </w:numPr>
              <w:ind w:left="433" w:hanging="283"/>
              <w:rPr>
                <w:rFonts w:ascii="Nunito Sans" w:hAnsi="Nunito Sans"/>
                <w:sz w:val="18"/>
                <w:szCs w:val="18"/>
                <w:lang w:val="es-ES"/>
              </w:rPr>
            </w:pPr>
            <w:r w:rsidRPr="009F3AB1">
              <w:rPr>
                <w:rFonts w:ascii="Nunito Sans" w:hAnsi="Nunito Sans"/>
                <w:sz w:val="18"/>
                <w:szCs w:val="18"/>
                <w:lang w:val="es-ES"/>
              </w:rPr>
              <w:lastRenderedPageBreak/>
              <w:t>Lineamiento sectorial de experiencia digital usabilidad, accesibilidad y lenguaje claro</w:t>
            </w:r>
          </w:p>
          <w:p w:rsidRPr="009F3AB1" w:rsidR="005E3BD6" w:rsidRDefault="005E3BD6" w14:paraId="7914F4FE" w14:textId="77777777">
            <w:pPr>
              <w:pStyle w:val="Prrafodelista"/>
              <w:numPr>
                <w:ilvl w:val="0"/>
                <w:numId w:val="27"/>
              </w:numPr>
              <w:ind w:left="433" w:hanging="283"/>
              <w:rPr>
                <w:rFonts w:ascii="Nunito Sans" w:hAnsi="Nunito Sans"/>
                <w:sz w:val="18"/>
                <w:szCs w:val="18"/>
                <w:lang w:val="es-ES"/>
              </w:rPr>
            </w:pPr>
            <w:r w:rsidRPr="009F3AB1">
              <w:rPr>
                <w:rFonts w:ascii="Nunito Sans" w:hAnsi="Nunito Sans"/>
                <w:sz w:val="18"/>
                <w:szCs w:val="18"/>
                <w:lang w:val="es-ES"/>
              </w:rPr>
              <w:t>Guía de adopción y apropiación tecnológica</w:t>
            </w:r>
          </w:p>
          <w:p w:rsidRPr="009F3AB1" w:rsidR="005E3BD6" w:rsidRDefault="005E3BD6" w14:paraId="6CF5FAA9" w14:textId="68A7730E">
            <w:pPr>
              <w:pStyle w:val="Prrafodelista"/>
              <w:numPr>
                <w:ilvl w:val="0"/>
                <w:numId w:val="27"/>
              </w:numPr>
              <w:ind w:left="433" w:hanging="283"/>
              <w:rPr>
                <w:rFonts w:ascii="Nunito Sans" w:hAnsi="Nunito Sans"/>
                <w:sz w:val="18"/>
                <w:szCs w:val="18"/>
                <w:lang w:val="es-ES"/>
              </w:rPr>
            </w:pPr>
            <w:r w:rsidRPr="009F3AB1">
              <w:rPr>
                <w:rFonts w:ascii="Nunito Sans" w:hAnsi="Nunito Sans"/>
                <w:sz w:val="18"/>
                <w:szCs w:val="18"/>
                <w:lang w:val="es-ES"/>
              </w:rPr>
              <w:t>Manual de diseño centrado en el usuario para servicios digitales</w:t>
            </w:r>
          </w:p>
        </w:tc>
      </w:tr>
      <w:tr w:rsidRPr="002E48E8" w:rsidR="005E3BD6" w:rsidTr="00222A23" w14:paraId="07EDB3F4" w14:textId="77777777">
        <w:trPr>
          <w:trHeight w:val="272"/>
          <w:jc w:val="center"/>
        </w:trPr>
        <w:tc>
          <w:tcPr>
            <w:tcW w:w="2084" w:type="dxa"/>
            <w:vAlign w:val="center"/>
          </w:tcPr>
          <w:p w:rsidRPr="002E48E8" w:rsidR="005E3BD6" w:rsidP="00222A23" w:rsidRDefault="005E3BD6" w14:paraId="51049F25" w14:textId="77777777">
            <w:pPr>
              <w:jc w:val="center"/>
              <w:rPr>
                <w:rFonts w:ascii="Nunito Sans" w:hAnsi="Nunito Sans"/>
                <w:sz w:val="18"/>
                <w:szCs w:val="18"/>
              </w:rPr>
            </w:pPr>
            <w:r w:rsidRPr="002E48E8">
              <w:rPr>
                <w:rFonts w:ascii="Nunito Sans" w:hAnsi="Nunito Sans" w:eastAsia="Nunito Sans" w:cs="Nunito Sans"/>
                <w:sz w:val="18"/>
                <w:szCs w:val="18"/>
                <w:lang w:val="es-ES"/>
              </w:rPr>
              <w:t>TI-07. Innovación, desarrollo tecnológico y gestión del conocimiento</w:t>
            </w:r>
          </w:p>
        </w:tc>
        <w:tc>
          <w:tcPr>
            <w:tcW w:w="2476" w:type="dxa"/>
            <w:vAlign w:val="center"/>
          </w:tcPr>
          <w:p w:rsidRPr="002E48E8" w:rsidR="005E3BD6" w:rsidP="00222A23" w:rsidRDefault="005E3BD6" w14:paraId="395A2A74" w14:textId="77777777">
            <w:pPr>
              <w:jc w:val="center"/>
              <w:rPr>
                <w:rFonts w:ascii="Nunito Sans" w:hAnsi="Nunito Sans"/>
                <w:sz w:val="18"/>
                <w:szCs w:val="18"/>
              </w:rPr>
            </w:pPr>
            <w:r w:rsidRPr="002E48E8">
              <w:rPr>
                <w:rFonts w:ascii="Nunito Sans" w:hAnsi="Nunito Sans" w:eastAsia="Nunito Sans" w:cs="Nunito Sans"/>
                <w:sz w:val="18"/>
                <w:szCs w:val="18"/>
                <w:lang w:val="es-ES"/>
              </w:rPr>
              <w:t>Permitir innovación controlada, aprendizaje sectorial y adopción progresiva de tecnologías emergentes sin comprometer la operación ni la seguridad.</w:t>
            </w:r>
          </w:p>
        </w:tc>
        <w:tc>
          <w:tcPr>
            <w:tcW w:w="3813" w:type="dxa"/>
            <w:vAlign w:val="center"/>
          </w:tcPr>
          <w:p w:rsidRPr="009F3AB1" w:rsidR="005E3BD6" w:rsidRDefault="005E3BD6" w14:paraId="531B8014"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innovación y I+D</w:t>
            </w:r>
          </w:p>
          <w:p w:rsidRPr="009F3AB1" w:rsidR="005E3BD6" w:rsidRDefault="005E3BD6" w14:paraId="610D543C"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Marco de experimentación y pilotos tecnológicos (sandbox)</w:t>
            </w:r>
          </w:p>
          <w:p w:rsidRPr="009F3AB1" w:rsidR="005E3BD6" w:rsidRDefault="005E3BD6" w14:paraId="665C8F2E" w14:textId="567DBD6F">
            <w:pPr>
              <w:pStyle w:val="Prrafodelista"/>
              <w:numPr>
                <w:ilvl w:val="0"/>
                <w:numId w:val="27"/>
              </w:numPr>
              <w:ind w:left="433" w:hanging="283"/>
              <w:rPr>
                <w:rFonts w:ascii="Nunito Sans" w:hAnsi="Nunito Sans"/>
                <w:sz w:val="18"/>
                <w:szCs w:val="18"/>
                <w:lang w:val="es-ES"/>
              </w:rPr>
            </w:pPr>
            <w:r w:rsidRPr="009F3AB1">
              <w:rPr>
                <w:rFonts w:ascii="Nunito Sans" w:hAnsi="Nunito Sans" w:eastAsia="Nunito Sans"/>
                <w:sz w:val="18"/>
                <w:szCs w:val="18"/>
                <w:lang w:val="es-ES"/>
              </w:rPr>
              <w:t>Guía de gestión y transferencia de conocimiento</w:t>
            </w:r>
          </w:p>
        </w:tc>
      </w:tr>
      <w:tr w:rsidRPr="002E48E8" w:rsidR="005E3BD6" w:rsidTr="00222A23" w14:paraId="0F24F3F6" w14:textId="77777777">
        <w:trPr>
          <w:trHeight w:val="272"/>
          <w:jc w:val="center"/>
        </w:trPr>
        <w:tc>
          <w:tcPr>
            <w:tcW w:w="2084" w:type="dxa"/>
            <w:vAlign w:val="center"/>
          </w:tcPr>
          <w:p w:rsidRPr="002E48E8" w:rsidR="005E3BD6" w:rsidP="00222A23" w:rsidRDefault="005E3BD6" w14:paraId="451D3BC2" w14:textId="77777777">
            <w:pPr>
              <w:jc w:val="center"/>
              <w:rPr>
                <w:rFonts w:ascii="Nunito Sans" w:hAnsi="Nunito Sans"/>
                <w:sz w:val="18"/>
                <w:szCs w:val="18"/>
              </w:rPr>
            </w:pPr>
            <w:r w:rsidRPr="002E48E8">
              <w:rPr>
                <w:rFonts w:ascii="Nunito Sans" w:hAnsi="Nunito Sans" w:eastAsia="Nunito Sans" w:cs="Nunito Sans"/>
                <w:sz w:val="18"/>
                <w:szCs w:val="18"/>
                <w:lang w:val="es-ES"/>
              </w:rPr>
              <w:t>TI-08. Estandarización y optimización de la inversión en TI</w:t>
            </w:r>
          </w:p>
        </w:tc>
        <w:tc>
          <w:tcPr>
            <w:tcW w:w="2476" w:type="dxa"/>
            <w:vAlign w:val="center"/>
          </w:tcPr>
          <w:p w:rsidRPr="002E48E8" w:rsidR="005E3BD6" w:rsidP="00222A23" w:rsidRDefault="005E3BD6" w14:paraId="0D8A4A16" w14:textId="77777777">
            <w:pPr>
              <w:jc w:val="center"/>
              <w:rPr>
                <w:rFonts w:ascii="Nunito Sans" w:hAnsi="Nunito Sans"/>
                <w:sz w:val="18"/>
                <w:szCs w:val="18"/>
              </w:rPr>
            </w:pPr>
            <w:r w:rsidRPr="002E48E8">
              <w:rPr>
                <w:rFonts w:ascii="Nunito Sans" w:hAnsi="Nunito Sans" w:eastAsia="Nunito Sans" w:cs="Nunito Sans"/>
                <w:sz w:val="18"/>
                <w:szCs w:val="18"/>
                <w:lang w:val="es-ES"/>
              </w:rPr>
              <w:t>Optimizar el uso de recursos públicos, evitar duplicidades y promover soluciones compartidas y estandarizadas a nivel sectorial.</w:t>
            </w:r>
          </w:p>
        </w:tc>
        <w:tc>
          <w:tcPr>
            <w:tcW w:w="3813" w:type="dxa"/>
            <w:vAlign w:val="center"/>
          </w:tcPr>
          <w:p w:rsidRPr="009F3AB1" w:rsidR="005E3BD6" w:rsidRDefault="005E3BD6" w14:paraId="0D48E1D9"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Lineamiento sectorial de inversión y racionalización de TI</w:t>
            </w:r>
          </w:p>
          <w:p w:rsidRPr="009F3AB1" w:rsidR="005E3BD6" w:rsidRDefault="005E3BD6" w14:paraId="400CE99F"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Guía para evaluación y priorización de inversiones tecnológicas</w:t>
            </w:r>
          </w:p>
          <w:p w:rsidRPr="009F3AB1" w:rsidR="005E3BD6" w:rsidRDefault="005E3BD6" w14:paraId="4A6B3D8C" w14:textId="77777777">
            <w:pPr>
              <w:pStyle w:val="Prrafodelista"/>
              <w:numPr>
                <w:ilvl w:val="0"/>
                <w:numId w:val="27"/>
              </w:numPr>
              <w:ind w:left="433" w:hanging="283"/>
              <w:rPr>
                <w:rFonts w:ascii="Nunito Sans" w:hAnsi="Nunito Sans" w:eastAsia="Nunito Sans"/>
                <w:sz w:val="18"/>
                <w:szCs w:val="18"/>
                <w:lang w:val="es-ES"/>
              </w:rPr>
            </w:pPr>
            <w:r w:rsidRPr="009F3AB1">
              <w:rPr>
                <w:rFonts w:ascii="Nunito Sans" w:hAnsi="Nunito Sans" w:eastAsia="Nunito Sans"/>
                <w:sz w:val="18"/>
                <w:szCs w:val="18"/>
                <w:lang w:val="es-ES"/>
              </w:rPr>
              <w:t>Catálogo sectorial de soluciones y servicios reutilizables</w:t>
            </w:r>
          </w:p>
        </w:tc>
      </w:tr>
    </w:tbl>
    <w:p w:rsidRPr="00EF5DE4" w:rsidR="005E3BD6" w:rsidP="005E3BD6" w:rsidRDefault="005E3BD6" w14:paraId="17AFDE84"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CA4194" w:rsidR="005E3BD6" w:rsidP="005E3BD6" w:rsidRDefault="005E3BD6" w14:paraId="50F81FA1" w14:textId="77777777">
      <w:pPr>
        <w:jc w:val="both"/>
        <w:rPr>
          <w:rFonts w:ascii="Nunito Sans" w:hAnsi="Nunito Sans" w:cs="Calibri" w:eastAsiaTheme="minorEastAsia"/>
          <w:i/>
          <w:color w:val="FF0000"/>
          <w:sz w:val="22"/>
          <w:szCs w:val="22"/>
          <w:lang w:val="es-ES"/>
        </w:rPr>
      </w:pPr>
    </w:p>
    <w:p w:rsidR="005E3BD6" w:rsidRDefault="005E3BD6" w14:paraId="59E24DBC" w14:textId="186EA28E">
      <w:pPr>
        <w:pStyle w:val="Ttulo4"/>
        <w:numPr>
          <w:ilvl w:val="3"/>
          <w:numId w:val="22"/>
        </w:numPr>
      </w:pPr>
      <w:bookmarkStart w:name="_Toc391451355" w:id="363"/>
      <w:bookmarkEnd w:id="361"/>
      <w:r w:rsidRPr="00CB5F3A">
        <w:t xml:space="preserve">Gobierno de TI Sectorial </w:t>
      </w:r>
      <w:r w:rsidRPr="00CB5F3A">
        <w:tab/>
      </w:r>
      <w:bookmarkEnd w:id="363"/>
    </w:p>
    <w:p w:rsidRPr="00DF354F" w:rsidR="00DF354F" w:rsidP="00DF354F" w:rsidRDefault="00DF354F" w14:paraId="300B6CF2" w14:textId="77777777">
      <w:pPr>
        <w:rPr>
          <w:lang w:val="es-ES"/>
        </w:rPr>
      </w:pPr>
    </w:p>
    <w:p w:rsidRPr="00CA4194" w:rsidR="005E3BD6" w:rsidP="005E3BD6" w:rsidRDefault="005E3BD6" w14:paraId="59CD14DD" w14:textId="77777777">
      <w:pPr>
        <w:spacing w:line="259"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ES"/>
        </w:rPr>
        <w:t>Por medio de la resolución 40199</w:t>
      </w:r>
      <w:r w:rsidRPr="00CA4194">
        <w:rPr>
          <w:rFonts w:ascii="Nunito Sans" w:hAnsi="Nunito Sans" w:eastAsia="Arial" w:cs="Calibri"/>
          <w:b/>
          <w:bCs/>
          <w:sz w:val="22"/>
          <w:szCs w:val="22"/>
          <w:lang w:val="es-ES"/>
        </w:rPr>
        <w:t xml:space="preserve"> </w:t>
      </w:r>
      <w:r w:rsidRPr="00CA4194">
        <w:rPr>
          <w:rFonts w:ascii="Nunito Sans" w:hAnsi="Nunito Sans" w:eastAsia="Arial" w:cs="Calibri"/>
          <w:sz w:val="22"/>
          <w:szCs w:val="22"/>
          <w:lang w:val="es-ES"/>
        </w:rPr>
        <w:t>de 2021 se adoptó el modelo de Gobierno de Tecnologías de la Información y el modelo de Gobierno de Datos, en pro de fortalecer los esquemas que definan, estandaricen, ejecuten, acompañen y controlen proyectos de tecnología y faciliten el intercambio de información, el manejo de fuentes únicas, la habilitación de servicios entre entidades adscritas al sector, lo cual permite fortalecer el análisis, la toma de decisiones y la operación sectorial, cumpliendo con todos los lineamientos que expidan las autoridades nacionales, en especial el MinTIC.</w:t>
      </w:r>
    </w:p>
    <w:p w:rsidRPr="00CA4194" w:rsidR="005E3BD6" w:rsidP="005E3BD6" w:rsidRDefault="005E3BD6" w14:paraId="2BA64DE2" w14:textId="77777777">
      <w:pPr>
        <w:spacing w:line="259" w:lineRule="auto"/>
        <w:jc w:val="both"/>
        <w:rPr>
          <w:rFonts w:ascii="Nunito Sans" w:hAnsi="Nunito Sans" w:eastAsia="Arial" w:cs="Calibri"/>
          <w:sz w:val="22"/>
          <w:szCs w:val="22"/>
          <w:lang w:val="es-ES"/>
        </w:rPr>
      </w:pPr>
    </w:p>
    <w:p w:rsidR="0054299F" w:rsidP="005E3BD6" w:rsidRDefault="005E3BD6" w14:paraId="4D321735" w14:textId="77777777">
      <w:pPr>
        <w:spacing w:line="259" w:lineRule="auto"/>
        <w:jc w:val="both"/>
        <w:rPr>
          <w:rFonts w:ascii="Nunito Sans" w:hAnsi="Nunito Sans" w:eastAsia="Arial" w:cs="Calibri"/>
          <w:sz w:val="22"/>
          <w:szCs w:val="22"/>
          <w:lang w:val="es-ES"/>
        </w:rPr>
      </w:pPr>
      <w:r w:rsidRPr="0E79E4E6">
        <w:rPr>
          <w:rFonts w:ascii="Nunito Sans" w:hAnsi="Nunito Sans" w:eastAsia="Arial" w:cs="Calibri"/>
          <w:sz w:val="22"/>
          <w:szCs w:val="22"/>
          <w:lang w:val="es-ES"/>
        </w:rPr>
        <w:t>El modelo de Gobierno de Tecnologías de la Información tiene por objeto</w:t>
      </w:r>
      <w:r w:rsidR="0054299F">
        <w:rPr>
          <w:rFonts w:ascii="Nunito Sans" w:hAnsi="Nunito Sans" w:eastAsia="Arial" w:cs="Calibri"/>
          <w:sz w:val="22"/>
          <w:szCs w:val="22"/>
          <w:lang w:val="es-ES"/>
        </w:rPr>
        <w:t>:</w:t>
      </w:r>
    </w:p>
    <w:p w:rsidR="001504B6" w:rsidRDefault="0054299F" w14:paraId="66FF5DB1" w14:textId="77777777">
      <w:pPr>
        <w:pStyle w:val="Prrafodelista"/>
        <w:numPr>
          <w:ilvl w:val="0"/>
          <w:numId w:val="44"/>
        </w:numPr>
        <w:spacing w:line="259" w:lineRule="auto"/>
        <w:jc w:val="both"/>
        <w:rPr>
          <w:rFonts w:ascii="Nunito Sans" w:hAnsi="Nunito Sans" w:eastAsia="Arial" w:cs="Calibri"/>
          <w:sz w:val="22"/>
          <w:szCs w:val="22"/>
          <w:lang w:val="es-ES"/>
        </w:rPr>
      </w:pPr>
      <w:r w:rsidRPr="0054299F">
        <w:rPr>
          <w:rFonts w:ascii="Nunito Sans" w:hAnsi="Nunito Sans" w:eastAsia="Arial" w:cs="Calibri"/>
          <w:sz w:val="22"/>
          <w:szCs w:val="22"/>
          <w:lang w:val="es-ES"/>
        </w:rPr>
        <w:t>B</w:t>
      </w:r>
      <w:r w:rsidRPr="0054299F" w:rsidR="005E3BD6">
        <w:rPr>
          <w:rFonts w:ascii="Nunito Sans" w:hAnsi="Nunito Sans" w:eastAsia="Arial" w:cs="Calibri"/>
          <w:sz w:val="22"/>
          <w:szCs w:val="22"/>
          <w:lang w:val="es-ES"/>
        </w:rPr>
        <w:t>rindar directrices de gobernabilidad de TI para adoptar medidas que permitan alinear macroprocesos, procesos y planes sectoriales</w:t>
      </w:r>
      <w:r w:rsidR="001504B6">
        <w:rPr>
          <w:rFonts w:ascii="Nunito Sans" w:hAnsi="Nunito Sans" w:eastAsia="Arial" w:cs="Calibri"/>
          <w:sz w:val="22"/>
          <w:szCs w:val="22"/>
          <w:lang w:val="es-ES"/>
        </w:rPr>
        <w:t>.</w:t>
      </w:r>
      <w:r w:rsidRPr="0054299F" w:rsidR="005E3BD6">
        <w:rPr>
          <w:rFonts w:ascii="Nunito Sans" w:hAnsi="Nunito Sans" w:eastAsia="Arial" w:cs="Calibri"/>
          <w:sz w:val="22"/>
          <w:szCs w:val="22"/>
          <w:lang w:val="es-ES"/>
        </w:rPr>
        <w:t xml:space="preserve"> </w:t>
      </w:r>
    </w:p>
    <w:p w:rsidR="001504B6" w:rsidRDefault="001504B6" w14:paraId="314E317C" w14:textId="77777777">
      <w:pPr>
        <w:pStyle w:val="Prrafodelista"/>
        <w:numPr>
          <w:ilvl w:val="0"/>
          <w:numId w:val="44"/>
        </w:numPr>
        <w:spacing w:line="259" w:lineRule="auto"/>
        <w:jc w:val="both"/>
        <w:rPr>
          <w:rFonts w:ascii="Nunito Sans" w:hAnsi="Nunito Sans" w:eastAsia="Arial" w:cs="Calibri"/>
          <w:sz w:val="22"/>
          <w:szCs w:val="22"/>
          <w:lang w:val="es-ES"/>
        </w:rPr>
      </w:pPr>
      <w:r>
        <w:rPr>
          <w:rFonts w:ascii="Nunito Sans" w:hAnsi="Nunito Sans" w:eastAsia="Arial" w:cs="Calibri"/>
          <w:sz w:val="22"/>
          <w:szCs w:val="22"/>
          <w:lang w:val="es-ES"/>
        </w:rPr>
        <w:t>H</w:t>
      </w:r>
      <w:r w:rsidRPr="0054299F" w:rsidR="005E3BD6">
        <w:rPr>
          <w:rFonts w:ascii="Nunito Sans" w:hAnsi="Nunito Sans" w:eastAsia="Arial" w:cs="Calibri"/>
          <w:sz w:val="22"/>
          <w:szCs w:val="22"/>
          <w:lang w:val="es-ES"/>
        </w:rPr>
        <w:t>abilitar y fortalecer las capacidades de Gobierno en materia de Tecnologías de Información institucionales y del sector</w:t>
      </w:r>
    </w:p>
    <w:p w:rsidR="001504B6" w:rsidRDefault="001504B6" w14:paraId="5EC013ED" w14:textId="77777777">
      <w:pPr>
        <w:pStyle w:val="Prrafodelista"/>
        <w:numPr>
          <w:ilvl w:val="0"/>
          <w:numId w:val="44"/>
        </w:numPr>
        <w:spacing w:line="259" w:lineRule="auto"/>
        <w:jc w:val="both"/>
        <w:rPr>
          <w:rFonts w:ascii="Nunito Sans" w:hAnsi="Nunito Sans" w:eastAsia="Arial" w:cs="Calibri"/>
          <w:sz w:val="22"/>
          <w:szCs w:val="22"/>
          <w:lang w:val="es-ES"/>
        </w:rPr>
      </w:pPr>
      <w:r>
        <w:rPr>
          <w:rFonts w:ascii="Nunito Sans" w:hAnsi="Nunito Sans" w:eastAsia="Arial" w:cs="Calibri"/>
          <w:sz w:val="22"/>
          <w:szCs w:val="22"/>
          <w:lang w:val="es-ES"/>
        </w:rPr>
        <w:t>E</w:t>
      </w:r>
      <w:r w:rsidRPr="0054299F" w:rsidR="005E3BD6">
        <w:rPr>
          <w:rFonts w:ascii="Nunito Sans" w:hAnsi="Nunito Sans" w:eastAsia="Arial" w:cs="Calibri"/>
          <w:sz w:val="22"/>
          <w:szCs w:val="22"/>
          <w:lang w:val="es-ES"/>
        </w:rPr>
        <w:t>stablecer el esquema de Gobierno de Tecnologías de Información del sector minero-energético en los niveles estratégicos, tácticos - operativos, de conformidad con el Modelo Integrado de Planeación y Gestión (MIPG) y los lineamientos del Gobierno de TI de la Arquitectura Empresarial Sectorial</w:t>
      </w:r>
    </w:p>
    <w:p w:rsidR="001504B6" w:rsidRDefault="001504B6" w14:paraId="7156322D" w14:textId="77777777">
      <w:pPr>
        <w:pStyle w:val="Prrafodelista"/>
        <w:numPr>
          <w:ilvl w:val="0"/>
          <w:numId w:val="44"/>
        </w:numPr>
        <w:spacing w:line="259" w:lineRule="auto"/>
        <w:jc w:val="both"/>
        <w:rPr>
          <w:rFonts w:ascii="Nunito Sans" w:hAnsi="Nunito Sans" w:eastAsia="Arial" w:cs="Calibri"/>
          <w:sz w:val="22"/>
          <w:szCs w:val="22"/>
          <w:lang w:val="es-ES"/>
        </w:rPr>
      </w:pPr>
      <w:r>
        <w:rPr>
          <w:rFonts w:ascii="Nunito Sans" w:hAnsi="Nunito Sans" w:eastAsia="Arial" w:cs="Calibri"/>
          <w:sz w:val="22"/>
          <w:szCs w:val="22"/>
          <w:lang w:val="es-ES"/>
        </w:rPr>
        <w:t>A</w:t>
      </w:r>
      <w:r w:rsidRPr="0054299F" w:rsidR="005E3BD6">
        <w:rPr>
          <w:rFonts w:ascii="Nunito Sans" w:hAnsi="Nunito Sans" w:eastAsia="Arial" w:cs="Calibri"/>
          <w:sz w:val="22"/>
          <w:szCs w:val="22"/>
          <w:lang w:val="es-ES"/>
        </w:rPr>
        <w:t>doptar la dinámica operacional del modelo de Gobierno de Tecnologías de Información del sector minero-energético</w:t>
      </w:r>
    </w:p>
    <w:p w:rsidRPr="0054299F" w:rsidR="005E3BD6" w:rsidRDefault="001504B6" w14:paraId="2606AAA6" w14:textId="14CC012F">
      <w:pPr>
        <w:pStyle w:val="Prrafodelista"/>
        <w:numPr>
          <w:ilvl w:val="0"/>
          <w:numId w:val="44"/>
        </w:numPr>
        <w:spacing w:line="259" w:lineRule="auto"/>
        <w:jc w:val="both"/>
        <w:rPr>
          <w:rFonts w:ascii="Nunito Sans" w:hAnsi="Nunito Sans" w:eastAsia="Arial" w:cs="Calibri"/>
          <w:sz w:val="22"/>
          <w:szCs w:val="22"/>
          <w:lang w:val="es-ES"/>
        </w:rPr>
      </w:pPr>
      <w:r>
        <w:rPr>
          <w:rFonts w:ascii="Nunito Sans" w:hAnsi="Nunito Sans" w:eastAsia="Arial" w:cs="Calibri"/>
          <w:sz w:val="22"/>
          <w:szCs w:val="22"/>
          <w:lang w:val="es-ES"/>
        </w:rPr>
        <w:t>O</w:t>
      </w:r>
      <w:r w:rsidRPr="0054299F" w:rsidR="005E3BD6">
        <w:rPr>
          <w:rFonts w:ascii="Nunito Sans" w:hAnsi="Nunito Sans" w:eastAsia="Arial" w:cs="Calibri"/>
          <w:sz w:val="22"/>
          <w:szCs w:val="22"/>
          <w:lang w:val="es-ES"/>
        </w:rPr>
        <w:t>ptimizar la aplicabilidad de recursos para una efectiva gestión de TI, a partir de abastecimiento estratégico y otras iniciativas.</w:t>
      </w:r>
    </w:p>
    <w:p w:rsidR="005E3BD6" w:rsidP="005E3BD6" w:rsidRDefault="005E3BD6" w14:paraId="68CD6A15" w14:textId="77777777"/>
    <w:p w:rsidR="005E3BD6" w:rsidRDefault="005E3BD6" w14:paraId="2B6BA848" w14:textId="0B046993">
      <w:pPr>
        <w:pStyle w:val="Ttulo4"/>
        <w:numPr>
          <w:ilvl w:val="3"/>
          <w:numId w:val="22"/>
        </w:numPr>
      </w:pPr>
      <w:bookmarkStart w:name="_Toc277429523" w:id="364"/>
      <w:r w:rsidRPr="00A362EF">
        <w:t xml:space="preserve">Instancias de </w:t>
      </w:r>
      <w:r w:rsidR="00FA3CC3">
        <w:t>D</w:t>
      </w:r>
      <w:r w:rsidRPr="00A362EF">
        <w:t>ecisión</w:t>
      </w:r>
      <w:bookmarkEnd w:id="364"/>
    </w:p>
    <w:p w:rsidRPr="00430A78" w:rsidR="00430A78" w:rsidP="00430A78" w:rsidRDefault="00430A78" w14:paraId="1869E24C" w14:textId="77777777">
      <w:pPr>
        <w:rPr>
          <w:lang w:val="es-ES"/>
        </w:rPr>
      </w:pPr>
    </w:p>
    <w:p w:rsidRPr="00CA4194" w:rsidR="005E3BD6" w:rsidP="005E3BD6" w:rsidRDefault="005E3BD6" w14:paraId="5C23A746"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la resolución 40199</w:t>
      </w:r>
      <w:r w:rsidRPr="00CA4194">
        <w:rPr>
          <w:rFonts w:ascii="Nunito Sans" w:hAnsi="Nunito Sans" w:eastAsia="Arial" w:cs="Calibri"/>
          <w:b/>
          <w:bCs/>
          <w:sz w:val="22"/>
          <w:szCs w:val="22"/>
          <w:lang w:val="es-ES"/>
        </w:rPr>
        <w:t xml:space="preserve"> </w:t>
      </w:r>
      <w:r w:rsidRPr="00CA4194">
        <w:rPr>
          <w:rFonts w:ascii="Nunito Sans" w:hAnsi="Nunito Sans" w:eastAsia="Arial" w:cs="Calibri"/>
          <w:sz w:val="22"/>
          <w:szCs w:val="22"/>
          <w:lang w:val="es-ES"/>
        </w:rPr>
        <w:t xml:space="preserve">de 2021 se establece como instancias máximas de decisión la Comisión estratégica de TI y de datos del sector minero-energético y el Comité interinstitucional de tecnologías de información y comunicaciones del sector minero-energético. La comisión está conformada por el </w:t>
      </w:r>
      <w:bookmarkStart w:name="_Int_OO0FOTsc" w:id="365"/>
      <w:r w:rsidRPr="00CA4194">
        <w:rPr>
          <w:rFonts w:ascii="Nunito Sans" w:hAnsi="Nunito Sans" w:eastAsia="Arial" w:cs="Calibri"/>
          <w:sz w:val="22"/>
          <w:szCs w:val="22"/>
          <w:lang w:val="es-ES"/>
        </w:rPr>
        <w:t>Ministro</w:t>
      </w:r>
      <w:bookmarkEnd w:id="365"/>
      <w:r w:rsidRPr="00CA4194">
        <w:rPr>
          <w:rFonts w:ascii="Nunito Sans" w:hAnsi="Nunito Sans" w:eastAsia="Arial" w:cs="Calibri"/>
          <w:sz w:val="22"/>
          <w:szCs w:val="22"/>
          <w:lang w:val="es-ES"/>
        </w:rPr>
        <w:t xml:space="preserve"> de Minas y Energía o su delegado, el líder de la gestión estratégica de infraestructura y aplicaciones de TI del sector minero-energético o “CTO” y el Líder de la gestión estratégica de la información del sector o “CIO”.</w:t>
      </w:r>
    </w:p>
    <w:p w:rsidRPr="00CA4194" w:rsidR="005E3BD6" w:rsidP="005E3BD6" w:rsidRDefault="005E3BD6" w14:paraId="5ED50F74" w14:textId="77777777">
      <w:pPr>
        <w:jc w:val="both"/>
        <w:rPr>
          <w:rFonts w:ascii="Nunito Sans" w:hAnsi="Nunito Sans" w:eastAsia="Arial" w:cs="Calibri"/>
          <w:sz w:val="22"/>
          <w:szCs w:val="22"/>
          <w:lang w:val="es-ES"/>
        </w:rPr>
      </w:pPr>
    </w:p>
    <w:p w:rsidRPr="00CA4194" w:rsidR="005E3BD6" w:rsidP="005E3BD6" w:rsidRDefault="005E3BD6" w14:paraId="2EBECBFA" w14:textId="4B0B3290">
      <w:pPr>
        <w:spacing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 xml:space="preserve">Comité interinstitucional está conformado por el Coordinador del Grupo de Soluciones Digitales del Ministerio de Minas y Energía, como líder de Transformación Digital Sectorial, quien lo presidirá; el Coordinador del Grupo de Infraestructura Tecnológica y el Jefe la Oficina de Planeación y Gestión Internacional; el Director de Gestión de Información y el Jefe del Grupo de Trabajo Planeación del Servicio Geológico Colombiano; el Jefe de la Oficina de Tecnología de la Información y el Jefe del Grupo de Planeación de la Agencia Nacional Minera; el Coordinador de Tecnologías y Sistemas de Información y el Coordinador de Planeación y Gestión Documental, del Instituto de Planificación y Promoción de Soluciones Energéticas para las Zonas No Interconectadas ; el Jefe de la Oficina de Tecnologías de la Información y el Gerente de Planeación, de la Agencia Nacional de Hidrocarburos; el  Jefe la Oficina Gestión de la Información y el Jefe de Planeación de la Unidad de Planeación Minero Energética y </w:t>
      </w:r>
      <w:r w:rsidRPr="00CA4194" w:rsidR="001504B6">
        <w:rPr>
          <w:rFonts w:ascii="Nunito Sans" w:hAnsi="Nunito Sans" w:eastAsia="Arial" w:cs="Calibri"/>
          <w:sz w:val="22"/>
          <w:szCs w:val="22"/>
          <w:lang w:val="es-ES"/>
        </w:rPr>
        <w:t>el</w:t>
      </w:r>
      <w:r w:rsidRPr="00CA4194">
        <w:rPr>
          <w:rFonts w:ascii="Nunito Sans" w:hAnsi="Nunito Sans" w:eastAsia="Arial" w:cs="Calibri"/>
          <w:sz w:val="22"/>
          <w:szCs w:val="22"/>
          <w:lang w:val="es-ES"/>
        </w:rPr>
        <w:t xml:space="preserve"> Jefe de Informática y Tecnología y el Jefe de Planeación de la Comisión de Regulación de Energía, Gas y Combustible.</w:t>
      </w:r>
    </w:p>
    <w:p w:rsidRPr="00CA4194" w:rsidR="005E3BD6" w:rsidP="005E3BD6" w:rsidRDefault="005E3BD6" w14:paraId="68A412CE" w14:textId="77777777">
      <w:pPr>
        <w:jc w:val="both"/>
        <w:rPr>
          <w:rFonts w:ascii="Nunito Sans" w:hAnsi="Nunito Sans" w:eastAsia="Arial" w:cs="Calibri"/>
          <w:sz w:val="22"/>
          <w:szCs w:val="22"/>
          <w:lang w:val="es-ES"/>
        </w:rPr>
      </w:pPr>
      <w:r w:rsidRPr="0E79E4E6">
        <w:rPr>
          <w:rFonts w:ascii="Nunito Sans" w:hAnsi="Nunito Sans" w:eastAsia="Arial" w:cs="Calibri"/>
          <w:sz w:val="22"/>
          <w:szCs w:val="22"/>
          <w:lang w:val="es-ES"/>
        </w:rPr>
        <w:t>Así mismo, se crea y define las responsabilidades de los equipos táctico-operativos para la aprobación de cada plan, programa o proyecto adscrito a la gestión estratégica de infraestructura y aplicaciones de TI. Los equipos táctico-operativos estarán conformados por el (la) Coordinador(a) del área de TI de cada una de las entidades participantes o quien haga sus veces o su delegado(a). Pueden ser integrados al equipo táctico-operativo miembros adicionales de las áreas de TI de cada una de las entidades según requerimiento.</w:t>
      </w:r>
    </w:p>
    <w:p w:rsidR="005E3BD6" w:rsidP="005E3BD6" w:rsidRDefault="005E3BD6" w14:paraId="797252A2" w14:textId="77777777">
      <w:pPr>
        <w:jc w:val="both"/>
        <w:rPr>
          <w:rFonts w:ascii="Nunito Sans" w:hAnsi="Nunito Sans" w:eastAsia="Arial" w:cs="Calibri"/>
          <w:sz w:val="22"/>
          <w:szCs w:val="22"/>
          <w:lang w:val="es-ES"/>
        </w:rPr>
      </w:pPr>
    </w:p>
    <w:p w:rsidR="005E3BD6" w:rsidRDefault="005E3BD6" w14:paraId="31D8FCF9" w14:textId="5AEC906A">
      <w:pPr>
        <w:pStyle w:val="Ttulo4"/>
        <w:numPr>
          <w:ilvl w:val="3"/>
          <w:numId w:val="22"/>
        </w:numPr>
      </w:pPr>
      <w:bookmarkStart w:name="_Toc1507681918" w:id="366"/>
      <w:r w:rsidRPr="00A362EF">
        <w:t xml:space="preserve">Cadenas de </w:t>
      </w:r>
      <w:r w:rsidR="00FA3CC3">
        <w:t>V</w:t>
      </w:r>
      <w:r w:rsidRPr="00A362EF">
        <w:t xml:space="preserve">alor </w:t>
      </w:r>
      <w:r w:rsidR="00FA3CC3">
        <w:t>S</w:t>
      </w:r>
      <w:r w:rsidRPr="00A362EF">
        <w:t>ectoriales</w:t>
      </w:r>
      <w:bookmarkEnd w:id="366"/>
      <w:r w:rsidRPr="00A362EF">
        <w:t xml:space="preserve"> </w:t>
      </w:r>
    </w:p>
    <w:p w:rsidRPr="00DF354F" w:rsidR="00DF354F" w:rsidP="00DF354F" w:rsidRDefault="00DF354F" w14:paraId="017ED8BD" w14:textId="77777777">
      <w:pPr>
        <w:rPr>
          <w:lang w:val="es-ES"/>
        </w:rPr>
      </w:pPr>
    </w:p>
    <w:p w:rsidRPr="00CA4194" w:rsidR="005E3BD6" w:rsidP="005E3BD6" w:rsidRDefault="005E3BD6" w14:paraId="6C6DBA7D"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A partir de la construcción y validación de las cadenas de valor de energía, minería e hidrocarburos, se identificaron los retos, brechas y oportunidades que configuran el diagnóstico sectorial. Estos insumos permitieron definir la visión futura (TO-BE), orientada al fortalecimiento de la interoperabilidad, la gestión del dato, la arquitectura tecnológica sectorial y la modernización de los procesos misionales. En consecuencia, se presenta el modelo TO-BE, organizado en siete capacidades estratégicas que orientan la transformación digital y la articulación institucional requerida para lograr un ecosistema operativo más integrado.</w:t>
      </w:r>
    </w:p>
    <w:p w:rsidRPr="00CA4194" w:rsidR="005E3BD6" w:rsidP="005E3BD6" w:rsidRDefault="005E3BD6" w14:paraId="48984C0A" w14:textId="77777777">
      <w:pPr>
        <w:jc w:val="both"/>
        <w:rPr>
          <w:rFonts w:ascii="Nunito Sans" w:hAnsi="Nunito Sans" w:eastAsia="Arial" w:cs="Calibri"/>
          <w:color w:val="000000" w:themeColor="text1"/>
          <w:sz w:val="22"/>
          <w:szCs w:val="22"/>
          <w:lang w:val="es-ES"/>
        </w:rPr>
      </w:pPr>
    </w:p>
    <w:p w:rsidRPr="00CA4194" w:rsidR="005E3BD6" w:rsidP="005E3BD6" w:rsidRDefault="005E3BD6" w14:paraId="15A9F493"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b/>
          <w:bCs/>
          <w:color w:val="000000" w:themeColor="text1"/>
          <w:sz w:val="22"/>
          <w:szCs w:val="22"/>
          <w:lang w:val="es-ES"/>
        </w:rPr>
        <w:t>1. Interoperabilidad sectorial integrada</w:t>
      </w:r>
    </w:p>
    <w:p w:rsidRPr="00CA4194" w:rsidR="005E3BD6" w:rsidP="005E3BD6" w:rsidRDefault="005E3BD6" w14:paraId="3418762F" w14:textId="77777777">
      <w:pPr>
        <w:spacing w:line="259" w:lineRule="auto"/>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 xml:space="preserve">El sector debería avanzar hacia un ecosistema digital plenamente interoperable, soportado en un bus de servicios sectorial articulado con X-ROAD. Las entidades comparten datos mediante API </w:t>
      </w:r>
      <w:r w:rsidRPr="00CA4194">
        <w:rPr>
          <w:rFonts w:ascii="Nunito Sans" w:hAnsi="Nunito Sans" w:eastAsia="Arial" w:cs="Calibri"/>
          <w:color w:val="000000" w:themeColor="text1"/>
          <w:sz w:val="22"/>
          <w:szCs w:val="22"/>
          <w:lang w:val="es-ES"/>
        </w:rPr>
        <w:lastRenderedPageBreak/>
        <w:t>estandarizadas e intercambian información de manera segura, continua y trazable, integrando sistemas misionales, geo portales, ventanillas únicas y repositorios analíticos. Este enfoque elimina duplicidades, fortalece la trazabilidad y permite una articulación operativa transparente en los sectores de energía, minería e hidrocarburos.</w:t>
      </w:r>
    </w:p>
    <w:p w:rsidRPr="00CA4194" w:rsidR="005E3BD6" w:rsidP="005E3BD6" w:rsidRDefault="005E3BD6" w14:paraId="297AA731" w14:textId="77777777">
      <w:pPr>
        <w:jc w:val="both"/>
        <w:rPr>
          <w:rFonts w:ascii="Nunito Sans" w:hAnsi="Nunito Sans" w:eastAsia="Arial" w:cs="Calibri"/>
          <w:color w:val="000000" w:themeColor="text1"/>
          <w:sz w:val="22"/>
          <w:szCs w:val="22"/>
          <w:lang w:val="es-ES"/>
        </w:rPr>
      </w:pPr>
    </w:p>
    <w:p w:rsidRPr="00CA4194" w:rsidR="005E3BD6" w:rsidP="005E3BD6" w:rsidRDefault="005E3BD6" w14:paraId="616CCC87"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b/>
          <w:bCs/>
          <w:color w:val="000000" w:themeColor="text1"/>
          <w:sz w:val="22"/>
          <w:szCs w:val="22"/>
          <w:lang w:val="es-ES"/>
        </w:rPr>
        <w:t>2. Gobierno de datos sectorial unificado</w:t>
      </w:r>
    </w:p>
    <w:p w:rsidRPr="00CA4194" w:rsidR="005E3BD6" w:rsidP="005E3BD6" w:rsidRDefault="005E3BD6" w14:paraId="25EF4D0F"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Establecer un modelo de gobierno de datos basado en un data lake del sector, acompañado de políticas de calidad, metadatos estandarizados y lineamientos técnicos comunes para la gestión integral del ciclo de vida del dato. Con un lenguaje común validado por todas las entidades, el sector consolida información confiable y coherente para facilitar análisis avanzados, interoperabilidad y toma de decisiones basadas en evidencia. Esta visión garantiza consistencia, seguridad y disponibilidad del dato a nivel institucional y sectorial.</w:t>
      </w:r>
    </w:p>
    <w:p w:rsidRPr="00CA4194" w:rsidR="005E3BD6" w:rsidP="005E3BD6" w:rsidRDefault="005E3BD6" w14:paraId="686BEF25" w14:textId="77777777">
      <w:pPr>
        <w:jc w:val="both"/>
        <w:rPr>
          <w:rFonts w:ascii="Nunito Sans" w:hAnsi="Nunito Sans" w:eastAsia="Arial" w:cs="Calibri"/>
          <w:color w:val="000000" w:themeColor="text1"/>
          <w:sz w:val="22"/>
          <w:szCs w:val="22"/>
          <w:lang w:val="es-ES"/>
        </w:rPr>
      </w:pPr>
    </w:p>
    <w:p w:rsidRPr="00CA4194" w:rsidR="005E3BD6" w:rsidP="005E3BD6" w:rsidRDefault="1F325162" w14:paraId="0FC24F36" w14:textId="77777777">
      <w:pPr>
        <w:jc w:val="both"/>
        <w:rPr>
          <w:rFonts w:ascii="Nunito Sans" w:hAnsi="Nunito Sans" w:eastAsia="Arial" w:cs="Calibri"/>
          <w:color w:val="000000" w:themeColor="text1"/>
          <w:sz w:val="22"/>
          <w:szCs w:val="22"/>
          <w:lang w:val="es-ES"/>
        </w:rPr>
      </w:pPr>
      <w:r w:rsidRPr="4E60D266">
        <w:rPr>
          <w:rFonts w:ascii="Nunito Sans" w:hAnsi="Nunito Sans" w:eastAsia="Arial" w:cs="Calibri"/>
          <w:b/>
          <w:bCs/>
          <w:color w:val="000000" w:themeColor="text1"/>
          <w:sz w:val="22"/>
          <w:szCs w:val="22"/>
          <w:lang w:val="es-ES"/>
        </w:rPr>
        <w:t>3. Arquitectura Empresarial Sectorial</w:t>
      </w:r>
    </w:p>
    <w:p w:rsidR="31E02C63" w:rsidP="4E60D266" w:rsidRDefault="31E02C63" w14:paraId="137011ED" w14:textId="79A2539D">
      <w:pPr>
        <w:jc w:val="both"/>
      </w:pPr>
      <w:r w:rsidRPr="4E60D266">
        <w:rPr>
          <w:rFonts w:ascii="Nunito Sans" w:hAnsi="Nunito Sans" w:eastAsia="Nunito Sans" w:cs="Nunito Sans"/>
          <w:sz w:val="22"/>
          <w:szCs w:val="22"/>
          <w:lang w:val="es-ES"/>
        </w:rPr>
        <w:t>Plantear una arquitectura empresarial unificada que consolide la infraestructura, los flujos de información, los dominios tecnológicos y los sistemas misionales del sector. Esta arquitectura guía la modernización de plataformas, la eliminación de sistemas obsoletos y la consolidación de servicios digitales en soluciones integradas. Asimismo, alinea los proyectos tecnológicos con las prioridades estratégicas sectoriales y promueve el desarrollo gradual de capacidades de interoperabilidad, escalabilidad, eficiencia y sostenibilidad tecnológica, mediante una evolución planificada de la arquitectura y de las capacidades institucionales del sector minero-energético</w:t>
      </w:r>
    </w:p>
    <w:p w:rsidRPr="00CA4194" w:rsidR="005E3BD6" w:rsidP="005E3BD6" w:rsidRDefault="005E3BD6" w14:paraId="4EC277F3" w14:textId="77777777">
      <w:pPr>
        <w:jc w:val="both"/>
        <w:rPr>
          <w:rFonts w:ascii="Nunito Sans" w:hAnsi="Nunito Sans" w:eastAsia="Arial" w:cs="Calibri"/>
          <w:color w:val="000000" w:themeColor="text1"/>
          <w:sz w:val="22"/>
          <w:szCs w:val="22"/>
          <w:lang w:val="es-ES"/>
        </w:rPr>
      </w:pPr>
    </w:p>
    <w:p w:rsidRPr="00CA4194" w:rsidR="005E3BD6" w:rsidP="005E3BD6" w:rsidRDefault="005E3BD6" w14:paraId="1580730E"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b/>
          <w:bCs/>
          <w:color w:val="000000" w:themeColor="text1"/>
          <w:sz w:val="22"/>
          <w:szCs w:val="22"/>
          <w:lang w:val="es-ES"/>
        </w:rPr>
        <w:t>4. Modernización y automatización de procesos</w:t>
      </w:r>
    </w:p>
    <w:p w:rsidRPr="00CA4194" w:rsidR="005E3BD6" w:rsidP="005E3BD6" w:rsidRDefault="005E3BD6" w14:paraId="7BCAA863" w14:textId="43E1E31E">
      <w:pPr>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 xml:space="preserve">Impulsar la transformación de los procesos sectoriales mediante la digitalización avanzada, la implementación de ventanillas únicas integradas, el uso de tecnologías de automatización e inteligencia artificial y la optimización del seguimiento misional. La operación administrativa, regulatoria y técnica se soporta en sistemas modernos, </w:t>
      </w:r>
      <w:r w:rsidRPr="00CA4194" w:rsidR="00430A78">
        <w:rPr>
          <w:rFonts w:ascii="Nunito Sans" w:hAnsi="Nunito Sans" w:eastAsia="Arial" w:cs="Calibri"/>
          <w:color w:val="000000" w:themeColor="text1"/>
          <w:sz w:val="22"/>
          <w:szCs w:val="22"/>
          <w:lang w:val="es-ES"/>
        </w:rPr>
        <w:t>geo portales</w:t>
      </w:r>
      <w:r w:rsidRPr="00CA4194">
        <w:rPr>
          <w:rFonts w:ascii="Nunito Sans" w:hAnsi="Nunito Sans" w:eastAsia="Arial" w:cs="Calibri"/>
          <w:color w:val="000000" w:themeColor="text1"/>
          <w:sz w:val="22"/>
          <w:szCs w:val="22"/>
          <w:lang w:val="es-ES"/>
        </w:rPr>
        <w:t xml:space="preserve"> interoperables y plataformas de analítica predictiva que reducen tiempos de respuesta, aumentan la eficiencia y fortalecen la transparencia sectorial.</w:t>
      </w:r>
    </w:p>
    <w:p w:rsidRPr="00CA4194" w:rsidR="005E3BD6" w:rsidP="005E3BD6" w:rsidRDefault="005E3BD6" w14:paraId="28AAE909" w14:textId="77777777">
      <w:pPr>
        <w:jc w:val="both"/>
        <w:rPr>
          <w:rFonts w:ascii="Nunito Sans" w:hAnsi="Nunito Sans" w:eastAsia="Arial" w:cs="Calibri"/>
          <w:color w:val="000000" w:themeColor="text1"/>
          <w:sz w:val="22"/>
          <w:szCs w:val="22"/>
          <w:lang w:val="es-ES"/>
        </w:rPr>
      </w:pPr>
    </w:p>
    <w:p w:rsidRPr="00CA4194" w:rsidR="005E3BD6" w:rsidP="005E3BD6" w:rsidRDefault="005E3BD6" w14:paraId="3FBAB68B"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b/>
          <w:bCs/>
          <w:color w:val="000000" w:themeColor="text1"/>
          <w:sz w:val="22"/>
          <w:szCs w:val="22"/>
          <w:lang w:val="es-ES"/>
        </w:rPr>
        <w:t>5. Fortalecimiento de capacidades institucionales</w:t>
      </w:r>
    </w:p>
    <w:p w:rsidRPr="00CA4194" w:rsidR="005E3BD6" w:rsidP="005E3BD6" w:rsidRDefault="1F325162" w14:paraId="1EBF97D8" w14:textId="4CAA3AF4">
      <w:pPr>
        <w:jc w:val="both"/>
        <w:rPr>
          <w:rFonts w:ascii="Nunito Sans" w:hAnsi="Nunito Sans" w:eastAsia="Arial" w:cs="Calibri"/>
          <w:color w:val="000000" w:themeColor="text1"/>
          <w:sz w:val="22"/>
          <w:szCs w:val="22"/>
          <w:lang w:val="es-ES"/>
        </w:rPr>
      </w:pPr>
      <w:r w:rsidRPr="4E60D266">
        <w:rPr>
          <w:rFonts w:ascii="Nunito Sans" w:hAnsi="Nunito Sans" w:eastAsia="Arial" w:cs="Calibri"/>
          <w:color w:val="000000" w:themeColor="text1"/>
          <w:sz w:val="22"/>
          <w:szCs w:val="22"/>
          <w:lang w:val="es-ES"/>
        </w:rPr>
        <w:t>Fortalecimiento institucional orientado al desarrollo de capacidades en gobierno digital, interoperabilidad, analítica de datos, arquitectura empresarial</w:t>
      </w:r>
      <w:r w:rsidRPr="4E60D266" w:rsidR="6ADDCB7C">
        <w:rPr>
          <w:rFonts w:ascii="Nunito Sans" w:hAnsi="Nunito Sans" w:eastAsia="Arial" w:cs="Calibri"/>
          <w:color w:val="000000" w:themeColor="text1"/>
          <w:sz w:val="22"/>
          <w:szCs w:val="22"/>
          <w:lang w:val="es-ES"/>
        </w:rPr>
        <w:t xml:space="preserve">, </w:t>
      </w:r>
      <w:r w:rsidRPr="4E60D266" w:rsidR="6ADDCB7C">
        <w:rPr>
          <w:rFonts w:asciiTheme="minorHAnsi" w:hAnsiTheme="minorHAnsi" w:eastAsiaTheme="minorEastAsia" w:cstheme="minorBidi"/>
          <w:color w:val="000000" w:themeColor="text1"/>
          <w:sz w:val="22"/>
          <w:szCs w:val="22"/>
          <w:lang w:val="es-ES"/>
        </w:rPr>
        <w:t>capacidades de seguridad de la información, digital, ciberseguridad para la protección de la ICC</w:t>
      </w:r>
      <w:r w:rsidRPr="4E60D266">
        <w:rPr>
          <w:rFonts w:ascii="Nunito Sans" w:hAnsi="Nunito Sans" w:eastAsia="Arial" w:cs="Calibri"/>
          <w:color w:val="000000" w:themeColor="text1"/>
          <w:sz w:val="22"/>
          <w:szCs w:val="22"/>
          <w:lang w:val="es-ES"/>
        </w:rPr>
        <w:t xml:space="preserve"> y gestión de proyectos TI. El sector recibe acompañamiento técnico continuo para garantizar la sostenibilidad operativa de las plataformas tecnológicas y el uso adecuado de herramientas avanzadas, promoviendo una cultura digital sólida y equipos altamente capacitados para enfrentar los retos tecnológicos presentes y futuros.</w:t>
      </w:r>
    </w:p>
    <w:p w:rsidR="4E60D266" w:rsidP="4E60D266" w:rsidRDefault="4E60D266" w14:paraId="3DB463CC" w14:textId="710DDAAE">
      <w:pPr>
        <w:jc w:val="both"/>
        <w:rPr>
          <w:rFonts w:ascii="Nunito Sans" w:hAnsi="Nunito Sans" w:eastAsia="Arial" w:cs="Calibri"/>
          <w:color w:val="000000" w:themeColor="text1"/>
          <w:sz w:val="22"/>
          <w:szCs w:val="22"/>
          <w:lang w:val="es-ES"/>
        </w:rPr>
      </w:pPr>
    </w:p>
    <w:p w:rsidRPr="00CA4194" w:rsidR="005E3BD6" w:rsidP="005E3BD6" w:rsidRDefault="005E3BD6" w14:paraId="3730F962"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b/>
          <w:bCs/>
          <w:color w:val="000000" w:themeColor="text1"/>
          <w:sz w:val="22"/>
          <w:szCs w:val="22"/>
          <w:lang w:val="es-ES"/>
        </w:rPr>
        <w:t>6. Plataformas transversales para el sector</w:t>
      </w:r>
    </w:p>
    <w:p w:rsidRPr="00CA4194" w:rsidR="005E3BD6" w:rsidP="005E3BD6" w:rsidRDefault="005E3BD6" w14:paraId="6CDBFC1E"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lastRenderedPageBreak/>
        <w:t>Consolidar plataformas tecnológicas transversales que permiten articular sistemas normativos, documentales, analíticos, de monitoreo y misionales en una infraestructura sectorial coherente. Estas plataformas comparten estándares, datos y capacidades, habilitando repositorios de seguimiento, centros de monitoreo, observatorios sectoriales y sistemas geoespaciales interoperables. Este modelo reduce costos, evita duplicidades, maximiza sinergias y facilita la gestión conjunta de información crítica para el sector.</w:t>
      </w:r>
    </w:p>
    <w:p w:rsidRPr="00CA4194" w:rsidR="005E3BD6" w:rsidP="005E3BD6" w:rsidRDefault="005E3BD6" w14:paraId="4E63EABB" w14:textId="77777777">
      <w:pPr>
        <w:jc w:val="both"/>
        <w:rPr>
          <w:rFonts w:ascii="Nunito Sans" w:hAnsi="Nunito Sans" w:eastAsia="Arial" w:cs="Calibri"/>
          <w:color w:val="000000" w:themeColor="text1"/>
          <w:sz w:val="22"/>
          <w:szCs w:val="22"/>
          <w:lang w:val="es-ES"/>
        </w:rPr>
      </w:pPr>
    </w:p>
    <w:p w:rsidRPr="00CA4194" w:rsidR="005E3BD6" w:rsidP="005E3BD6" w:rsidRDefault="005E3BD6" w14:paraId="6A30EE0F"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b/>
          <w:bCs/>
          <w:color w:val="000000" w:themeColor="text1"/>
          <w:sz w:val="22"/>
          <w:szCs w:val="22"/>
          <w:lang w:val="es-ES"/>
        </w:rPr>
        <w:t>7. Sostenibilidad y planeación tecnológica sectorial</w:t>
      </w:r>
    </w:p>
    <w:p w:rsidRPr="00CA4194" w:rsidR="005E3BD6" w:rsidP="005E3BD6" w:rsidRDefault="005E3BD6" w14:paraId="7229A564" w14:textId="77777777">
      <w:pPr>
        <w:jc w:val="both"/>
        <w:rPr>
          <w:rFonts w:ascii="Nunito Sans" w:hAnsi="Nunito Sans" w:eastAsia="Arial" w:cs="Calibri"/>
          <w:color w:val="000000" w:themeColor="text1"/>
          <w:sz w:val="22"/>
          <w:szCs w:val="22"/>
          <w:lang w:val="es-ES"/>
        </w:rPr>
      </w:pPr>
      <w:r w:rsidRPr="00CA4194">
        <w:rPr>
          <w:rFonts w:ascii="Nunito Sans" w:hAnsi="Nunito Sans" w:eastAsia="Arial" w:cs="Calibri"/>
          <w:color w:val="000000" w:themeColor="text1"/>
          <w:sz w:val="22"/>
          <w:szCs w:val="22"/>
          <w:lang w:val="es-ES"/>
        </w:rPr>
        <w:t>El modelo futuro incorpora una planeación tecnológica integral que alinea proyectos TI con presupuestos realistas, define un roadmap sectorial de transformación digital y prioriza la renovación de infraestructura tecnológica, así como la migración progresiva hacia soluciones en la nube. Esta planeación garantiza continuidad operacional, eficiencia en el uso de recursos, gestión adecuada del riesgo tecnológico y una evolución ordenada hacia un ecosistema digital moderno, resiliente y sostenible.</w:t>
      </w:r>
    </w:p>
    <w:p w:rsidRPr="00CA4194" w:rsidR="005E3BD6" w:rsidP="005E3BD6" w:rsidRDefault="005E3BD6" w14:paraId="42BAD567" w14:textId="77777777">
      <w:pPr>
        <w:jc w:val="both"/>
        <w:rPr>
          <w:rFonts w:ascii="Nunito Sans" w:hAnsi="Nunito Sans" w:eastAsia="Arial" w:cs="Calibri"/>
          <w:color w:val="000000" w:themeColor="text1"/>
          <w:sz w:val="22"/>
          <w:szCs w:val="22"/>
          <w:lang w:val="es-ES"/>
        </w:rPr>
      </w:pPr>
    </w:p>
    <w:p w:rsidRPr="00CA4194" w:rsidR="005E3BD6" w:rsidP="005E3BD6" w:rsidRDefault="005E3BD6" w14:paraId="1499B5CD" w14:textId="77777777">
      <w:pPr>
        <w:ind w:left="360" w:hanging="360"/>
        <w:jc w:val="both"/>
        <w:rPr>
          <w:rFonts w:ascii="Nunito Sans" w:hAnsi="Nunito Sans" w:eastAsia="Arial" w:cs="Calibri"/>
          <w:sz w:val="22"/>
          <w:szCs w:val="22"/>
          <w:lang w:val="es-ES"/>
        </w:rPr>
      </w:pPr>
    </w:p>
    <w:p w:rsidRPr="001D17D5" w:rsidR="001D17D5" w:rsidRDefault="001D17D5" w14:paraId="73AE9A53" w14:textId="77777777">
      <w:pPr>
        <w:pStyle w:val="Prrafodelista"/>
        <w:keepNext/>
        <w:keepLines/>
        <w:numPr>
          <w:ilvl w:val="0"/>
          <w:numId w:val="37"/>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362602" w:id="367"/>
      <w:bookmarkStart w:name="_Toc220406890" w:id="368"/>
      <w:bookmarkStart w:name="_Toc220407518" w:id="369"/>
      <w:bookmarkStart w:name="_Toc220407752" w:id="370"/>
      <w:bookmarkStart w:name="_Toc220408013" w:id="371"/>
      <w:bookmarkStart w:name="_Toc220614498" w:id="372"/>
      <w:bookmarkStart w:name="_Toc220664324" w:id="373"/>
      <w:bookmarkStart w:name="_Toc234231876" w:id="374"/>
      <w:bookmarkStart w:name="_Toc234232118" w:id="375"/>
      <w:bookmarkStart w:name="_Toc234232239" w:id="376"/>
      <w:bookmarkStart w:name="_Toc234232360" w:id="377"/>
      <w:bookmarkStart w:name="_Toc234233411" w:id="378"/>
      <w:bookmarkStart w:name="_Toc234233532" w:id="379"/>
      <w:bookmarkStart w:name="_Toc234233654" w:id="380"/>
      <w:bookmarkStart w:name="_Toc234233776" w:id="381"/>
      <w:bookmarkStart w:name="_Toc234233898" w:id="382"/>
      <w:bookmarkStart w:name="_Toc234234019" w:id="383"/>
      <w:bookmarkStart w:name="_Toc234234142" w:id="384"/>
      <w:bookmarkStart w:name="_Toc234234264" w:id="385"/>
      <w:bookmarkStart w:name="_Toc234234385" w:id="386"/>
      <w:bookmarkStart w:name="_Toc234234506" w:id="387"/>
      <w:bookmarkStart w:name="_Toc854554344" w:id="388"/>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rsidRPr="001D17D5" w:rsidR="001D17D5" w:rsidRDefault="001D17D5" w14:paraId="59376C08" w14:textId="77777777">
      <w:pPr>
        <w:pStyle w:val="Prrafodelista"/>
        <w:keepNext/>
        <w:keepLines/>
        <w:numPr>
          <w:ilvl w:val="0"/>
          <w:numId w:val="37"/>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408014" w:id="389"/>
      <w:bookmarkStart w:name="_Toc220614499" w:id="390"/>
      <w:bookmarkStart w:name="_Toc220664325" w:id="391"/>
      <w:bookmarkStart w:name="_Toc234231877" w:id="392"/>
      <w:bookmarkStart w:name="_Toc234232119" w:id="393"/>
      <w:bookmarkStart w:name="_Toc234232240" w:id="394"/>
      <w:bookmarkStart w:name="_Toc234232361" w:id="395"/>
      <w:bookmarkStart w:name="_Toc234233412" w:id="396"/>
      <w:bookmarkStart w:name="_Toc234233533" w:id="397"/>
      <w:bookmarkStart w:name="_Toc234233655" w:id="398"/>
      <w:bookmarkStart w:name="_Toc234233777" w:id="399"/>
      <w:bookmarkStart w:name="_Toc234233899" w:id="400"/>
      <w:bookmarkStart w:name="_Toc234234020" w:id="401"/>
      <w:bookmarkStart w:name="_Toc234234143" w:id="402"/>
      <w:bookmarkStart w:name="_Toc234234265" w:id="403"/>
      <w:bookmarkStart w:name="_Toc234234386" w:id="404"/>
      <w:bookmarkStart w:name="_Toc234234507" w:id="405"/>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rsidR="005E3BD6" w:rsidRDefault="005E3BD6" w14:paraId="67E023BB" w14:textId="6DDB8ABA">
      <w:pPr>
        <w:pStyle w:val="Ttulo2"/>
        <w:numPr>
          <w:ilvl w:val="1"/>
          <w:numId w:val="22"/>
        </w:numPr>
      </w:pPr>
      <w:bookmarkStart w:name="_Toc234234508" w:id="406"/>
      <w:r w:rsidRPr="0E79E4E6">
        <w:t xml:space="preserve">Situación </w:t>
      </w:r>
      <w:r w:rsidR="00FA3CC3">
        <w:t>O</w:t>
      </w:r>
      <w:r w:rsidRPr="0E79E4E6">
        <w:t>bjetivo (TO – BE) Arquitectura Datos e información</w:t>
      </w:r>
      <w:bookmarkEnd w:id="388"/>
      <w:bookmarkEnd w:id="406"/>
    </w:p>
    <w:p w:rsidRPr="00CA4194" w:rsidR="005E3BD6" w:rsidP="005E3BD6" w:rsidRDefault="005E3BD6" w14:paraId="1CC7A7DC" w14:textId="77777777">
      <w:pPr>
        <w:jc w:val="both"/>
        <w:rPr>
          <w:rFonts w:ascii="Nunito Sans" w:hAnsi="Nunito Sans" w:cs="Calibri"/>
          <w:sz w:val="22"/>
          <w:szCs w:val="22"/>
        </w:rPr>
      </w:pPr>
      <w:r w:rsidRPr="00CA4194">
        <w:rPr>
          <w:rFonts w:ascii="Nunito Sans" w:hAnsi="Nunito Sans" w:eastAsia="Arial" w:cs="Calibri"/>
          <w:sz w:val="22"/>
          <w:szCs w:val="22"/>
          <w:lang w:val="es-ES"/>
        </w:rPr>
        <w:t>La situación objetivo de la Arquitectura de Datos e Información del sector minero–energético establece un modelo integrado, estandarizado y gobernado, en el que la información se consolida como un activo estratégico y se gestiona de acuerdo con lineamientos unificados para todas las entidades adscritas. Este estado futuro se fundamenta en la adopción de una arquitectura sectorial común que integra dominios de datos maestros, modelos conceptuales y lógicos, capacidades de interoperabilidad, procesos de gobernanza y plataformas analíticas avanzadas, en alineación con el Modelo de Referencia de Arquitectura Empresarial, el Plan Nacional de Infraestructura de Datos y la Política de Gobierno Digital.</w:t>
      </w:r>
    </w:p>
    <w:p w:rsidRPr="00CA4194" w:rsidR="005E3BD6" w:rsidP="005E3BD6" w:rsidRDefault="005E3BD6" w14:paraId="327F5E1E" w14:textId="77777777">
      <w:pPr>
        <w:jc w:val="both"/>
        <w:rPr>
          <w:rFonts w:ascii="Nunito Sans" w:hAnsi="Nunito Sans" w:eastAsia="Arial" w:cs="Calibri"/>
          <w:sz w:val="22"/>
          <w:szCs w:val="22"/>
          <w:lang w:val="es-ES"/>
        </w:rPr>
      </w:pPr>
    </w:p>
    <w:p w:rsidRPr="00CA4194" w:rsidR="005E3BD6" w:rsidP="005E3BD6" w:rsidRDefault="005E3BD6" w14:paraId="5B4A6B68" w14:textId="77777777">
      <w:pPr>
        <w:jc w:val="both"/>
        <w:rPr>
          <w:rFonts w:ascii="Nunito Sans" w:hAnsi="Nunito Sans" w:eastAsia="Arial" w:cs="Calibri"/>
          <w:b/>
          <w:bCs/>
          <w:sz w:val="22"/>
          <w:szCs w:val="22"/>
          <w:lang w:val="es-ES"/>
        </w:rPr>
      </w:pPr>
      <w:r w:rsidRPr="00CA4194">
        <w:rPr>
          <w:rFonts w:ascii="Nunito Sans" w:hAnsi="Nunito Sans" w:eastAsia="Arial" w:cs="Calibri"/>
          <w:b/>
          <w:bCs/>
          <w:sz w:val="22"/>
          <w:szCs w:val="22"/>
          <w:lang w:val="es-ES"/>
        </w:rPr>
        <w:t>Modelo de datos y gobernanza del estado objetivo</w:t>
      </w:r>
    </w:p>
    <w:p w:rsidRPr="00CA4194" w:rsidR="005E3BD6" w:rsidP="009C65F3" w:rsidRDefault="005E3BD6" w14:paraId="1FEFE07B" w14:textId="16A7B4AD">
      <w:pPr>
        <w:spacing w:after="240"/>
        <w:jc w:val="both"/>
        <w:rPr>
          <w:rFonts w:ascii="Nunito Sans" w:hAnsi="Nunito Sans" w:cs="Calibri"/>
          <w:sz w:val="22"/>
          <w:szCs w:val="22"/>
        </w:rPr>
      </w:pPr>
      <w:r w:rsidRPr="00CA4194">
        <w:rPr>
          <w:rFonts w:ascii="Nunito Sans" w:hAnsi="Nunito Sans" w:eastAsia="Arial" w:cs="Calibri"/>
          <w:sz w:val="22"/>
          <w:szCs w:val="22"/>
          <w:lang w:val="es-ES"/>
        </w:rPr>
        <w:t xml:space="preserve">En el estado objetivo, el sector contará con un </w:t>
      </w:r>
      <w:r w:rsidRPr="00CA4194">
        <w:rPr>
          <w:rFonts w:ascii="Nunito Sans" w:hAnsi="Nunito Sans" w:eastAsia="Arial" w:cs="Calibri"/>
          <w:b/>
          <w:bCs/>
          <w:sz w:val="22"/>
          <w:szCs w:val="22"/>
          <w:lang w:val="es-ES"/>
        </w:rPr>
        <w:t>modelo unificado de información y datos</w:t>
      </w:r>
      <w:r w:rsidRPr="00CA4194">
        <w:rPr>
          <w:rFonts w:ascii="Nunito Sans" w:hAnsi="Nunito Sans" w:eastAsia="Arial" w:cs="Calibri"/>
          <w:sz w:val="22"/>
          <w:szCs w:val="22"/>
          <w:lang w:val="es-ES"/>
        </w:rPr>
        <w:t>, articulado con un marco de gobernanza federada. El modelo sectorial establece definiciones, estructuras y reglas comunes para organizar, describir, clasificar y administrar los datos esenciales que circulan en las entidades del sector.</w:t>
      </w:r>
      <w:r w:rsidR="009C65F3">
        <w:rPr>
          <w:rFonts w:ascii="Nunito Sans" w:hAnsi="Nunito Sans" w:cs="Calibri"/>
          <w:sz w:val="22"/>
          <w:szCs w:val="22"/>
        </w:rPr>
        <w:t xml:space="preserve"> </w:t>
      </w:r>
      <w:r w:rsidRPr="00CA4194">
        <w:rPr>
          <w:rFonts w:ascii="Nunito Sans" w:hAnsi="Nunito Sans" w:eastAsia="Arial" w:cs="Calibri"/>
          <w:sz w:val="22"/>
          <w:szCs w:val="22"/>
          <w:lang w:val="es-ES"/>
        </w:rPr>
        <w:t>La gobernanza futura se estructura sobre principios de responsabilidad, trazabilidad, estandarización y calidad, a través de roles definidos, procesos institucionalizados y estándares compartidos.</w:t>
      </w:r>
    </w:p>
    <w:p w:rsidRPr="00CA4194" w:rsidR="005E3BD6" w:rsidP="005E3BD6" w:rsidRDefault="005E3BD6" w14:paraId="612AC4CC" w14:textId="28FCC324">
      <w:pPr>
        <w:spacing w:before="240" w:after="240"/>
        <w:jc w:val="both"/>
        <w:rPr>
          <w:rFonts w:ascii="Nunito Sans" w:hAnsi="Nunito Sans" w:cs="Calibri"/>
          <w:sz w:val="22"/>
          <w:szCs w:val="22"/>
        </w:rPr>
      </w:pPr>
      <w:r w:rsidRPr="00CA4194">
        <w:rPr>
          <w:rFonts w:ascii="Nunito Sans" w:hAnsi="Nunito Sans" w:eastAsia="Arial" w:cs="Calibri"/>
          <w:sz w:val="22"/>
          <w:szCs w:val="22"/>
          <w:lang w:val="es-ES"/>
        </w:rPr>
        <w:t>El sector operará bajo políticas comunes que regulan calidad, seguridad, privacidad, intercambio y aprovechamiento analítico, garantizando una administración coherente y coordinada en todo el ecosistema.</w:t>
      </w:r>
      <w:r w:rsidR="009C65F3">
        <w:rPr>
          <w:rFonts w:ascii="Nunito Sans" w:hAnsi="Nunito Sans" w:cs="Calibri"/>
          <w:sz w:val="22"/>
          <w:szCs w:val="22"/>
        </w:rPr>
        <w:t xml:space="preserve"> </w:t>
      </w:r>
      <w:r w:rsidRPr="00CA4194">
        <w:rPr>
          <w:rFonts w:ascii="Nunito Sans" w:hAnsi="Nunito Sans" w:eastAsia="Arial" w:cs="Calibri"/>
          <w:sz w:val="22"/>
          <w:szCs w:val="22"/>
          <w:lang w:val="es-ES"/>
        </w:rPr>
        <w:t xml:space="preserve">El modelo objetivo establece mecanismos formales de coordinación y seguimiento que permiten que la gobernanza del dato sea real, operativa y sostenible. Para ello, se </w:t>
      </w:r>
      <w:r w:rsidRPr="761B0734">
        <w:rPr>
          <w:rFonts w:ascii="Nunito Sans" w:hAnsi="Nunito Sans" w:eastAsia="Arial" w:cs="Calibri"/>
          <w:sz w:val="22"/>
          <w:szCs w:val="22"/>
          <w:lang w:val="es-ES"/>
        </w:rPr>
        <w:t>debe realizar</w:t>
      </w:r>
      <w:r w:rsidRPr="00CA4194">
        <w:rPr>
          <w:rFonts w:ascii="Nunito Sans" w:hAnsi="Nunito Sans" w:eastAsia="Arial" w:cs="Calibri"/>
          <w:sz w:val="22"/>
          <w:szCs w:val="22"/>
          <w:lang w:val="es-ES"/>
        </w:rPr>
        <w:t xml:space="preserve"> la creación de un comité sectorial de gobierno de datos, conformado por:</w:t>
      </w:r>
    </w:p>
    <w:p w:rsidRPr="00CA4194" w:rsidR="005E3BD6" w:rsidRDefault="005E3BD6" w14:paraId="40CCA81E" w14:textId="77777777">
      <w:pPr>
        <w:pStyle w:val="Prrafodelista"/>
        <w:numPr>
          <w:ilvl w:val="0"/>
          <w:numId w:val="17"/>
        </w:numPr>
        <w:spacing w:before="240" w:after="240" w:line="276" w:lineRule="auto"/>
        <w:ind w:left="720"/>
        <w:jc w:val="both"/>
        <w:rPr>
          <w:rFonts w:ascii="Nunito Sans" w:hAnsi="Nunito Sans" w:eastAsia="Arial" w:cs="Calibri"/>
          <w:sz w:val="22"/>
          <w:szCs w:val="22"/>
          <w:lang w:val="es-ES"/>
        </w:rPr>
      </w:pPr>
      <w:r w:rsidRPr="00CA4194">
        <w:rPr>
          <w:rFonts w:ascii="Nunito Sans" w:hAnsi="Nunito Sans" w:eastAsia="Arial" w:cs="Calibri"/>
          <w:b/>
          <w:bCs/>
          <w:sz w:val="22"/>
          <w:szCs w:val="22"/>
          <w:lang w:val="es-ES"/>
        </w:rPr>
        <w:lastRenderedPageBreak/>
        <w:t>Chief Data Officer (CDO) Sectorial:</w:t>
      </w:r>
      <w:r w:rsidRPr="00CA4194">
        <w:rPr>
          <w:rFonts w:ascii="Nunito Sans" w:hAnsi="Nunito Sans" w:eastAsia="Arial" w:cs="Calibri"/>
          <w:sz w:val="22"/>
          <w:szCs w:val="22"/>
          <w:lang w:val="es-ES"/>
        </w:rPr>
        <w:t xml:space="preserve"> líder de la estrategia de datos del sector minero-energético.</w:t>
      </w:r>
    </w:p>
    <w:p w:rsidRPr="00CA4194" w:rsidR="005E3BD6" w:rsidRDefault="005E3BD6" w14:paraId="065A50DB" w14:textId="77777777">
      <w:pPr>
        <w:pStyle w:val="Prrafodelista"/>
        <w:numPr>
          <w:ilvl w:val="0"/>
          <w:numId w:val="17"/>
        </w:numPr>
        <w:spacing w:before="240" w:after="240" w:line="276" w:lineRule="auto"/>
        <w:ind w:left="720"/>
        <w:jc w:val="both"/>
        <w:rPr>
          <w:rFonts w:ascii="Nunito Sans" w:hAnsi="Nunito Sans" w:eastAsia="Arial" w:cs="Calibri"/>
          <w:sz w:val="22"/>
          <w:szCs w:val="22"/>
          <w:lang w:val="es-ES"/>
        </w:rPr>
      </w:pPr>
      <w:r w:rsidRPr="00CA4194">
        <w:rPr>
          <w:rFonts w:ascii="Nunito Sans" w:hAnsi="Nunito Sans" w:eastAsia="Arial" w:cs="Calibri"/>
          <w:b/>
          <w:bCs/>
          <w:sz w:val="22"/>
          <w:szCs w:val="22"/>
          <w:lang w:val="es-ES"/>
        </w:rPr>
        <w:t>Chief Information Officer (CIO) Sectorial:</w:t>
      </w:r>
      <w:r w:rsidRPr="00CA4194">
        <w:rPr>
          <w:rFonts w:ascii="Nunito Sans" w:hAnsi="Nunito Sans" w:eastAsia="Arial" w:cs="Calibri"/>
          <w:sz w:val="22"/>
          <w:szCs w:val="22"/>
          <w:lang w:val="es-ES"/>
        </w:rPr>
        <w:t xml:space="preserve"> responsable de la alineación tecnológica, integración arquitectónica y servicios de TI.</w:t>
      </w:r>
    </w:p>
    <w:p w:rsidRPr="00CA4194" w:rsidR="005E3BD6" w:rsidRDefault="005E3BD6" w14:paraId="51DC9FC0" w14:textId="77777777">
      <w:pPr>
        <w:pStyle w:val="Prrafodelista"/>
        <w:numPr>
          <w:ilvl w:val="0"/>
          <w:numId w:val="17"/>
        </w:numPr>
        <w:spacing w:before="240" w:after="240" w:line="276" w:lineRule="auto"/>
        <w:ind w:left="720"/>
        <w:jc w:val="both"/>
        <w:rPr>
          <w:rFonts w:ascii="Nunito Sans" w:hAnsi="Nunito Sans" w:eastAsia="Arial" w:cs="Calibri"/>
          <w:sz w:val="22"/>
          <w:szCs w:val="22"/>
          <w:lang w:val="es-ES"/>
        </w:rPr>
      </w:pPr>
      <w:r w:rsidRPr="00CA4194">
        <w:rPr>
          <w:rFonts w:ascii="Nunito Sans" w:hAnsi="Nunito Sans" w:eastAsia="Arial" w:cs="Calibri"/>
          <w:b/>
          <w:bCs/>
          <w:sz w:val="22"/>
          <w:szCs w:val="22"/>
          <w:lang w:val="es-ES"/>
        </w:rPr>
        <w:t>Chief Information Security Officer (CISO):</w:t>
      </w:r>
      <w:r w:rsidRPr="00CA4194">
        <w:rPr>
          <w:rFonts w:ascii="Nunito Sans" w:hAnsi="Nunito Sans" w:eastAsia="Arial" w:cs="Calibri"/>
          <w:sz w:val="22"/>
          <w:szCs w:val="22"/>
          <w:lang w:val="es-ES"/>
        </w:rPr>
        <w:t xml:space="preserve"> encargado de seguridad y privacidad de la información, cumplimiento ISO 27001, gestión de riesgos y protección del dato.</w:t>
      </w:r>
    </w:p>
    <w:p w:rsidRPr="00CA4194" w:rsidR="005E3BD6" w:rsidRDefault="005E3BD6" w14:paraId="17E95973" w14:textId="77777777">
      <w:pPr>
        <w:pStyle w:val="Prrafodelista"/>
        <w:numPr>
          <w:ilvl w:val="0"/>
          <w:numId w:val="17"/>
        </w:numPr>
        <w:spacing w:before="240" w:after="240" w:line="276" w:lineRule="auto"/>
        <w:ind w:left="720"/>
        <w:jc w:val="both"/>
        <w:rPr>
          <w:rFonts w:ascii="Nunito Sans" w:hAnsi="Nunito Sans" w:eastAsia="Arial" w:cs="Calibri"/>
          <w:sz w:val="22"/>
          <w:szCs w:val="22"/>
          <w:lang w:val="es-ES"/>
        </w:rPr>
      </w:pPr>
      <w:r w:rsidRPr="00CA4194">
        <w:rPr>
          <w:rFonts w:ascii="Nunito Sans" w:hAnsi="Nunito Sans" w:eastAsia="Arial" w:cs="Calibri"/>
          <w:b/>
          <w:bCs/>
          <w:sz w:val="22"/>
          <w:szCs w:val="22"/>
          <w:lang w:val="es-ES"/>
        </w:rPr>
        <w:t>Comité Interinstitucional de Datos:</w:t>
      </w:r>
      <w:r w:rsidRPr="00CA4194">
        <w:rPr>
          <w:rFonts w:ascii="Nunito Sans" w:hAnsi="Nunito Sans" w:eastAsia="Arial" w:cs="Calibri"/>
          <w:sz w:val="22"/>
          <w:szCs w:val="22"/>
          <w:lang w:val="es-ES"/>
        </w:rPr>
        <w:t xml:space="preserve"> integrado por representantes técnicos de cada entidad adscrita, responsables de coordinar la operación del modelo de datos sectorial.</w:t>
      </w:r>
    </w:p>
    <w:p w:rsidRPr="00CA4194" w:rsidR="005E3BD6" w:rsidRDefault="005E3BD6" w14:paraId="6E195C4D" w14:textId="77777777">
      <w:pPr>
        <w:pStyle w:val="Prrafodelista"/>
        <w:numPr>
          <w:ilvl w:val="0"/>
          <w:numId w:val="17"/>
        </w:numPr>
        <w:spacing w:before="240" w:after="240" w:line="276" w:lineRule="auto"/>
        <w:ind w:left="720"/>
        <w:jc w:val="both"/>
        <w:rPr>
          <w:rFonts w:ascii="Nunito Sans" w:hAnsi="Nunito Sans" w:eastAsia="Arial" w:cs="Calibri"/>
          <w:sz w:val="22"/>
          <w:szCs w:val="22"/>
          <w:lang w:val="es-ES"/>
        </w:rPr>
      </w:pPr>
      <w:r w:rsidRPr="00CA4194">
        <w:rPr>
          <w:rFonts w:ascii="Nunito Sans" w:hAnsi="Nunito Sans" w:eastAsia="Arial" w:cs="Calibri"/>
          <w:b/>
          <w:bCs/>
          <w:sz w:val="22"/>
          <w:szCs w:val="22"/>
          <w:lang w:val="es-ES"/>
        </w:rPr>
        <w:t>Secretaría Técnica:</w:t>
      </w:r>
      <w:r w:rsidRPr="00CA4194">
        <w:rPr>
          <w:rFonts w:ascii="Nunito Sans" w:hAnsi="Nunito Sans" w:eastAsia="Arial" w:cs="Calibri"/>
          <w:sz w:val="22"/>
          <w:szCs w:val="22"/>
          <w:lang w:val="es-ES"/>
        </w:rPr>
        <w:t xml:space="preserve"> instancia responsable de articular reuniones, consolidar acuerdos, mantener actualizados catálogos, metadatos, lineamientos y coordinar la ejecución de la hoja de ruta sectorial.</w:t>
      </w:r>
    </w:p>
    <w:p w:rsidR="005E3BD6" w:rsidP="00E61C47" w:rsidRDefault="005E3BD6" w14:paraId="5DF6F9C5" w14:textId="77777777">
      <w:pPr>
        <w:jc w:val="both"/>
        <w:rPr>
          <w:rFonts w:ascii="Nunito Sans" w:hAnsi="Nunito Sans"/>
          <w:sz w:val="22"/>
          <w:szCs w:val="22"/>
          <w:lang w:val="es-ES"/>
        </w:rPr>
      </w:pPr>
      <w:r w:rsidRPr="00E61C47">
        <w:rPr>
          <w:rFonts w:ascii="Nunito Sans" w:hAnsi="Nunito Sans"/>
          <w:sz w:val="22"/>
          <w:szCs w:val="22"/>
          <w:lang w:val="es-ES"/>
        </w:rPr>
        <w:t>Este Comité liderará la definición de estándares comunes, aprobará modelos conceptuales y lógicos, supervisará la calidad del dato, garantizará la interoperabilidad sectorial y velará por el cumplimiento de las políticas de datos en cada entidad.</w:t>
      </w:r>
    </w:p>
    <w:p w:rsidRPr="00E61C47" w:rsidR="00E61C47" w:rsidP="00E61C47" w:rsidRDefault="00E61C47" w14:paraId="59A1CD89" w14:textId="77777777">
      <w:pPr>
        <w:jc w:val="both"/>
        <w:rPr>
          <w:rFonts w:ascii="Nunito Sans" w:hAnsi="Nunito Sans"/>
          <w:sz w:val="22"/>
          <w:szCs w:val="22"/>
          <w:lang w:val="es-ES"/>
        </w:rPr>
      </w:pPr>
    </w:p>
    <w:p w:rsidR="005E3BD6" w:rsidP="00E61C47" w:rsidRDefault="005E3BD6" w14:paraId="66D8E7E2" w14:textId="77777777">
      <w:pPr>
        <w:jc w:val="both"/>
        <w:rPr>
          <w:rFonts w:ascii="Nunito Sans" w:hAnsi="Nunito Sans"/>
          <w:sz w:val="22"/>
          <w:szCs w:val="22"/>
          <w:lang w:val="es-ES"/>
        </w:rPr>
      </w:pPr>
      <w:r w:rsidRPr="00E61C47">
        <w:rPr>
          <w:rFonts w:ascii="Nunito Sans" w:hAnsi="Nunito Sans"/>
          <w:sz w:val="22"/>
          <w:szCs w:val="22"/>
          <w:lang w:val="es-ES"/>
        </w:rPr>
        <w:t>La gobernanza será sostenida mediante procesos institucionalizados, indicadores de cumplimiento, mecanismos de auditoría, herramientas automatizadas de calidad y una arquitectura clara de roles y responsabilidades.</w:t>
      </w:r>
    </w:p>
    <w:p w:rsidRPr="00E61C47" w:rsidR="00E61C47" w:rsidP="00E61C47" w:rsidRDefault="00E61C47" w14:paraId="35DEB860" w14:textId="77777777">
      <w:pPr>
        <w:jc w:val="both"/>
        <w:rPr>
          <w:rFonts w:ascii="Nunito Sans" w:hAnsi="Nunito Sans"/>
          <w:sz w:val="22"/>
          <w:szCs w:val="22"/>
        </w:rPr>
      </w:pPr>
    </w:p>
    <w:p w:rsidRPr="00CA4194" w:rsidR="005E3BD6" w:rsidP="005E3BD6" w:rsidRDefault="005E3BD6" w14:paraId="2A44C9D4" w14:textId="77777777">
      <w:pPr>
        <w:jc w:val="both"/>
        <w:rPr>
          <w:rFonts w:ascii="Nunito Sans" w:hAnsi="Nunito Sans" w:eastAsia="Arial" w:cs="Calibri"/>
          <w:b/>
          <w:bCs/>
          <w:sz w:val="22"/>
          <w:szCs w:val="22"/>
          <w:lang w:val="es-ES"/>
        </w:rPr>
      </w:pPr>
      <w:r w:rsidRPr="00CA4194">
        <w:rPr>
          <w:rFonts w:ascii="Nunito Sans" w:hAnsi="Nunito Sans" w:eastAsia="Arial" w:cs="Calibri"/>
          <w:b/>
          <w:bCs/>
          <w:sz w:val="22"/>
          <w:szCs w:val="22"/>
          <w:lang w:val="es-ES"/>
        </w:rPr>
        <w:t>Datos maestros sectoriales</w:t>
      </w:r>
    </w:p>
    <w:p w:rsidRPr="00CA4194" w:rsidR="005E3BD6" w:rsidP="005E3BD6" w:rsidRDefault="005E3BD6" w14:paraId="2BFFA61B"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la situación objetivo, el sector contará con un Inventario Sectorial unificado de Datos Maestros, constituido por los dominios fundamentales que describen los actores, elementos, procesos y activos estratégicos del sector minero-energético. Este inventario será administrado bajo un modelo estandarizado, compartido y articulado entre el Ministerio de Minas y Energía y las entidades adscritas.</w:t>
      </w:r>
    </w:p>
    <w:p w:rsidRPr="00CA4194" w:rsidR="005E3BD6" w:rsidP="005E3BD6" w:rsidRDefault="005E3BD6" w14:paraId="0994165B" w14:textId="77777777">
      <w:pPr>
        <w:jc w:val="both"/>
        <w:rPr>
          <w:rFonts w:ascii="Nunito Sans" w:hAnsi="Nunito Sans" w:eastAsia="Arial" w:cs="Calibri"/>
          <w:sz w:val="22"/>
          <w:szCs w:val="22"/>
          <w:lang w:val="es-ES"/>
        </w:rPr>
      </w:pPr>
    </w:p>
    <w:p w:rsidRPr="00CA4194" w:rsidR="005E3BD6" w:rsidP="005E3BD6" w:rsidRDefault="005E3BD6" w14:paraId="112A4B8C"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Los Datos Maestros Sectoriales garantizarán consistencia semántica, unicidad, interoperabilidad y trazabilidad en toda la infraestructura de datos, facilitando la integración entre sistemas misionales, plataformas analíticas, servicios geoespaciales, sistemas regulatorios y repositorios estadísticos.</w:t>
      </w:r>
    </w:p>
    <w:p w:rsidRPr="00CA4194" w:rsidR="005E3BD6" w:rsidP="005E3BD6" w:rsidRDefault="005E3BD6" w14:paraId="1EA0ECF6" w14:textId="77777777">
      <w:pPr>
        <w:jc w:val="both"/>
        <w:rPr>
          <w:rFonts w:ascii="Nunito Sans" w:hAnsi="Nunito Sans" w:eastAsia="Arial" w:cs="Calibri"/>
          <w:sz w:val="22"/>
          <w:szCs w:val="22"/>
          <w:lang w:val="es-ES"/>
        </w:rPr>
      </w:pPr>
    </w:p>
    <w:p w:rsidRPr="00CA4194" w:rsidR="005E3BD6" w:rsidP="005E3BD6" w:rsidRDefault="005E3BD6" w14:paraId="1EAF6E90"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Como parte del estado objetivo, se establece que el sector debe mantener actualizado el Catálogo de Componentes de Información, asegurando que los dominios maestros, así como sus definiciones, atributos, responsables, reglas de calidad y estructuras técnicas, reflejen fielmente las necesidades sectoriales, los cambios normativos y la evolución de los sistemas institucionales.</w:t>
      </w:r>
    </w:p>
    <w:p w:rsidRPr="00CA4194" w:rsidR="005E3BD6" w:rsidP="005E3BD6" w:rsidRDefault="005E3BD6" w14:paraId="4B3151F2" w14:textId="77777777">
      <w:pPr>
        <w:jc w:val="both"/>
        <w:rPr>
          <w:rFonts w:ascii="Nunito Sans" w:hAnsi="Nunito Sans" w:eastAsia="Arial" w:cs="Calibri"/>
          <w:sz w:val="22"/>
          <w:szCs w:val="22"/>
          <w:lang w:val="es-ES"/>
        </w:rPr>
      </w:pPr>
      <w:r w:rsidRPr="00CA4194">
        <w:rPr>
          <w:rFonts w:ascii="Nunito Sans" w:hAnsi="Nunito Sans" w:cs="Calibri"/>
          <w:sz w:val="22"/>
          <w:szCs w:val="22"/>
        </w:rPr>
        <w:br/>
      </w:r>
      <w:r w:rsidRPr="00CA4194">
        <w:rPr>
          <w:rFonts w:ascii="Nunito Sans" w:hAnsi="Nunito Sans" w:eastAsia="Arial" w:cs="Calibri"/>
          <w:sz w:val="22"/>
          <w:szCs w:val="22"/>
          <w:lang w:val="es-ES"/>
        </w:rPr>
        <w:t>Este catálogo se convierte en una fuente oficial y autorizada, que servirá como referencia para el diseño de nuevos sistemas, la modernización de plataformas existentes y la interoperabilidad entre entidades.</w:t>
      </w:r>
    </w:p>
    <w:p w:rsidRPr="00CA4194" w:rsidR="005E3BD6" w:rsidP="005E3BD6" w:rsidRDefault="005E3BD6" w14:paraId="3E217D44" w14:textId="77777777">
      <w:pPr>
        <w:jc w:val="both"/>
        <w:rPr>
          <w:rFonts w:ascii="Nunito Sans" w:hAnsi="Nunito Sans" w:eastAsia="Arial" w:cs="Calibri"/>
          <w:b/>
          <w:bCs/>
          <w:sz w:val="22"/>
          <w:szCs w:val="22"/>
          <w:lang w:val="es-ES"/>
        </w:rPr>
      </w:pPr>
    </w:p>
    <w:p w:rsidRPr="007D3407" w:rsidR="005E3BD6" w:rsidP="005E3BD6" w:rsidRDefault="005E3BD6" w14:paraId="25CF7711" w14:textId="77777777">
      <w:pPr>
        <w:jc w:val="both"/>
        <w:rPr>
          <w:rFonts w:ascii="Nunito Sans" w:hAnsi="Nunito Sans" w:cs="Calibri"/>
          <w:sz w:val="22"/>
          <w:szCs w:val="22"/>
        </w:rPr>
      </w:pPr>
      <w:r w:rsidRPr="00CA4194">
        <w:rPr>
          <w:rFonts w:ascii="Nunito Sans" w:hAnsi="Nunito Sans" w:eastAsia="Arial" w:cs="Calibri"/>
          <w:b/>
          <w:bCs/>
          <w:sz w:val="22"/>
          <w:szCs w:val="22"/>
          <w:lang w:val="es-ES"/>
        </w:rPr>
        <w:t>Modelo de datos conceptual y lógico</w:t>
      </w:r>
    </w:p>
    <w:p w:rsidRPr="00CA4194" w:rsidR="005E3BD6" w:rsidP="005E3BD6" w:rsidRDefault="005E3BD6" w14:paraId="23178717"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el TO-BE se establece un modelo conceptual sectorial que define los dominios centrales, sus relaciones y las estructuras fundamentales que deben orientar el diseño de soluciones y sistemas. Dicho modelo se convierte en la columna vertebral para asegurar que los datos del sector se estructuren de manera uniforme y atendiendo a un mismo marco semántico.</w:t>
      </w:r>
    </w:p>
    <w:p w:rsidRPr="00CA4194" w:rsidR="005E3BD6" w:rsidP="005E3BD6" w:rsidRDefault="005E3BD6" w14:paraId="58A654DF" w14:textId="77777777">
      <w:pPr>
        <w:jc w:val="both"/>
        <w:rPr>
          <w:rFonts w:ascii="Nunito Sans" w:hAnsi="Nunito Sans" w:eastAsia="Arial" w:cs="Calibri"/>
          <w:sz w:val="22"/>
          <w:szCs w:val="22"/>
          <w:lang w:val="es-ES"/>
        </w:rPr>
      </w:pPr>
    </w:p>
    <w:p w:rsidRPr="00CA4194" w:rsidR="005E3BD6" w:rsidP="005E3BD6" w:rsidRDefault="005E3BD6" w14:paraId="0012CED9"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El modelo lógico sectorial formaliza las entidades, atributos, asociaciones y reglas de interoperabilidad necesarias para garantizar que los datos viajen entre instituciones de manera coherente y conforme a estándares técnicos. Este modelo establece cómo deben representarse los datos en las diferentes plataformas del sector, definiendo estructuras y formatos comunes para intercambios, almacenamiento, integración y procesamiento.</w:t>
      </w:r>
    </w:p>
    <w:p w:rsidRPr="00CA4194" w:rsidR="005E3BD6" w:rsidP="005E3BD6" w:rsidRDefault="005E3BD6" w14:paraId="6C961A85" w14:textId="77777777">
      <w:pPr>
        <w:jc w:val="both"/>
        <w:rPr>
          <w:rFonts w:ascii="Nunito Sans" w:hAnsi="Nunito Sans" w:eastAsia="Arial" w:cs="Calibri"/>
          <w:sz w:val="22"/>
          <w:szCs w:val="22"/>
          <w:lang w:val="es-ES"/>
        </w:rPr>
      </w:pPr>
    </w:p>
    <w:p w:rsidRPr="00CA4194" w:rsidR="005E3BD6" w:rsidP="005E3BD6" w:rsidRDefault="005E3BD6" w14:paraId="5584494B"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Ambos modelos, conceptual y lógico, serán el punto de referencia para el diseño físico de las bases de datos institucionales, asegurando trazabilidad hacia los dominios sectoriales definidos y permitiendo la integración fluida entre sistemas misionales, plataformas de interoperabilidad y repositorios analíticos.</w:t>
      </w:r>
    </w:p>
    <w:p w:rsidRPr="00CA4194" w:rsidR="005E3BD6" w:rsidP="005E3BD6" w:rsidRDefault="005E3BD6" w14:paraId="4EFC95CA" w14:textId="77777777">
      <w:pPr>
        <w:jc w:val="both"/>
        <w:rPr>
          <w:rFonts w:ascii="Nunito Sans" w:hAnsi="Nunito Sans" w:eastAsia="Arial" w:cs="Calibri"/>
          <w:b/>
          <w:bCs/>
          <w:sz w:val="22"/>
          <w:szCs w:val="22"/>
          <w:lang w:val="es-ES"/>
        </w:rPr>
      </w:pPr>
    </w:p>
    <w:p w:rsidRPr="00CA4194" w:rsidR="005E3BD6" w:rsidP="005E3BD6" w:rsidRDefault="005E3BD6" w14:paraId="4B0B5487" w14:textId="77777777">
      <w:pPr>
        <w:jc w:val="both"/>
        <w:rPr>
          <w:rFonts w:ascii="Nunito Sans" w:hAnsi="Nunito Sans" w:eastAsia="Arial" w:cs="Calibri"/>
          <w:b/>
          <w:bCs/>
          <w:sz w:val="22"/>
          <w:szCs w:val="22"/>
          <w:lang w:val="es-ES"/>
        </w:rPr>
      </w:pPr>
      <w:r w:rsidRPr="00CA4194">
        <w:rPr>
          <w:rFonts w:ascii="Nunito Sans" w:hAnsi="Nunito Sans" w:eastAsia="Arial" w:cs="Calibri"/>
          <w:b/>
          <w:bCs/>
          <w:sz w:val="22"/>
          <w:szCs w:val="22"/>
          <w:lang w:val="es-ES"/>
        </w:rPr>
        <w:t>Visión de gobernanza de datos</w:t>
      </w:r>
    </w:p>
    <w:p w:rsidRPr="00CA4194" w:rsidR="005E3BD6" w:rsidP="005E3BD6" w:rsidRDefault="005E3BD6" w14:paraId="0CB69956" w14:textId="77777777">
      <w:pPr>
        <w:spacing w:after="160" w:line="276" w:lineRule="auto"/>
        <w:jc w:val="both"/>
        <w:rPr>
          <w:rFonts w:ascii="Nunito Sans" w:hAnsi="Nunito Sans" w:eastAsia="Arial" w:cs="Calibri"/>
          <w:sz w:val="22"/>
          <w:szCs w:val="22"/>
          <w:lang w:val="es"/>
        </w:rPr>
      </w:pPr>
      <w:r w:rsidRPr="00CA4194">
        <w:rPr>
          <w:rFonts w:ascii="Nunito Sans" w:hAnsi="Nunito Sans" w:eastAsia="Arial" w:cs="Calibri"/>
          <w:sz w:val="22"/>
          <w:szCs w:val="22"/>
          <w:lang w:val="es"/>
        </w:rPr>
        <w:t>La arquitectura de datos e Información sectorial busca consolidar un ecosistema interoperable, seguro y analítico, alineado con el Plan Nacional de Infraestructura de Datos (PNID), el CONPES 4144 de 2025 que se adopta como marco sectorial.</w:t>
      </w:r>
      <w:r w:rsidRPr="00CA4194">
        <w:rPr>
          <w:rFonts w:ascii="Nunito Sans" w:hAnsi="Nunito Sans" w:eastAsia="Arial" w:cs="Calibri"/>
          <w:sz w:val="22"/>
          <w:szCs w:val="22"/>
          <w:lang w:val="es-ES"/>
        </w:rPr>
        <w:t xml:space="preserve"> </w:t>
      </w:r>
      <w:r w:rsidRPr="00CA4194">
        <w:rPr>
          <w:rFonts w:ascii="Nunito Sans" w:hAnsi="Nunito Sans" w:eastAsia="Arial" w:cs="Calibri"/>
          <w:sz w:val="22"/>
          <w:szCs w:val="22"/>
          <w:lang w:val="es"/>
        </w:rPr>
        <w:t xml:space="preserve"> </w:t>
      </w:r>
    </w:p>
    <w:p w:rsidRPr="00CA4194" w:rsidR="005E3BD6" w:rsidP="005E3BD6" w:rsidRDefault="005E3BD6" w14:paraId="542526FF"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Esta arquitectura define cómo las entidades del sector minero-energético deben estructurar, integrar, gobernar y aprovechar los datos, garantizando consistencia semántica, trazabilidad y calidad en el ciclo de vida de la información, desde su captura hasta su exposición analítica.</w:t>
      </w:r>
    </w:p>
    <w:p w:rsidRPr="00CA4194" w:rsidR="005E3BD6" w:rsidP="005E3BD6" w:rsidRDefault="1F325162" w14:paraId="3055EBAA" w14:textId="14B02A45">
      <w:pPr>
        <w:jc w:val="both"/>
        <w:rPr>
          <w:rFonts w:ascii="Nunito Sans" w:hAnsi="Nunito Sans" w:cs="Calibri"/>
          <w:sz w:val="22"/>
          <w:szCs w:val="22"/>
        </w:rPr>
      </w:pPr>
      <w:r w:rsidRPr="4E60D266">
        <w:rPr>
          <w:rFonts w:ascii="Nunito Sans" w:hAnsi="Nunito Sans" w:eastAsia="Arial" w:cs="Calibri"/>
          <w:sz w:val="22"/>
          <w:szCs w:val="22"/>
          <w:lang w:val="es-ES"/>
        </w:rPr>
        <w:t>Los principios rectores del estado objetivo se fundamentan en un esquema de gobernanza federada en el que cada entidad conserva la responsabilidad sobre sus datos misionales, dentro de un marco común coordinado por el Grupo TIC del Ministerio de Minas y Energía. La arquitectura sectorial garantiza interoperabilidad técnica y semántica basada en estándares nacionales e internacionales, asegurando que los datos puedan ser compartidos, integrados y reutilizados sin pérdida de consistencia. La gestión del ciclo de vida de los datos abarca actividades de captura, almacenamiento, procesamiento, análisis, exposición y eliminación, conforme a políticas institucionales y sectoriales. Finalmente, el modelo sectorial promueve el valor del dato como un activo estratégico, impulsando la analítica avanzada, la inteligencia artificial y la toma de decisiones basadas en evidencia para mejorar la eficiencia, la supervisión y la planeación del sector minero-energético.</w:t>
      </w:r>
    </w:p>
    <w:p w:rsidRPr="00CA4194" w:rsidR="005E3BD6" w:rsidP="005E3BD6" w:rsidRDefault="005E3BD6" w14:paraId="6B3EA93A" w14:textId="77777777">
      <w:pPr>
        <w:jc w:val="both"/>
        <w:rPr>
          <w:rFonts w:ascii="Nunito Sans" w:hAnsi="Nunito Sans" w:eastAsia="Arial" w:cs="Calibri"/>
          <w:b/>
          <w:bCs/>
          <w:sz w:val="22"/>
          <w:szCs w:val="22"/>
          <w:lang w:val="es-ES"/>
        </w:rPr>
      </w:pPr>
    </w:p>
    <w:p w:rsidRPr="00CA4194" w:rsidR="005E3BD6" w:rsidP="005E3BD6" w:rsidRDefault="005E3BD6" w14:paraId="5DEF196B" w14:textId="77777777">
      <w:pPr>
        <w:jc w:val="both"/>
        <w:rPr>
          <w:rFonts w:ascii="Nunito Sans" w:hAnsi="Nunito Sans" w:eastAsia="Arial" w:cs="Calibri"/>
          <w:b/>
          <w:bCs/>
          <w:sz w:val="22"/>
          <w:szCs w:val="22"/>
          <w:lang w:val="es-ES"/>
        </w:rPr>
      </w:pPr>
      <w:r w:rsidRPr="00CA4194">
        <w:rPr>
          <w:rFonts w:ascii="Nunito Sans" w:hAnsi="Nunito Sans" w:eastAsia="Arial" w:cs="Calibri"/>
          <w:b/>
          <w:bCs/>
          <w:sz w:val="22"/>
          <w:szCs w:val="22"/>
          <w:lang w:val="es-ES"/>
        </w:rPr>
        <w:t>Arquitectura analítica y data lakes.</w:t>
      </w:r>
    </w:p>
    <w:p w:rsidRPr="00CA4194" w:rsidR="005E3BD6" w:rsidP="005E3BD6" w:rsidRDefault="005E3BD6" w14:paraId="38AF07BF"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lastRenderedPageBreak/>
        <w:t>La arquitectura analítica del estado objetivo se fundamenta en un modelo sectorial basado en la integración progresiva de capacidades analíticas avanzadas y un entorno unificado que permita consolidar, procesar y explotar la información proveniente de las entidades del sector minero-energético. Esta arquitectura se sustenta en una estrategia de lago de datos sectorial que habilita la ingesta, almacenamiento y procesamiento de grandes volúmenes de información en múltiples formatos, incluyendo datos operacionales, estadísticos, geoespaciales, transaccionales y no estructurados. El Data Lake sectorial funcionará como un repositorio flexible y escalable que centraliza la información bruta, asegurando que pueda ser consumida por diversas capas analíticas, modelos predictivos y procesos de inteligencia institucional.</w:t>
      </w:r>
    </w:p>
    <w:p w:rsidRPr="00CA4194" w:rsidR="005E3BD6" w:rsidP="005E3BD6" w:rsidRDefault="005E3BD6" w14:paraId="2DC8F71D" w14:textId="77777777">
      <w:pPr>
        <w:jc w:val="both"/>
        <w:rPr>
          <w:rFonts w:ascii="Nunito Sans" w:hAnsi="Nunito Sans" w:eastAsia="Arial" w:cs="Calibri"/>
          <w:sz w:val="22"/>
          <w:szCs w:val="22"/>
          <w:lang w:val="es-ES"/>
        </w:rPr>
      </w:pPr>
    </w:p>
    <w:p w:rsidRPr="00CA4194" w:rsidR="005E3BD6" w:rsidP="005E3BD6" w:rsidRDefault="005E3BD6" w14:paraId="11BCED61"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Sobre esta base se dispondrá una capa de procesamiento estructurada que transforma y organiza los datos para su uso analítico mediante bodegas de datos sectoriales y data marts temáticos. Estos componentes permitirán el análisis histórico, el seguimiento de indicadores estratégicos, la construcción de tableros de control y la generación de insumos para la planeación energética, minera y de hidrocarburos. La arquitectura analítica facilitará la interoperabilidad con sistemas misionales y plataformas institucionales mediante pipelines automatizados de integración, asegurando la coherencia entre los datos operacionales y las capas de explotación analítica.</w:t>
      </w:r>
    </w:p>
    <w:p w:rsidRPr="00CA4194" w:rsidR="005E3BD6" w:rsidP="005E3BD6" w:rsidRDefault="005E3BD6" w14:paraId="17EB4D8D" w14:textId="77777777">
      <w:pPr>
        <w:jc w:val="both"/>
        <w:rPr>
          <w:rFonts w:ascii="Nunito Sans" w:hAnsi="Nunito Sans" w:eastAsia="Arial" w:cs="Calibri"/>
          <w:sz w:val="22"/>
          <w:szCs w:val="22"/>
          <w:lang w:val="es-ES"/>
        </w:rPr>
      </w:pPr>
    </w:p>
    <w:p w:rsidRPr="00CA4194" w:rsidR="005E3BD6" w:rsidP="005E3BD6" w:rsidRDefault="005E3BD6" w14:paraId="390ACD40"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El enfoque se complementa con servicios de analítica avanzada, inteligencia artificial y modelamiento predictivo que operarán sobre información confiable y estandarizada, permitiendo anticipar escenarios, optimizar procesos y apoyar la toma de decisiones sectoriales. Todo el ecosistema se articulará con políticas de seguridad, calidad de la información y gobierno del dato, garantizando trazabilidad, control de acceso, integridad y cumplimiento de estándares. En su conjunto, la arquitectura analítica y los Lagos de Datos del sector consolidan la base tecnológica que permitirá evolucionar hacia un entorno más inteligente, interoperable y orientado al valor del dato como activo estratégico.</w:t>
      </w:r>
    </w:p>
    <w:p w:rsidRPr="00CA4194" w:rsidR="005E3BD6" w:rsidP="005E3BD6" w:rsidRDefault="005E3BD6" w14:paraId="6E70DE79" w14:textId="77777777">
      <w:pPr>
        <w:jc w:val="both"/>
        <w:rPr>
          <w:rFonts w:ascii="Nunito Sans" w:hAnsi="Nunito Sans" w:eastAsia="Arial" w:cs="Calibri"/>
          <w:b/>
          <w:bCs/>
          <w:sz w:val="22"/>
          <w:szCs w:val="22"/>
          <w:lang w:val="es-ES"/>
        </w:rPr>
      </w:pPr>
    </w:p>
    <w:p w:rsidRPr="00CA4194" w:rsidR="005E3BD6" w:rsidP="005E3BD6" w:rsidRDefault="005E3BD6" w14:paraId="7B13BA12" w14:textId="77777777">
      <w:pPr>
        <w:spacing w:before="240"/>
        <w:jc w:val="both"/>
        <w:rPr>
          <w:rFonts w:ascii="Nunito Sans" w:hAnsi="Nunito Sans" w:eastAsia="Arial" w:cs="Calibri"/>
          <w:b/>
          <w:bCs/>
          <w:sz w:val="22"/>
          <w:szCs w:val="22"/>
          <w:lang w:val="es-ES"/>
        </w:rPr>
      </w:pPr>
      <w:r w:rsidRPr="00CA4194">
        <w:rPr>
          <w:rFonts w:ascii="Nunito Sans" w:hAnsi="Nunito Sans" w:eastAsia="Arial" w:cs="Calibri"/>
          <w:b/>
          <w:bCs/>
          <w:sz w:val="22"/>
          <w:szCs w:val="22"/>
          <w:lang w:val="es-ES"/>
        </w:rPr>
        <w:t>Estrategia de datos operacionales</w:t>
      </w:r>
    </w:p>
    <w:p w:rsidRPr="00CA4194" w:rsidR="005E3BD6" w:rsidP="005E3BD6" w:rsidRDefault="005E3BD6" w14:paraId="3ED636F4" w14:textId="77777777">
      <w:pPr>
        <w:jc w:val="both"/>
        <w:rPr>
          <w:rFonts w:ascii="Nunito Sans" w:hAnsi="Nunito Sans" w:eastAsia="Arial" w:cs="Calibri"/>
          <w:b/>
          <w:bCs/>
          <w:sz w:val="22"/>
          <w:szCs w:val="22"/>
          <w:lang w:val="es-ES"/>
        </w:rPr>
      </w:pPr>
      <w:r w:rsidRPr="00CA4194">
        <w:rPr>
          <w:rFonts w:ascii="Nunito Sans" w:hAnsi="Nunito Sans" w:eastAsia="Arial" w:cs="Calibri"/>
          <w:sz w:val="22"/>
          <w:szCs w:val="22"/>
          <w:lang w:val="es-ES"/>
        </w:rPr>
        <w:t>La estrategia de datos operacionales del sector minero-energético plantea un modelo en el que la información generada por los sistemas misionales, plataformas regulatorias, infraestructuras energéticas, trámites sectoriales y dispositivos de monitoreo fluye de manera continua, estandarizada y trazable hacia los ambientes sectoriales de integración y analítica. En el estado objetivo, los datos operacionales dejan de estar aislados en repositorios independientes por entidad y pasan a formar parte de un ecosistema articulado mediante interfaces interoperables, procesos de ingesta automatizados y mecanismos de control que aseguran calidad, oportunidad y consistencia.</w:t>
      </w:r>
    </w:p>
    <w:p w:rsidRPr="00CA4194" w:rsidR="005E3BD6" w:rsidP="005E3BD6" w:rsidRDefault="005E3BD6" w14:paraId="3B071691"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ES"/>
        </w:rPr>
        <w:t xml:space="preserve">Los sistemas transaccionales y de registro se integran bajo un marco común que define lineamientos para la captura, actualización y almacenamiento de datos operativos, con el fin de reducir cargas manuales, eliminar duplicidades y garantizar que la información crítica del sector esté disponible de forma sincronizada. Esta estrategia se soporta en el uso de APIs </w:t>
      </w:r>
      <w:r w:rsidRPr="00CA4194">
        <w:rPr>
          <w:rFonts w:ascii="Nunito Sans" w:hAnsi="Nunito Sans" w:eastAsia="Arial" w:cs="Calibri"/>
          <w:sz w:val="22"/>
          <w:szCs w:val="22"/>
          <w:lang w:val="es-ES"/>
        </w:rPr>
        <w:lastRenderedPageBreak/>
        <w:t>estandarizadas, conectores seguros, buses de datos sectoriales y pipelines ETL/ELT que permiten trasladar la información desde las fuentes operativas hacia los repositorios analíticos y los Data Lakes sectoriales.</w:t>
      </w:r>
    </w:p>
    <w:p w:rsidRPr="00CA4194" w:rsidR="005E3BD6" w:rsidP="005E3BD6" w:rsidRDefault="005E3BD6" w14:paraId="19F9900B"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ES"/>
        </w:rPr>
        <w:t>En el estado futuro, la integración de datos operacionales se realiza de forma incremental y con validaciones automáticas que garantizan integridad, precisión y trazabilidad desde el momento de su captura. Se establece un mecanismo de monitoreo continuo sobre la disponibilidad, el rendimiento y la calidad de los flujos operativos, permitiendo identificar fallas, inconsistencias o retrasos en los procesos de integración. Este enfoque asegura que la información que alimenta los tableros, las analíticas avanzadas, los modelos predictivos y los reportes sectoriales sea confiable, completa y actualizada.</w:t>
      </w:r>
    </w:p>
    <w:p w:rsidRPr="00CA4194" w:rsidR="005E3BD6" w:rsidP="005E3BD6" w:rsidRDefault="005E3BD6" w14:paraId="1617C7E5"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ES"/>
        </w:rPr>
        <w:t>La estrategia incluye una orientación clara hacia la interoperabilidad sectorial, entendida como la capacidad de los sistemas de cada entidad para intercambiar información mediante estructuras semánticas y técnicas compatibles, apoyadas en estándares nacionales e internacionales. Asimismo, incorpora mecanismos de seguridad y privacidad desde el diseño, garantizando que los datos operacionales se gestionen de manera adecuada, evitando accesos no autorizados y cumpliendo con las políticas sectoriales y normativas vigentes.</w:t>
      </w:r>
    </w:p>
    <w:p w:rsidRPr="00CA4194" w:rsidR="005E3BD6" w:rsidP="005E3BD6" w:rsidRDefault="005E3BD6" w14:paraId="295C6420"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ES"/>
        </w:rPr>
        <w:t>El objetivo final de esta estrategia es establecer un flujo operacional que soporte la toma de decisiones basada en datos, la supervisión en tiempo real de las actividades del sector, la modernización de los procesos institucionales y la consolidación de un ecosistema digital robusto que fortalezca la gestión del recurso minero-energético. En este contexto, los datos operacionales se convierten en un insumo esencial para la analítica sectorial, la innovación, la eficiencia institucional y la generación de valor público.</w:t>
      </w:r>
    </w:p>
    <w:p w:rsidRPr="00CA4194" w:rsidR="005E3BD6" w:rsidP="005E3BD6" w:rsidRDefault="005E3BD6" w14:paraId="5879E17C" w14:textId="77777777">
      <w:pPr>
        <w:jc w:val="both"/>
        <w:rPr>
          <w:rFonts w:ascii="Nunito Sans" w:hAnsi="Nunito Sans" w:eastAsia="Arial" w:cs="Calibri"/>
          <w:b/>
          <w:bCs/>
          <w:sz w:val="22"/>
          <w:szCs w:val="22"/>
          <w:lang w:val="es-ES"/>
        </w:rPr>
      </w:pPr>
      <w:r w:rsidRPr="00CA4194">
        <w:rPr>
          <w:rFonts w:ascii="Nunito Sans" w:hAnsi="Nunito Sans" w:eastAsia="Arial" w:cs="Calibri"/>
          <w:b/>
          <w:bCs/>
          <w:sz w:val="22"/>
          <w:szCs w:val="22"/>
          <w:lang w:val="es-ES"/>
        </w:rPr>
        <w:t>Visión sectorial de estrategia de información</w:t>
      </w:r>
    </w:p>
    <w:p w:rsidRPr="00CA4194" w:rsidR="005E3BD6" w:rsidP="005E3BD6" w:rsidRDefault="005E3BD6" w14:paraId="56CC4549"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La visión sectorial de estrategia de información establece un modelo integral en el que los datos se gestionan como un activo estratégico para la toma de decisiones, soportado en lineamientos técnicos, normativos y operativos que garantizan su calidad, seguridad, disponibilidad y valor para el sector minero-energético. Esta visión articula la arquitectura de datos con políticas y marcos regulatorios nacionales, de manera que cada dimensión de la gestión de la información tenga un soporte normativo claro y coherente con las exigencias del Estado.</w:t>
      </w:r>
    </w:p>
    <w:p w:rsidRPr="00CA4194" w:rsidR="005E3BD6" w:rsidP="005E3BD6" w:rsidRDefault="005E3BD6" w14:paraId="758AE94B" w14:textId="77777777">
      <w:pPr>
        <w:jc w:val="both"/>
        <w:rPr>
          <w:rFonts w:ascii="Nunito Sans" w:hAnsi="Nunito Sans" w:eastAsia="Arial" w:cs="Calibri"/>
          <w:sz w:val="22"/>
          <w:szCs w:val="22"/>
          <w:lang w:val="es-ES"/>
        </w:rPr>
      </w:pPr>
    </w:p>
    <w:p w:rsidRPr="00CA4194" w:rsidR="005E3BD6" w:rsidP="005E3BD6" w:rsidRDefault="1F325162" w14:paraId="6D24D209" w14:textId="2BEA1FF0">
      <w:pPr>
        <w:jc w:val="both"/>
        <w:rPr>
          <w:rFonts w:ascii="Nunito Sans" w:hAnsi="Nunito Sans" w:eastAsia="Arial" w:cs="Calibri"/>
          <w:sz w:val="22"/>
          <w:szCs w:val="22"/>
          <w:lang w:val="es-ES"/>
        </w:rPr>
      </w:pPr>
      <w:r w:rsidRPr="4E60D266">
        <w:rPr>
          <w:rFonts w:ascii="Nunito Sans" w:hAnsi="Nunito Sans" w:eastAsia="Arial" w:cs="Calibri"/>
          <w:sz w:val="22"/>
          <w:szCs w:val="22"/>
          <w:lang w:val="es-ES"/>
        </w:rPr>
        <w:t xml:space="preserve">La dimensión de calidad de la información se orienta por los lineamientos del Modelo de Calidad de Datos del Estado, los estándares de calidad del DANE y los principios de la norma ISO/IEC 25012, asegurando que los datos sean íntegros, completos, oportunos, consistentes y confiables. En materia de seguridad y privacidad, la visión sectorial se fundamenta en el Modelo de Seguridad y Privacidad de la Información </w:t>
      </w:r>
      <w:r w:rsidRPr="4E60D266" w:rsidR="79874ADA">
        <w:rPr>
          <w:rFonts w:ascii="Nunito Sans" w:hAnsi="Nunito Sans" w:eastAsia="Arial" w:cs="Calibri"/>
          <w:sz w:val="22"/>
          <w:szCs w:val="22"/>
          <w:lang w:val="es-ES"/>
        </w:rPr>
        <w:t>- MSPI</w:t>
      </w:r>
      <w:r w:rsidRPr="4E60D266">
        <w:rPr>
          <w:rFonts w:ascii="Nunito Sans" w:hAnsi="Nunito Sans" w:eastAsia="Arial" w:cs="Calibri"/>
          <w:sz w:val="22"/>
          <w:szCs w:val="22"/>
          <w:lang w:val="es-ES"/>
        </w:rPr>
        <w:t xml:space="preserve">, en la Ley 1581 de protección de datos personales, y en los </w:t>
      </w:r>
      <w:r w:rsidRPr="4E60D266" w:rsidR="6E350541">
        <w:rPr>
          <w:rFonts w:ascii="Nunito Sans" w:hAnsi="Nunito Sans" w:eastAsia="Arial" w:cs="Calibri"/>
          <w:sz w:val="22"/>
          <w:szCs w:val="22"/>
          <w:lang w:val="es-ES"/>
        </w:rPr>
        <w:t xml:space="preserve">lineamientos del MSPI </w:t>
      </w:r>
      <w:r w:rsidRPr="4E60D266">
        <w:rPr>
          <w:rFonts w:ascii="Nunito Sans" w:hAnsi="Nunito Sans" w:eastAsia="Arial" w:cs="Calibri"/>
          <w:sz w:val="22"/>
          <w:szCs w:val="22"/>
          <w:lang w:val="es-ES"/>
        </w:rPr>
        <w:t xml:space="preserve">para la gestión de riesgos, controles, clasificación y protección de la información. La apertura e intercambio de datos se rige por los lineamientos del Ecosistema Nacional de Datos, la Política de Datos Abiertos, el Decreto 1008 de interoperabilidad y el Modelo </w:t>
      </w:r>
      <w:r w:rsidRPr="4E60D266">
        <w:rPr>
          <w:rFonts w:ascii="Nunito Sans" w:hAnsi="Nunito Sans" w:eastAsia="Arial" w:cs="Calibri"/>
          <w:sz w:val="22"/>
          <w:szCs w:val="22"/>
          <w:lang w:val="es-ES"/>
        </w:rPr>
        <w:lastRenderedPageBreak/>
        <w:t>de Interoperabilidad del Estado, garantizando que el intercambio técnico y semántico entre entidades sea seguro, estandarizado y orientado al uso social del dato. La gestión documental y normativa se articula con el Archivo General de la Nación y el Modelo Integrado de Planeación y Gestión, asegurando trazabilidad y conservación de la información. Finalmente, la explotación analítica y el uso de inteligencia artificial se fundamentan en la Política de IA del país, el Marco Ético de IA y los lineamientos del PNID, promoviendo prácticas responsables, transparentes y de valor público.</w:t>
      </w:r>
    </w:p>
    <w:p w:rsidRPr="00CA4194" w:rsidR="005E3BD6" w:rsidP="005E3BD6" w:rsidRDefault="005E3BD6" w14:paraId="389AA3C6" w14:textId="77777777">
      <w:pPr>
        <w:jc w:val="both"/>
        <w:rPr>
          <w:rFonts w:ascii="Nunito Sans" w:hAnsi="Nunito Sans" w:eastAsia="Arial" w:cs="Calibri"/>
          <w:sz w:val="22"/>
          <w:szCs w:val="22"/>
          <w:lang w:val="es-ES"/>
        </w:rPr>
      </w:pPr>
    </w:p>
    <w:p w:rsidRPr="00DA4823" w:rsidR="005E3BD6" w:rsidP="005E3BD6" w:rsidRDefault="005E3BD6" w14:paraId="1F89AA30" w14:textId="77777777">
      <w:pPr>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conjunto, esta visión sectorial establece que la gestión de la información debe responder a los principios del Gobierno Digital, promover el uso eficiente y responsable de los datos, fortalecer la interoperabilidad entre entidades y habilitar capacidades avanzadas de análisis para apoyar la planeación, fiscalización, regulación y supervisión del sector minero-energético. El sector avanza así hacia un ecosistema de información robusto, gobernado y seguro, capaz de soportar decisiones basadas en evidencia y de contribuir al desarrollo sostenible y estratégico del país.</w:t>
      </w:r>
    </w:p>
    <w:p w:rsidRPr="00CA4194" w:rsidR="005E3BD6" w:rsidP="005E3BD6" w:rsidRDefault="005E3BD6" w14:paraId="7F52C34F" w14:textId="77777777">
      <w:pPr>
        <w:jc w:val="both"/>
        <w:rPr>
          <w:rFonts w:ascii="Nunito Sans" w:hAnsi="Nunito Sans" w:eastAsia="Arial" w:cs="Calibri"/>
          <w:b/>
          <w:bCs/>
          <w:sz w:val="22"/>
          <w:szCs w:val="22"/>
          <w:lang w:val="es-ES"/>
        </w:rPr>
      </w:pPr>
    </w:p>
    <w:p w:rsidRPr="00CA4194" w:rsidR="005E3BD6" w:rsidP="005E3BD6" w:rsidRDefault="005E3BD6" w14:paraId="251B9FAB" w14:textId="77777777">
      <w:pPr>
        <w:jc w:val="both"/>
        <w:rPr>
          <w:rFonts w:ascii="Nunito Sans" w:hAnsi="Nunito Sans" w:cs="Calibri"/>
          <w:sz w:val="22"/>
          <w:szCs w:val="22"/>
        </w:rPr>
      </w:pPr>
      <w:r w:rsidRPr="00CA4194">
        <w:rPr>
          <w:rFonts w:ascii="Nunito Sans" w:hAnsi="Nunito Sans" w:eastAsia="Arial" w:cs="Calibri"/>
          <w:b/>
          <w:bCs/>
          <w:sz w:val="22"/>
          <w:szCs w:val="22"/>
          <w:lang w:val="es-ES"/>
        </w:rPr>
        <w:t>Modelo de arquitectura de referencia de datos del sector</w:t>
      </w:r>
    </w:p>
    <w:p w:rsidRPr="000B2AF2" w:rsidR="005E3BD6" w:rsidP="000B2AF2" w:rsidRDefault="005E3BD6" w14:paraId="274A6C5F" w14:textId="6BB864F5">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La figura siguiente representa el flujo completo de gobernanza, integración y explotación de datos en el sector:</w:t>
      </w:r>
    </w:p>
    <w:p w:rsidRPr="00813EA5" w:rsidR="005E3BD6" w:rsidP="00813EA5" w:rsidRDefault="00813EA5" w14:paraId="6D2C3DAB" w14:textId="4E9FFC6F">
      <w:pPr>
        <w:pStyle w:val="Descripcin"/>
        <w:keepNext/>
        <w:jc w:val="center"/>
        <w:rPr>
          <w:rStyle w:val="normaltextrun"/>
          <w:rFonts w:ascii="Nunito Sans" w:hAnsi="Nunito Sans"/>
          <w:b/>
          <w:bCs/>
          <w:color w:val="212745"/>
          <w:shd w:val="clear" w:color="auto" w:fill="FFFFFF"/>
        </w:rPr>
      </w:pPr>
      <w:bookmarkStart w:name="_Toc220664389" w:id="407"/>
      <w:r w:rsidRPr="00813EA5">
        <w:rPr>
          <w:rStyle w:val="normaltextrun"/>
          <w:rFonts w:ascii="Nunito Sans" w:hAnsi="Nunito Sans"/>
          <w:b/>
          <w:bCs/>
          <w:color w:val="212745"/>
          <w:shd w:val="clear" w:color="auto" w:fill="FFFFFF"/>
        </w:rPr>
        <w:t xml:space="preserve">Ilustración </w:t>
      </w:r>
      <w:r w:rsidRPr="00813EA5">
        <w:rPr>
          <w:rStyle w:val="normaltextrun"/>
          <w:rFonts w:ascii="Nunito Sans" w:hAnsi="Nunito Sans"/>
          <w:b/>
          <w:bCs/>
          <w:color w:val="212745"/>
          <w:shd w:val="clear" w:color="auto" w:fill="FFFFFF"/>
        </w:rPr>
        <w:fldChar w:fldCharType="begin"/>
      </w:r>
      <w:r w:rsidRPr="00813EA5">
        <w:rPr>
          <w:rStyle w:val="normaltextrun"/>
          <w:rFonts w:ascii="Nunito Sans" w:hAnsi="Nunito Sans"/>
          <w:b/>
          <w:bCs/>
          <w:color w:val="212745"/>
          <w:shd w:val="clear" w:color="auto" w:fill="FFFFFF"/>
        </w:rPr>
        <w:instrText xml:space="preserve"> SEQ Ilustración \* ARABIC </w:instrText>
      </w:r>
      <w:r w:rsidRPr="00813EA5">
        <w:rPr>
          <w:rStyle w:val="normaltextrun"/>
          <w:rFonts w:ascii="Nunito Sans" w:hAnsi="Nunito Sans"/>
          <w:b/>
          <w:bCs/>
          <w:color w:val="212745"/>
          <w:shd w:val="clear" w:color="auto" w:fill="FFFFFF"/>
        </w:rPr>
        <w:fldChar w:fldCharType="separate"/>
      </w:r>
      <w:r w:rsidR="00C57F7B">
        <w:rPr>
          <w:rStyle w:val="normaltextrun"/>
          <w:rFonts w:ascii="Nunito Sans" w:hAnsi="Nunito Sans"/>
          <w:b/>
          <w:bCs/>
          <w:noProof/>
          <w:color w:val="212745"/>
          <w:shd w:val="clear" w:color="auto" w:fill="FFFFFF"/>
        </w:rPr>
        <w:t>5</w:t>
      </w:r>
      <w:r w:rsidRPr="00813EA5">
        <w:rPr>
          <w:rStyle w:val="normaltextrun"/>
          <w:rFonts w:ascii="Nunito Sans" w:hAnsi="Nunito Sans"/>
          <w:b/>
          <w:bCs/>
          <w:color w:val="212745"/>
          <w:shd w:val="clear" w:color="auto" w:fill="FFFFFF"/>
        </w:rPr>
        <w:fldChar w:fldCharType="end"/>
      </w:r>
      <w:r w:rsidRPr="00813EA5" w:rsidR="005E3BD6">
        <w:rPr>
          <w:rStyle w:val="normaltextrun"/>
          <w:rFonts w:ascii="Nunito Sans" w:hAnsi="Nunito Sans"/>
          <w:b/>
          <w:bCs/>
          <w:color w:val="212745"/>
          <w:shd w:val="clear" w:color="auto" w:fill="FFFFFF"/>
        </w:rPr>
        <w:t xml:space="preserve">: </w:t>
      </w:r>
      <w:r w:rsidR="005E3BD6">
        <w:rPr>
          <w:rStyle w:val="normaltextrun"/>
          <w:rFonts w:ascii="Nunito Sans" w:hAnsi="Nunito Sans"/>
          <w:b/>
          <w:bCs/>
          <w:color w:val="212745"/>
          <w:shd w:val="clear" w:color="auto" w:fill="FFFFFF"/>
        </w:rPr>
        <w:t>Arquitectura de Referencia de Datos</w:t>
      </w:r>
      <w:bookmarkEnd w:id="407"/>
    </w:p>
    <w:p w:rsidRPr="00CA4194" w:rsidR="005E3BD6" w:rsidP="005E3BD6" w:rsidRDefault="005E3BD6" w14:paraId="5546BC0F" w14:textId="77777777">
      <w:pPr>
        <w:jc w:val="center"/>
        <w:rPr>
          <w:rFonts w:ascii="Nunito Sans" w:hAnsi="Nunito Sans" w:cs="Calibri"/>
          <w:sz w:val="22"/>
          <w:szCs w:val="22"/>
        </w:rPr>
      </w:pPr>
      <w:r w:rsidRPr="00CA4194">
        <w:rPr>
          <w:rFonts w:ascii="Nunito Sans" w:hAnsi="Nunito Sans" w:cs="Calibri"/>
          <w:noProof/>
          <w:sz w:val="22"/>
          <w:szCs w:val="22"/>
        </w:rPr>
        <w:drawing>
          <wp:inline distT="0" distB="0" distL="0" distR="0" wp14:anchorId="795B85C9" wp14:editId="47286309">
            <wp:extent cx="5346021" cy="3564014"/>
            <wp:effectExtent l="0" t="0" r="1270" b="5080"/>
            <wp:docPr id="59398046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80462" name="Picture 593980462"/>
                    <pic:cNvPicPr/>
                  </pic:nvPicPr>
                  <pic:blipFill>
                    <a:blip r:embed="rId84">
                      <a:extLst>
                        <a:ext uri="{28A0092B-C50C-407E-A947-70E740481C1C}">
                          <a14:useLocalDpi xmlns:a14="http://schemas.microsoft.com/office/drawing/2010/main"/>
                        </a:ext>
                      </a:extLst>
                    </a:blip>
                    <a:stretch>
                      <a:fillRect/>
                    </a:stretch>
                  </pic:blipFill>
                  <pic:spPr>
                    <a:xfrm>
                      <a:off x="0" y="0"/>
                      <a:ext cx="5358267" cy="3572178"/>
                    </a:xfrm>
                    <a:prstGeom prst="rect">
                      <a:avLst/>
                    </a:prstGeom>
                  </pic:spPr>
                </pic:pic>
              </a:graphicData>
            </a:graphic>
          </wp:inline>
        </w:drawing>
      </w:r>
    </w:p>
    <w:p w:rsidRPr="00CA4194" w:rsidR="005E3BD6" w:rsidP="005E3BD6" w:rsidRDefault="005E3BD6" w14:paraId="15A97DDE" w14:textId="77777777">
      <w:pPr>
        <w:jc w:val="center"/>
        <w:rPr>
          <w:rFonts w:ascii="Nunito Sans" w:hAnsi="Nunito Sans" w:eastAsia="Arial" w:cs="Calibri"/>
          <w:sz w:val="22"/>
          <w:szCs w:val="22"/>
        </w:rPr>
      </w:pPr>
      <w:r w:rsidRPr="007D3407">
        <w:rPr>
          <w:rFonts w:ascii="Nunito Sans" w:hAnsi="Nunito Sans" w:eastAsia="Arial" w:cs="Calibri"/>
          <w:sz w:val="18"/>
          <w:szCs w:val="18"/>
        </w:rPr>
        <w:t>Fuente: elaboración propia</w:t>
      </w:r>
      <w:r w:rsidRPr="00CA4194">
        <w:rPr>
          <w:rFonts w:ascii="Nunito Sans" w:hAnsi="Nunito Sans" w:eastAsia="Arial" w:cs="Calibri"/>
          <w:sz w:val="22"/>
          <w:szCs w:val="22"/>
        </w:rPr>
        <w:t>.</w:t>
      </w:r>
    </w:p>
    <w:p w:rsidRPr="00CA4194" w:rsidR="005E3BD6" w:rsidP="005E3BD6" w:rsidRDefault="005E3BD6" w14:paraId="224E6F23" w14:textId="77777777">
      <w:pPr>
        <w:jc w:val="both"/>
        <w:rPr>
          <w:rFonts w:ascii="Nunito Sans" w:hAnsi="Nunito Sans" w:cs="Calibri"/>
          <w:sz w:val="22"/>
          <w:szCs w:val="22"/>
        </w:rPr>
      </w:pPr>
    </w:p>
    <w:p w:rsidRPr="00CA4194" w:rsidR="005E3BD6" w:rsidP="005E3BD6" w:rsidRDefault="005E3BD6" w14:paraId="360A621D" w14:textId="77777777">
      <w:pPr>
        <w:spacing w:before="240" w:after="240"/>
        <w:jc w:val="both"/>
        <w:rPr>
          <w:rFonts w:ascii="Nunito Sans" w:hAnsi="Nunito Sans" w:eastAsia="Arial" w:cs="Calibri"/>
          <w:sz w:val="22"/>
          <w:szCs w:val="22"/>
        </w:rPr>
      </w:pPr>
      <w:r w:rsidRPr="00CA4194">
        <w:rPr>
          <w:rFonts w:ascii="Nunito Sans" w:hAnsi="Nunito Sans" w:eastAsia="Arial" w:cs="Calibri"/>
          <w:sz w:val="22"/>
          <w:szCs w:val="22"/>
        </w:rPr>
        <w:lastRenderedPageBreak/>
        <w:t>La imagen representa la Arquitectura de Referencia de Datos del sector, organizada como un flujo continuo que muestra cómo la información entra, se transforma, se procesa y finalmente se expone para su aprovechamiento institucional y sectorial, todo ello soportado por componentes transversales de gobernanza, seguridad y monitoreo. La arquitectura inicia con la interoperabilidad de entrada, donde convergen las diferentes fuentes de información del sector, incluyendo datos estructurados, semiestructurados y no estructurados. Estos datos se incorporan al ecosistema mediante mecanismos de ingesta como conectores, APIs y buses de datos, garantizando la captura integral y estandarizada de la información proveniente de sistemas misionales, plataformas externas y dispositivos que generan datos operativos o geoespaciales.</w:t>
      </w:r>
    </w:p>
    <w:p w:rsidRPr="00CA4194" w:rsidR="005E3BD6" w:rsidP="005E3BD6" w:rsidRDefault="005E3BD6" w14:paraId="4762C88D" w14:textId="77777777">
      <w:pPr>
        <w:spacing w:before="240" w:after="240"/>
        <w:jc w:val="both"/>
        <w:rPr>
          <w:rFonts w:ascii="Nunito Sans" w:hAnsi="Nunito Sans" w:eastAsia="Arial" w:cs="Calibri"/>
          <w:sz w:val="22"/>
          <w:szCs w:val="22"/>
        </w:rPr>
      </w:pPr>
      <w:r w:rsidRPr="00CA4194">
        <w:rPr>
          <w:rFonts w:ascii="Nunito Sans" w:hAnsi="Nunito Sans" w:eastAsia="Arial" w:cs="Calibri"/>
          <w:sz w:val="22"/>
          <w:szCs w:val="22"/>
        </w:rPr>
        <w:t>Una vez ingresan al ecosistema sectorial, los datos pasan a la capa de integración y transformación, donde se ejecutan procesos ETL y ELT, así como pipelines especializados que permiten limpiar, estructurar, armonizar y modelar la información de acuerdo con los lineamientos del modelo lógico sectorial. En esta capa también se consolidan los mecanismos de almacenamiento mediante dos infraestructuras principales: el Data Lake, que permite el almacenamiento flexible y escalable de datos en crudo o semiprocesados, y el Data Warehouse, orientado al análisis estructurado y a la generación de reportes y modelos analíticos.</w:t>
      </w:r>
    </w:p>
    <w:p w:rsidRPr="00CA4194" w:rsidR="005E3BD6" w:rsidP="005E3BD6" w:rsidRDefault="005E3BD6" w14:paraId="33B4B725" w14:textId="77777777">
      <w:pPr>
        <w:spacing w:before="240" w:after="240"/>
        <w:jc w:val="both"/>
        <w:rPr>
          <w:rFonts w:ascii="Nunito Sans" w:hAnsi="Nunito Sans" w:eastAsia="Arial" w:cs="Calibri"/>
          <w:sz w:val="22"/>
          <w:szCs w:val="22"/>
        </w:rPr>
      </w:pPr>
      <w:r w:rsidRPr="00CA4194">
        <w:rPr>
          <w:rFonts w:ascii="Nunito Sans" w:hAnsi="Nunito Sans" w:eastAsia="Arial" w:cs="Calibri"/>
          <w:sz w:val="22"/>
          <w:szCs w:val="22"/>
        </w:rPr>
        <w:t>Posteriormente, la arquitectura incorpora una capa de procesamiento y enriquecimiento en la cual se habilitan capacidades de cómputo avanzadas para ejecutar algoritmos analíticos, modelos predictivos y motores semánticos que permiten extraer mayor valor de la información. Esta capa es fundamental para soportar la analítica avanzada, la inteligencia artificial y las aplicaciones de aprendizaje automático que impulsan la toma de decisiones estratégicas y la planificación sectorial.</w:t>
      </w:r>
    </w:p>
    <w:p w:rsidRPr="00CA4194" w:rsidR="005E3BD6" w:rsidP="005E3BD6" w:rsidRDefault="005E3BD6" w14:paraId="36E2CBD3" w14:textId="77777777">
      <w:pPr>
        <w:spacing w:before="240" w:after="240"/>
        <w:jc w:val="both"/>
        <w:rPr>
          <w:rFonts w:ascii="Nunito Sans" w:hAnsi="Nunito Sans" w:eastAsia="Arial" w:cs="Calibri"/>
          <w:sz w:val="22"/>
          <w:szCs w:val="22"/>
        </w:rPr>
      </w:pPr>
      <w:r w:rsidRPr="00CA4194">
        <w:rPr>
          <w:rFonts w:ascii="Nunito Sans" w:hAnsi="Nunito Sans" w:eastAsia="Arial" w:cs="Calibri"/>
          <w:sz w:val="22"/>
          <w:szCs w:val="22"/>
        </w:rPr>
        <w:t>La fase final corresponde a la exposición e interoperabilidad de salida, donde la información procesada se pone a disposición de las entidades del sector y de actores autorizados mediante APIs estandarizadas, servicios web, catálogos de datos y tableros analíticos. Asimismo, se habilitan mecanismos de integración con sistemas externos del Estado, del sector productivo y de la academia, garantizando así un ecosistema abierto, analítico y articulado con el marco de interoperabilidad nacional.</w:t>
      </w:r>
    </w:p>
    <w:p w:rsidR="005E3BD6" w:rsidP="005E3BD6" w:rsidRDefault="005E3BD6" w14:paraId="35B23F23" w14:textId="77777777">
      <w:pPr>
        <w:spacing w:before="240" w:after="240"/>
        <w:jc w:val="both"/>
        <w:rPr>
          <w:rFonts w:ascii="Nunito Sans" w:hAnsi="Nunito Sans" w:eastAsia="Arial" w:cs="Calibri"/>
          <w:sz w:val="22"/>
          <w:szCs w:val="22"/>
        </w:rPr>
      </w:pPr>
      <w:r w:rsidRPr="00CA4194">
        <w:rPr>
          <w:rFonts w:ascii="Nunito Sans" w:hAnsi="Nunito Sans" w:eastAsia="Arial" w:cs="Calibri"/>
          <w:sz w:val="22"/>
          <w:szCs w:val="22"/>
        </w:rPr>
        <w:t>Toda la arquitectura está soportada por tres componentes transversales fundamentales: la gobernanza de datos, que incluye la administración del catálogo sectorial, metadatos y linaje; la seguridad, que establece controles de acceso, cifrado y auditoría para proteger la información; y el monitoreo, que asegura el seguimiento continuo de la calidad, la trazabilidad y los niveles de servicio. Estos elementos garantizan que el ecosistema funcione de manera confiable, segura y alineada con los lineamientos del Modelo de Seguridad y Privacidad de la Información, la política de Gobierno Digital y los estándares de gestión del dato definidos para el sector minero-energético.</w:t>
      </w:r>
    </w:p>
    <w:p w:rsidR="005E3BD6" w:rsidRDefault="005E3BD6" w14:paraId="122CE142" w14:textId="2AAB376F">
      <w:pPr>
        <w:pStyle w:val="Ttulo3"/>
        <w:numPr>
          <w:ilvl w:val="2"/>
          <w:numId w:val="22"/>
        </w:numPr>
      </w:pPr>
      <w:bookmarkStart w:name="_Toc234234509" w:id="408"/>
      <w:r w:rsidRPr="00DA4823">
        <w:t>Arquitectura de Información: El Lago de Datos Sectorial</w:t>
      </w:r>
      <w:bookmarkEnd w:id="408"/>
    </w:p>
    <w:p w:rsidR="005E3BD6" w:rsidP="005E3BD6" w:rsidRDefault="005E3BD6" w14:paraId="5ECA55A6" w14:textId="77777777">
      <w:pPr>
        <w:pStyle w:val="Prrafodelista"/>
        <w:spacing w:before="319" w:after="319"/>
        <w:jc w:val="both"/>
        <w:rPr>
          <w:rFonts w:ascii="Nunito Sans" w:hAnsi="Nunito Sans" w:eastAsia="Arial" w:cs="Calibri"/>
          <w:sz w:val="22"/>
          <w:szCs w:val="22"/>
        </w:rPr>
      </w:pPr>
      <w:r w:rsidRPr="00DA4823">
        <w:rPr>
          <w:rFonts w:ascii="Nunito Sans" w:hAnsi="Nunito Sans" w:eastAsia="Arial" w:cs="Calibri"/>
          <w:sz w:val="22"/>
          <w:szCs w:val="22"/>
        </w:rPr>
        <w:lastRenderedPageBreak/>
        <w:t>Se proyecta la implementación de una estrategia de</w:t>
      </w:r>
      <w:r>
        <w:rPr>
          <w:rFonts w:ascii="Nunito Sans" w:hAnsi="Nunito Sans" w:eastAsia="Arial" w:cs="Calibri"/>
          <w:sz w:val="22"/>
          <w:szCs w:val="22"/>
        </w:rPr>
        <w:t>:</w:t>
      </w:r>
    </w:p>
    <w:p w:rsidR="005E3BD6" w:rsidRDefault="005E3BD6" w14:paraId="1344B5BF" w14:textId="77777777">
      <w:pPr>
        <w:pStyle w:val="Prrafodelista"/>
        <w:numPr>
          <w:ilvl w:val="0"/>
          <w:numId w:val="19"/>
        </w:numPr>
        <w:spacing w:before="319" w:after="319"/>
        <w:jc w:val="both"/>
        <w:rPr>
          <w:rFonts w:ascii="Nunito Sans" w:hAnsi="Nunito Sans" w:eastAsia="Nunito Sans" w:cs="Nunito Sans"/>
          <w:b/>
          <w:bCs/>
          <w:i/>
          <w:iCs/>
          <w:color w:val="E1AF3B"/>
          <w:lang w:val="es-ES"/>
        </w:rPr>
      </w:pPr>
      <w:r w:rsidRPr="00DA4823">
        <w:rPr>
          <w:rFonts w:ascii="Nunito Sans" w:hAnsi="Nunito Sans" w:eastAsia="Arial" w:cs="Calibri"/>
          <w:b/>
          <w:bCs/>
          <w:sz w:val="22"/>
          <w:szCs w:val="22"/>
        </w:rPr>
        <w:t>Gobierno de Datos Federado</w:t>
      </w:r>
      <w:r w:rsidRPr="00DA4823">
        <w:rPr>
          <w:rFonts w:ascii="Nunito Sans" w:hAnsi="Nunito Sans" w:eastAsia="Arial" w:cs="Calibri"/>
          <w:sz w:val="22"/>
          <w:szCs w:val="22"/>
        </w:rPr>
        <w:t xml:space="preserve">. En el modelo TO-BE, los datos dejan de estar silados en archivos planos y pasan a residir en un </w:t>
      </w:r>
      <w:r w:rsidRPr="00DA4823">
        <w:rPr>
          <w:rFonts w:ascii="Nunito Sans" w:hAnsi="Nunito Sans" w:eastAsia="Arial" w:cs="Calibri"/>
          <w:b/>
          <w:bCs/>
          <w:sz w:val="22"/>
          <w:szCs w:val="22"/>
        </w:rPr>
        <w:t>Lago de Datos Sectorial (Energy Data Lake)</w:t>
      </w:r>
      <w:r w:rsidRPr="00DA4823">
        <w:rPr>
          <w:rFonts w:ascii="Nunito Sans" w:hAnsi="Nunito Sans" w:eastAsia="Arial" w:cs="Calibri"/>
          <w:sz w:val="22"/>
          <w:szCs w:val="22"/>
        </w:rPr>
        <w:t xml:space="preserve"> virtualizado.</w:t>
      </w:r>
    </w:p>
    <w:p w:rsidR="005E3BD6" w:rsidRDefault="005E3BD6" w14:paraId="4DFD1E34" w14:textId="77777777">
      <w:pPr>
        <w:pStyle w:val="Prrafodelista"/>
        <w:numPr>
          <w:ilvl w:val="0"/>
          <w:numId w:val="19"/>
        </w:numPr>
        <w:spacing w:before="319" w:after="319"/>
        <w:jc w:val="both"/>
        <w:rPr>
          <w:rFonts w:ascii="Nunito Sans" w:hAnsi="Nunito Sans" w:eastAsia="Nunito Sans" w:cs="Nunito Sans"/>
          <w:b/>
          <w:bCs/>
          <w:i/>
          <w:iCs/>
          <w:color w:val="E1AF3B"/>
          <w:lang w:val="es-ES"/>
        </w:rPr>
      </w:pPr>
      <w:r w:rsidRPr="00DA4823">
        <w:rPr>
          <w:rFonts w:ascii="Nunito Sans" w:hAnsi="Nunito Sans" w:eastAsia="Arial" w:cs="Calibri"/>
          <w:b/>
          <w:bCs/>
          <w:sz w:val="22"/>
          <w:szCs w:val="22"/>
        </w:rPr>
        <w:t>Datos Maestros Unificados:</w:t>
      </w:r>
      <w:r w:rsidRPr="00DA4823">
        <w:rPr>
          <w:rFonts w:ascii="Nunito Sans" w:hAnsi="Nunito Sans" w:eastAsia="Arial" w:cs="Calibri"/>
          <w:sz w:val="22"/>
          <w:szCs w:val="22"/>
        </w:rPr>
        <w:t xml:space="preserve"> Se definirá una ontología única para el sector (ej. definición estándar de "Pozo", "Título", "Activo de Generación") que todas las entidades deben respetar.</w:t>
      </w:r>
    </w:p>
    <w:p w:rsidR="005E3BD6" w:rsidRDefault="005E3BD6" w14:paraId="027C851D" w14:textId="77777777">
      <w:pPr>
        <w:pStyle w:val="Prrafodelista"/>
        <w:numPr>
          <w:ilvl w:val="0"/>
          <w:numId w:val="19"/>
        </w:numPr>
        <w:spacing w:before="319" w:after="319"/>
        <w:jc w:val="both"/>
        <w:rPr>
          <w:rFonts w:ascii="Nunito Sans" w:hAnsi="Nunito Sans" w:eastAsia="Nunito Sans" w:cs="Nunito Sans"/>
          <w:b/>
          <w:bCs/>
          <w:i/>
          <w:iCs/>
          <w:color w:val="E1AF3B"/>
          <w:lang w:val="es-ES"/>
        </w:rPr>
      </w:pPr>
      <w:r w:rsidRPr="00DA4823">
        <w:rPr>
          <w:rFonts w:ascii="Nunito Sans" w:hAnsi="Nunito Sans" w:eastAsia="Arial" w:cs="Calibri"/>
          <w:b/>
          <w:bCs/>
          <w:sz w:val="22"/>
          <w:szCs w:val="22"/>
        </w:rPr>
        <w:t>Democratización del Dato:</w:t>
      </w:r>
      <w:r w:rsidRPr="00DA4823">
        <w:rPr>
          <w:rFonts w:ascii="Nunito Sans" w:hAnsi="Nunito Sans" w:eastAsia="Arial" w:cs="Calibri"/>
          <w:sz w:val="22"/>
          <w:szCs w:val="22"/>
        </w:rPr>
        <w:t xml:space="preserve"> La información pública (no reservada) estará disponible vía API para la academia, inversionistas y comunidades energéticas, fomentando la innovación abierta (Open Data).</w:t>
      </w:r>
    </w:p>
    <w:p w:rsidRPr="00DA4823" w:rsidR="005E3BD6" w:rsidRDefault="005E3BD6" w14:paraId="7E0B634D" w14:textId="77777777">
      <w:pPr>
        <w:pStyle w:val="Prrafodelista"/>
        <w:numPr>
          <w:ilvl w:val="0"/>
          <w:numId w:val="19"/>
        </w:numPr>
        <w:spacing w:before="319" w:after="319"/>
        <w:jc w:val="both"/>
        <w:rPr>
          <w:rFonts w:ascii="Nunito Sans" w:hAnsi="Nunito Sans" w:eastAsia="Nunito Sans" w:cs="Nunito Sans"/>
          <w:b/>
          <w:bCs/>
          <w:i/>
          <w:iCs/>
          <w:color w:val="E1AF3B"/>
          <w:lang w:val="es-ES"/>
        </w:rPr>
      </w:pPr>
      <w:r w:rsidRPr="00DA4823">
        <w:rPr>
          <w:rFonts w:ascii="Nunito Sans" w:hAnsi="Nunito Sans" w:eastAsia="Arial" w:cs="Calibri"/>
          <w:b/>
          <w:bCs/>
          <w:sz w:val="22"/>
          <w:szCs w:val="22"/>
        </w:rPr>
        <w:t>Analítica para la TEJ:</w:t>
      </w:r>
      <w:r w:rsidRPr="00DA4823">
        <w:rPr>
          <w:rFonts w:ascii="Nunito Sans" w:hAnsi="Nunito Sans" w:eastAsia="Arial" w:cs="Calibri"/>
          <w:sz w:val="22"/>
          <w:szCs w:val="22"/>
        </w:rPr>
        <w:t xml:space="preserve"> Capacidad instalada para correr modelos de Inteligencia Artificial que predigan la demanda energética y monitoreen conflictos socioambientales en tiempo real.</w:t>
      </w:r>
    </w:p>
    <w:p w:rsidRPr="00CA4194" w:rsidR="005E3BD6" w:rsidRDefault="005E3BD6" w14:paraId="15ED82E7" w14:textId="7DA6A500">
      <w:pPr>
        <w:pStyle w:val="Ttulo3"/>
        <w:numPr>
          <w:ilvl w:val="2"/>
          <w:numId w:val="22"/>
        </w:numPr>
      </w:pPr>
      <w:bookmarkStart w:name="_Toc234234510" w:id="409"/>
      <w:r w:rsidRPr="00CA4194">
        <w:t>Situación objetivo (TO – BE) Datos Estadísticos</w:t>
      </w:r>
      <w:bookmarkEnd w:id="409"/>
    </w:p>
    <w:p w:rsidRPr="00CA4194" w:rsidR="005E3BD6" w:rsidP="005E3BD6" w:rsidRDefault="005E3BD6" w14:paraId="53C3A11F"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
        </w:rPr>
        <w:t>En la situación objetivo, la gestión de los datos estadísticos del sector minero-energético se consolida bajo un modelo estandarizado y articulado con los lineamientos del Sistema Estadístico Nacional liderado por el DANE. El propósito es que las entidades del sector produzcan, administren y divulguen estadísticas con altos niveles de calidad, comparabilidad y trazabilidad, asegurando el cumplimiento de criterios técnicos, metodológicos y de gobernanza establecidos a nivel nacional. Este modelo adopta explícitamente la Norma Técnica de Calidad Estadística del DANE – NTCE-01, que define los estándares mínimos de calidad, gestión documental, verificabilidad y mejora continua que deben cumplir las operaciones estadísticas sectoriales.</w:t>
      </w:r>
    </w:p>
    <w:p w:rsidRPr="00CA4194" w:rsidR="005E3BD6" w:rsidP="005E3BD6" w:rsidRDefault="005E3BD6" w14:paraId="13090DDD"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
        </w:rPr>
        <w:t>El estado futuro contempla la existencia de un Sistema Estadístico Sectorial que integra los procesos de producción estadística de todas las entidades adscritas y asociadas al sector. Dicho sistema adopta el Código de Buenas Prácticas Estadísticas, los lineamientos metodológicos del Modelo de Medición Estadística, las etapas del Proceso Estadístico del SEN, la NTCE-01 como norma central de calidad, y las directrices sobre estándares, clasificación y documentación establecidas por el DANE. Bajo este modelo, las entidades del sector deben documentar y armonizar los procesos de recolección, procesamiento, validación, análisis y difusión de datos, asegurando coherencia técnica y evitando duplicidades. La NTCE-01 se convierte en el marco obligatorio para estructurar y evaluar cada operación estadística, orientando los mecanismos de control, la gestión de riesgos estadísticos y la implementación de planes de mejora.</w:t>
      </w:r>
    </w:p>
    <w:p w:rsidRPr="00CA4194" w:rsidR="005E3BD6" w:rsidP="005E3BD6" w:rsidRDefault="005E3BD6" w14:paraId="5D658477"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
        </w:rPr>
        <w:t xml:space="preserve">El estado objetivo establece que todos los indicadores sectoriales, series históricas, tabulados, microdatos agregados y metadatos estadísticos estarán organizados en un Catálogo Estadístico Sectorial administrado de manera centralizada, basado en principios de estandarización, interoperabilidad y transparencia definidos por el DANE. Este catálogo documentará metodologías, variables, definiciones, clasificaciones, unidades de medida, desagregaciones, </w:t>
      </w:r>
      <w:r w:rsidRPr="00CA4194">
        <w:rPr>
          <w:rFonts w:ascii="Nunito Sans" w:hAnsi="Nunito Sans" w:eastAsia="Arial" w:cs="Calibri"/>
          <w:sz w:val="22"/>
          <w:szCs w:val="22"/>
          <w:lang w:val="es"/>
        </w:rPr>
        <w:lastRenderedPageBreak/>
        <w:t>ciclos de actualización, responsables institucionales y mecanismos de calidad. Además, incorporará los requisitos de documentación y aseguramiento establecidos en la NTCE-01, garantizando la trazabilidad completa desde la fuente primaria hasta la producción final de los datos.</w:t>
      </w:r>
    </w:p>
    <w:p w:rsidRPr="00CA4194" w:rsidR="005E3BD6" w:rsidP="005E3BD6" w:rsidRDefault="005E3BD6" w14:paraId="1A97B761"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
        </w:rPr>
        <w:t>En el estado objetivo, la interoperabilidad estadística se soportará en los estándares de intercambio promovidos por el DANE, tales como estructuras de clasificación oficiales, metadatos normalizados, nomenclaturas institucionales y lineamientos para la publicación de microdatos anonimizados. Los sistemas sectoriales deberán alinearse a estas estructuras para garantizar comparabilidad, integración semántica y reutilización eficiente de la información, asegurando que toda transformación estadística respete los principios de la NTCE-01.</w:t>
      </w:r>
    </w:p>
    <w:p w:rsidRPr="00CA4194" w:rsidR="005E3BD6" w:rsidP="005E3BD6" w:rsidRDefault="005E3BD6" w14:paraId="4962B82A" w14:textId="77777777">
      <w:pPr>
        <w:spacing w:before="240" w:after="240"/>
        <w:jc w:val="both"/>
        <w:rPr>
          <w:rFonts w:ascii="Nunito Sans" w:hAnsi="Nunito Sans" w:cs="Calibri"/>
          <w:sz w:val="22"/>
          <w:szCs w:val="22"/>
        </w:rPr>
      </w:pPr>
      <w:r w:rsidRPr="00CA4194">
        <w:rPr>
          <w:rFonts w:ascii="Nunito Sans" w:hAnsi="Nunito Sans" w:eastAsia="Arial" w:cs="Calibri"/>
          <w:sz w:val="22"/>
          <w:szCs w:val="22"/>
          <w:lang w:val="es"/>
        </w:rPr>
        <w:t>La situación objetivo también establece que la actualización de los datos estadísticos será automatizada mediante flujos de integración que minimicen procesos manuales y aseguren consistencia entre fuentes operacionales, registros administrativos y productos estadísticos. Toda fuente administrativa utilizada debe cumplir los criterios definidos en la Guía para el Uso Estadístico de Registros Administrativos del DANE y los principios de calidad y gobernanza establecidos en la NTCE-01, asegurando que la información administrativa sea adecuada para fines estadísticos y que su tratamiento cumpla las exigencias metodológicas del SEN.</w:t>
      </w:r>
    </w:p>
    <w:p w:rsidRPr="001D17D5" w:rsidR="001D17D5" w:rsidP="4E60D266" w:rsidRDefault="1F325162" w14:paraId="2897D174" w14:textId="3A08A355">
      <w:pPr>
        <w:spacing w:before="240" w:after="240"/>
        <w:jc w:val="both"/>
        <w:rPr>
          <w:rFonts w:ascii="Nunito Sans" w:hAnsi="Nunito Sans" w:eastAsia="Arial" w:cs="Calibri"/>
          <w:sz w:val="22"/>
          <w:szCs w:val="22"/>
          <w:lang w:val="es-ES"/>
        </w:rPr>
      </w:pPr>
      <w:r w:rsidRPr="4E60D266">
        <w:rPr>
          <w:rFonts w:ascii="Nunito Sans" w:hAnsi="Nunito Sans" w:eastAsia="Arial" w:cs="Calibri"/>
          <w:sz w:val="22"/>
          <w:szCs w:val="22"/>
          <w:lang w:val="es-ES"/>
        </w:rPr>
        <w:t>Por último, el estado futuro proyecta un sector minero-energético donde las estadísticas oficiales y aquellas derivadas de registros administrativos se consolidan como insumos estratégicos para la planificación del sector, el monitoreo técnico, la formulación de políticas públicas, la regulación, el seguimiento institucional y la toma de decisiones basada en evidencia. Con la adopción de la NTCE-01, la articulación metodológica del Sistema Estadístico Nacional y la integración plena de los procesos sectoriales, el sector avanza hacia una producción estadística robusta, confiable, transparente y sustentada en estándares nacionales de excelencia.</w:t>
      </w:r>
      <w:bookmarkStart w:name="_Toc220407524" w:id="410"/>
      <w:bookmarkStart w:name="_Toc220407758" w:id="411"/>
      <w:bookmarkStart w:name="_Toc220408018" w:id="412"/>
      <w:bookmarkStart w:name="_Toc220614503" w:id="413"/>
      <w:bookmarkStart w:name="_Toc220664329" w:id="414"/>
      <w:bookmarkEnd w:id="410"/>
      <w:bookmarkEnd w:id="411"/>
      <w:bookmarkEnd w:id="412"/>
      <w:bookmarkEnd w:id="413"/>
      <w:bookmarkEnd w:id="414"/>
    </w:p>
    <w:p w:rsidRPr="001D17D5" w:rsidR="001D17D5" w:rsidP="4E60D266" w:rsidRDefault="001D17D5" w14:paraId="530BB267" w14:textId="77777777">
      <w:pPr>
        <w:pStyle w:val="Prrafodelista"/>
        <w:ind w:left="1080"/>
        <w:contextualSpacing w:val="0"/>
        <w:jc w:val="both"/>
        <w:outlineLvl w:val="2"/>
        <w:rPr>
          <w:rFonts w:ascii="Nunito Sans" w:hAnsi="Nunito Sans" w:eastAsia="Nunito Sans" w:cs="Nunito Sans"/>
          <w:b/>
          <w:bCs/>
          <w:color w:val="EDB600"/>
          <w:sz w:val="26"/>
          <w:szCs w:val="26"/>
          <w:lang w:val="es-ES"/>
        </w:rPr>
      </w:pPr>
      <w:bookmarkStart w:name="_Toc220408027" w:id="415"/>
      <w:bookmarkStart w:name="_Toc220614512" w:id="416"/>
      <w:bookmarkStart w:name="_Toc220664338" w:id="417"/>
      <w:bookmarkEnd w:id="415"/>
      <w:bookmarkEnd w:id="416"/>
      <w:bookmarkEnd w:id="417"/>
    </w:p>
    <w:p w:rsidRPr="00937B6E" w:rsidR="005E3BD6" w:rsidRDefault="1F325162" w14:paraId="102861E8" w14:textId="634B1905">
      <w:pPr>
        <w:pStyle w:val="Ttulo3"/>
        <w:numPr>
          <w:ilvl w:val="2"/>
          <w:numId w:val="22"/>
        </w:numPr>
        <w:spacing w:line="259" w:lineRule="auto"/>
      </w:pPr>
      <w:bookmarkStart w:name="_Toc234234511" w:id="418"/>
      <w:r>
        <w:t>Situación objetivo (TO – BE) Datos Geoespaciales</w:t>
      </w:r>
      <w:bookmarkEnd w:id="418"/>
      <w:r>
        <w:t xml:space="preserve"> </w:t>
      </w:r>
    </w:p>
    <w:p w:rsidRPr="00CA4194" w:rsidR="005E3BD6" w:rsidP="005E3BD6" w:rsidRDefault="005E3BD6" w14:paraId="7840AB76"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En la situación objetivo, la gestión de los datos geoespaciales del sector minero–energético se estructura bajo un modelo integrado, estandarizado y plenamente articulado con los lineamientos de la Infraestructura Colombiana de Datos Espaciales (ICDE), garantizando que la información territorial del sector cumpla con principios de interoperabilidad, calidad, disponibilidad y uso responsable. El objetivo del estado futuro es consolidar un ecosistema geoespacial sectorial que permita representar con precisión las actividades, infraestructuras, recursos, riesgos y dinámicas territoriales asociadas a la minería, el petróleo, el gas y la energía, facilitando el análisis espacial para la planeación, la regulación, el monitoreo y la toma de decisiones.</w:t>
      </w:r>
    </w:p>
    <w:p w:rsidRPr="00CA4194" w:rsidR="005E3BD6" w:rsidP="005E3BD6" w:rsidRDefault="005E3BD6" w14:paraId="63FED82F"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 xml:space="preserve">El modelo TO-BE establece la implementación de una Infraestructura Geoespacial Sectorial, interoperable con la ICDE y alineada con los estándares internacionales OGC, INSPIRE, ISO 19100 </w:t>
      </w:r>
      <w:r w:rsidRPr="00CA4194">
        <w:rPr>
          <w:rFonts w:ascii="Nunito Sans" w:hAnsi="Nunito Sans" w:eastAsia="Arial" w:cs="Calibri"/>
          <w:sz w:val="22"/>
          <w:szCs w:val="22"/>
          <w:lang w:val="es-ES"/>
        </w:rPr>
        <w:lastRenderedPageBreak/>
        <w:t>y las especificaciones de servicios geográficos abiertas del Estado colombiano. Esta infraestructura integrará los servicios geoespaciales generados por las entidades adscritas, permitiendo la publicación, consulta, visualización y descarga de datos mediante servicios interoperables tales como WMS, WFS, WMTS, WCS, CSW y APIs geoespaciales.</w:t>
      </w:r>
    </w:p>
    <w:p w:rsidRPr="00CA4194" w:rsidR="005E3BD6" w:rsidP="005E3BD6" w:rsidRDefault="005E3BD6" w14:paraId="42B868E7"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El estado futuro contempla que todos los datos georreferenciados del sector se organicen bajo un Modelo Geoespacial Sectorial, que defina estructuras, catálogos, topologías, esquemas de metadatos y reglas de consistencia espacial. Este modelo permitirá la articulación entre capas de información provenientes de minería, hidrocarburos, geociencias, energía, infraestructura eléctrica, recursos del subsuelo, zonas no interconectadas, variables ambientales y elementos del ordenamiento territorial. El modelo adoptará las guías de metadatos de la ICDE, garantizando la documentación completa de cada conjunto geoespacial, incluyendo su calidad, linaje, escala, resolución, restricciones de uso y responsables.</w:t>
      </w:r>
    </w:p>
    <w:p w:rsidRPr="00CA4194" w:rsidR="005E3BD6" w:rsidP="005E3BD6" w:rsidRDefault="005E3BD6" w14:paraId="379D39FD"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La situación objetivo prevé que las entidades del sector alimenten y mantengan un Catálogo Geoespacial Sectorial, alineado con el Catálogo Nacional de Objetos Geográficos de la ICDE. Este catálogo permitirá la estandarización de objetos, atributos, geometrías, relaciones espaciales y dominios de valores, asegurando la consistencia semántica y facilitando la interoperabilidad entre los diferentes repositorios y servicios geoespaciales del sector. La actualización del catálogo será continua y dependerá de un modelo de gobernanza coordinado por el MME, con roles definidos y mecanismos de revisión sectorial.</w:t>
      </w:r>
    </w:p>
    <w:p w:rsidRPr="00CA4194" w:rsidR="005E3BD6" w:rsidP="005E3BD6" w:rsidRDefault="005E3BD6" w14:paraId="25C6711C"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El estado futuro también establece la integración de los datos geoespaciales con los dominios maestros y los registros administrativos del sector, garantizando que cada entidad, proyecto, activo, infraestructura o unidad territorial cuente con identificadores espaciales unificados que permitan análisis transversales y trazabilidad territorial. La interoperabilidad entre datos geoespaciales y datos estadísticos, operacionales y analíticos será un principio clave de la arquitectura sectorial.</w:t>
      </w:r>
    </w:p>
    <w:p w:rsidRPr="00CA4194" w:rsidR="005E3BD6" w:rsidP="005E3BD6" w:rsidRDefault="005E3BD6" w14:paraId="48EDFC9D"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La captura, procesamiento y divulgación de datos geoespaciales se realizarán mediante procesos estandarizados, asegurando que la información cumpla criterios de calidad espacial definidos por la ICDE, incluyendo precisión geométrica, consistencia topológica, completitud y actualidad. La producción geoespacial del sector deberá incorporar mecanismos de validación y control de calidad que garanticen confiabilidad y precisión, evitando duplicidades y permitiendo la integración automática entre plataformas.</w:t>
      </w:r>
    </w:p>
    <w:p w:rsidRPr="00CA4194" w:rsidR="005E3BD6" w:rsidP="005E3BD6" w:rsidRDefault="005E3BD6" w14:paraId="6D00EAC6" w14:textId="77777777">
      <w:pPr>
        <w:spacing w:before="240" w:after="240"/>
        <w:jc w:val="both"/>
        <w:rPr>
          <w:rFonts w:ascii="Nunito Sans" w:hAnsi="Nunito Sans" w:eastAsia="Arial" w:cs="Calibri"/>
          <w:sz w:val="22"/>
          <w:szCs w:val="22"/>
          <w:lang w:val="es-ES"/>
        </w:rPr>
      </w:pPr>
      <w:r w:rsidRPr="00CA4194">
        <w:rPr>
          <w:rFonts w:ascii="Nunito Sans" w:hAnsi="Nunito Sans" w:eastAsia="Arial" w:cs="Calibri"/>
          <w:sz w:val="22"/>
          <w:szCs w:val="22"/>
          <w:lang w:val="es-ES"/>
        </w:rPr>
        <w:t>La arquitectura TO-BE incorpora servicios avanzados de análisis espacial, modelamiento geográfico y analítica geoespacial, habilitando capacidades como predicción de riesgos en infraestructura, análisis de productividad, priorización territorial, modelamiento del subsuelo, optimización de redes energéticas, análisis de cobertura y monitoreo en tiempo real mediante datos satelitales y sensores. Estos servicios fortalecerán la planeación minero-energética, la fiscalización técnica, la evaluación de impactos y la formulación de política pública.</w:t>
      </w:r>
    </w:p>
    <w:p w:rsidRPr="00A0756F" w:rsidR="001D17D5" w:rsidP="00A0756F" w:rsidRDefault="1F325162" w14:paraId="078EF456" w14:textId="48CE2E08">
      <w:pPr>
        <w:spacing w:before="240" w:after="240"/>
        <w:jc w:val="both"/>
        <w:rPr>
          <w:rFonts w:ascii="Nunito Sans" w:hAnsi="Nunito Sans" w:eastAsia="Arial" w:cs="Calibri"/>
          <w:sz w:val="22"/>
          <w:szCs w:val="22"/>
          <w:lang w:val="es-ES"/>
        </w:rPr>
      </w:pPr>
      <w:r w:rsidRPr="4E60D266">
        <w:rPr>
          <w:rFonts w:ascii="Nunito Sans" w:hAnsi="Nunito Sans" w:eastAsia="Arial" w:cs="Calibri"/>
          <w:sz w:val="22"/>
          <w:szCs w:val="22"/>
          <w:lang w:val="es-ES"/>
        </w:rPr>
        <w:lastRenderedPageBreak/>
        <w:t>El estado objetivo posiciona al sector minero-energético como un productor y usuario clave de información geoespacial dentro de la ICDE, aportando datos estratégicos, cumpliendo los estándares establecidos y aprovechando la infraestructura nacional para garantizar que la información territorial sea confiable, accesible, interoperable y orientada a decisiones basadas en evidencia.</w:t>
      </w:r>
      <w:bookmarkStart w:name="_Toc220408034" w:id="419"/>
      <w:bookmarkStart w:name="_Toc220614519" w:id="420"/>
      <w:bookmarkStart w:name="_Toc220664345" w:id="421"/>
      <w:bookmarkEnd w:id="419"/>
      <w:bookmarkEnd w:id="420"/>
      <w:bookmarkEnd w:id="421"/>
    </w:p>
    <w:p w:rsidRPr="00CA4194" w:rsidR="005E3BD6" w:rsidRDefault="4321A0F2" w14:paraId="25DC53F6" w14:textId="267B2B35">
      <w:pPr>
        <w:pStyle w:val="Ttulo2"/>
        <w:numPr>
          <w:ilvl w:val="1"/>
          <w:numId w:val="22"/>
        </w:numPr>
      </w:pPr>
      <w:r>
        <w:t xml:space="preserve"> </w:t>
      </w:r>
      <w:bookmarkStart w:name="_Toc234234512" w:id="422"/>
      <w:r w:rsidR="1F325162">
        <w:t xml:space="preserve">Situación </w:t>
      </w:r>
      <w:r w:rsidR="301BA9DE">
        <w:t>O</w:t>
      </w:r>
      <w:r w:rsidR="1F325162">
        <w:t>bjetivo (TO – BE) Arquitectura de Sistemas de información</w:t>
      </w:r>
      <w:bookmarkEnd w:id="422"/>
    </w:p>
    <w:p w:rsidR="005E3BD6" w:rsidP="005E3BD6" w:rsidRDefault="005E3BD6" w14:paraId="108DD60B" w14:textId="77777777">
      <w:pPr>
        <w:spacing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t>La arquitectura de sistemas de información del sector minero-energético evolucionará desde un escenario fragmentado, basado en soluciones aisladas y esquemas de integración heterogéneos, hacia un modelo sectorial articulado, alineado con el Marco de Referencia de Arquitectura Empresarial (MRAE) del Estado colombiano. Esta evolución tiene como propósito habilitar el intercambio seguro, oportuno y estandarizado de información entre las entidades del sector, así como mejorar la eficiencia operativa, la trazabilidad y la calidad de los servicios digitales ofrecidos a ciudadanos, empresas y demás actores.</w:t>
      </w:r>
    </w:p>
    <w:p w:rsidR="005E3BD6" w:rsidP="005E3BD6" w:rsidRDefault="005E3BD6" w14:paraId="2C591706" w14:textId="77777777">
      <w:pPr>
        <w:spacing w:before="240"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En el escenario deseado, el Ministerio de Minas y Energía ejercerá un rol de orquestador estratégico, definiendo lineamientos, estándares y mecanismos de integración, mientras que cada entidad adscrita (ANM, ANH, UPME, CREG, IPSE, SGC, entre otras) mantendrá la custodia y responsabilidad sobre sus sistemas misionales y datos maestros, exponiéndolos mediante servicios estandarizados. Este modelo permite preservar la autonomía institucional y, al mismo tiempo, garantizar la interoperabilidad sectorial.</w:t>
      </w:r>
    </w:p>
    <w:p w:rsidR="005E3BD6" w:rsidP="005E3BD6" w:rsidRDefault="005E3BD6" w14:paraId="70D50F67" w14:textId="77777777">
      <w:pPr>
        <w:spacing w:before="240"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t>La estrategia de integración adoptará un enfoque API-First, con un esquema de gobierno federado. En consecuencia, se abandonará progresivamente el intercambio de información mediante archivos planos (Excel, CSV) y procesos manuales, migrando hacia conexiones máquina-a-máquina en tiempo real soportadas en servicios web seguros y trazables. Este enfoque reducirá la deuda técnica, mejorará la calidad del dato y permitirá una mayor automatización de los flujos de información sectoriales.</w:t>
      </w:r>
    </w:p>
    <w:p w:rsidR="005E3BD6" w:rsidP="005E3BD6" w:rsidRDefault="005E3BD6" w14:paraId="38BCD489" w14:textId="71C7BABB">
      <w:pPr>
        <w:spacing w:before="240"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t xml:space="preserve">Para soportar este ecosistema, las nuevas soluciones de software y la evolución de las existentes adoptarán principios arquitectónicos orientados al desacoplamiento, </w:t>
      </w:r>
      <w:r w:rsidRPr="761B0734" w:rsidR="00A0756F">
        <w:rPr>
          <w:rFonts w:ascii="Nunito Sans" w:hAnsi="Nunito Sans" w:eastAsia="Arial" w:cs="Calibri"/>
          <w:sz w:val="22"/>
          <w:szCs w:val="22"/>
          <w:lang w:val="es-ES"/>
        </w:rPr>
        <w:t>el modularidad</w:t>
      </w:r>
      <w:r w:rsidRPr="761B0734">
        <w:rPr>
          <w:rFonts w:ascii="Nunito Sans" w:hAnsi="Nunito Sans" w:eastAsia="Arial" w:cs="Calibri"/>
          <w:sz w:val="22"/>
          <w:szCs w:val="22"/>
          <w:lang w:val="es-ES"/>
        </w:rPr>
        <w:t xml:space="preserve"> y la reutilización. Las aplicaciones no accederán directamente a las bases de datos de otros sistemas, y toda interacción se realizará a través de servicios web RESTful. Las aplicaciones críticas se desplegarán sobre arquitecturas de microservicios basadas en contenedores (Docker/Kubernetes), lo que permitirá escalabilidad independiente, mayor resiliencia y facilidad de despliegue.</w:t>
      </w:r>
    </w:p>
    <w:p w:rsidR="005E3BD6" w:rsidP="005E3BD6" w:rsidRDefault="005E3BD6" w14:paraId="3F3257D2" w14:textId="77777777">
      <w:pPr>
        <w:spacing w:before="240"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lastRenderedPageBreak/>
        <w:t>Reconociendo la heterogeneidad tecnológica y la existencia de sistemas legados en algunas entidades, se implementará una capa de adaptación (legacy wrapper) que permita exponer la información de estos sistemas mediante servicios JSON estandarizados, evitando refactorizaciones totales inmediatas y facilitando una transición gradual hacia el modelo objetivo.</w:t>
      </w:r>
    </w:p>
    <w:p w:rsidRPr="008347C7" w:rsidR="005E3BD6" w:rsidP="005E3BD6" w:rsidRDefault="005E3BD6" w14:paraId="095FFB25" w14:textId="77777777">
      <w:pPr>
        <w:spacing w:before="240" w:after="240" w:line="259" w:lineRule="auto"/>
        <w:jc w:val="both"/>
        <w:rPr>
          <w:rFonts w:ascii="Nunito Sans" w:hAnsi="Nunito Sans" w:eastAsia="Arial" w:cs="Calibri"/>
          <w:sz w:val="22"/>
          <w:szCs w:val="22"/>
        </w:rPr>
      </w:pPr>
      <w:r w:rsidRPr="00CB1A67">
        <w:rPr>
          <w:rFonts w:ascii="Nunito Sans" w:hAnsi="Nunito Sans" w:eastAsia="Arial" w:cs="Calibri"/>
          <w:sz w:val="22"/>
          <w:szCs w:val="22"/>
        </w:rPr>
        <w:t>En este contexto, y considerando la ausencia actual de un gestor normativo sectorial que permita centralizar, armonizar, versionar y mantener actualizados los marcos regulatorios aplicables al sector, se priorizará la definición e implementación de un modelo común de gestión normativa sectorial.</w:t>
      </w:r>
      <w:r>
        <w:rPr>
          <w:rFonts w:ascii="Nunito Sans" w:hAnsi="Nunito Sans" w:eastAsia="Arial" w:cs="Calibri"/>
          <w:sz w:val="22"/>
          <w:szCs w:val="22"/>
        </w:rPr>
        <w:t xml:space="preserve"> </w:t>
      </w:r>
      <w:r w:rsidRPr="00CB1A67">
        <w:rPr>
          <w:rFonts w:ascii="Nunito Sans" w:hAnsi="Nunito Sans" w:eastAsia="Arial" w:cs="Calibri"/>
          <w:sz w:val="22"/>
          <w:szCs w:val="22"/>
        </w:rPr>
        <w:t>Este modelo permitirá consolidar de manera estructurada la normativa vigente, sus actualizaciones, interpretaciones y reglas de aplicación, garantizando consistencia regulatoria entre las entidades del sector, trazabilidad de los cambios normativos y un uso homogéneo de la información normativa en los procesos institucionales, reduciendo riesgos derivados de interpretaciones dispares, reprocesos operativos y brechas de cumplimiento.</w:t>
      </w:r>
    </w:p>
    <w:p w:rsidR="005E3BD6" w:rsidP="005E3BD6" w:rsidRDefault="005E3BD6" w14:paraId="4232647A" w14:textId="77777777">
      <w:pPr>
        <w:spacing w:before="240"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En materia de interoperabilidad, el sector adoptará el estándar nacional X-Road como la autopista oficial para el intercambio de datos críticos, eliminando integraciones punto a punto que generan rigidez y costos de mantenimiento elevados. Complementariamente, se dispondrá de un API Manager o Gateway sectorial, orientado a la exposición de datos abiertos y servicios de consulta para ciudadanos y empresas, bajo esquemas de seguridad, control de acceso y trazabilidad.</w:t>
      </w:r>
    </w:p>
    <w:p w:rsidR="005E3BD6" w:rsidP="005E3BD6" w:rsidRDefault="005E3BD6" w14:paraId="22457257" w14:textId="77777777">
      <w:pPr>
        <w:spacing w:before="240" w:after="240" w:line="259" w:lineRule="auto"/>
        <w:jc w:val="both"/>
        <w:rPr>
          <w:rFonts w:ascii="Nunito Sans" w:hAnsi="Nunito Sans" w:eastAsia="Arial" w:cs="Calibri"/>
          <w:sz w:val="22"/>
          <w:szCs w:val="22"/>
          <w:lang w:val="es-ES"/>
        </w:rPr>
      </w:pPr>
      <w:r w:rsidRPr="761B0734">
        <w:rPr>
          <w:rFonts w:ascii="Nunito Sans" w:hAnsi="Nunito Sans" w:eastAsia="Arial" w:cs="Calibri"/>
          <w:sz w:val="22"/>
          <w:szCs w:val="22"/>
          <w:lang w:val="es-ES"/>
        </w:rPr>
        <w:t>Este modelo habilita la consolidación de una Ventanilla Única Minero-Energética, en la cual el ciudadano y el empresario interactúan con una única fachada digital integrada a la Carpeta Ciudadana Digital. A través de esta ventanilla, un trámite podrá involucrar a varias entidades del sector sin requerir múltiples autenticaciones ni interacciones fragmentadas. Asimismo, se automatizarán flujos de información clave entre planeación (UPME) y regulación (CREG), eliminando el trasiego manual de información y fortaleciendo la toma de decisiones sectoriales basadas en datos oportunos y confiables.</w:t>
      </w:r>
    </w:p>
    <w:p w:rsidRPr="00CA4194" w:rsidR="005E3BD6" w:rsidRDefault="1F325162" w14:paraId="5D403B29" w14:textId="36B1592F">
      <w:pPr>
        <w:pStyle w:val="Ttulo2"/>
        <w:numPr>
          <w:ilvl w:val="1"/>
          <w:numId w:val="22"/>
        </w:numPr>
      </w:pPr>
      <w:bookmarkStart w:name="_Toc1104770083" w:id="423"/>
      <w:bookmarkStart w:name="_Toc234234513" w:id="424"/>
      <w:r>
        <w:t xml:space="preserve">Situación </w:t>
      </w:r>
      <w:r w:rsidR="6281AC88">
        <w:t>O</w:t>
      </w:r>
      <w:r>
        <w:t>bjetivo (TO – BE) Interoperabilidad sectorial</w:t>
      </w:r>
      <w:bookmarkEnd w:id="423"/>
      <w:bookmarkEnd w:id="424"/>
    </w:p>
    <w:p w:rsidRPr="00DA4823" w:rsidR="005E3BD6" w:rsidP="005E3BD6" w:rsidRDefault="005E3BD6" w14:paraId="042A7FA5" w14:textId="77777777">
      <w:pPr>
        <w:spacing w:after="160"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La situación objetivo de interoperabilidad sectorial consiste en contar con un modelo integrado de intercambio de datos y servicios entre el MME, sus entidades adscritas y otros actores del Estado, basado en el Modelo de Interoperabilidad del MinTIC, el Ecosistema Nacional de Datos y la Arquitectura de Integración definida en la Guía de Arquitectura de Referencia del Ministerio.</w:t>
      </w:r>
      <w:r w:rsidRPr="00DA4823">
        <w:rPr>
          <w:rFonts w:ascii="Nunito Sans" w:hAnsi="Nunito Sans" w:eastAsia="Arial" w:cs="Calibri"/>
          <w:sz w:val="22"/>
          <w:szCs w:val="22"/>
          <w:lang w:val="es-ES"/>
        </w:rPr>
        <w:t xml:space="preserve"> </w:t>
      </w:r>
    </w:p>
    <w:p w:rsidRPr="00DA4823" w:rsidR="005E3BD6" w:rsidP="005E3BD6" w:rsidRDefault="005E3BD6" w14:paraId="6D6F980F" w14:textId="77777777">
      <w:pPr>
        <w:spacing w:after="160"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En el escenario To–Be, la interoperabilidad será el eje transversal de la arquitectura sectorial y se materializará en:</w:t>
      </w:r>
      <w:r w:rsidRPr="00DA4823">
        <w:rPr>
          <w:rFonts w:ascii="Nunito Sans" w:hAnsi="Nunito Sans" w:eastAsia="Arial" w:cs="Calibri"/>
          <w:sz w:val="22"/>
          <w:szCs w:val="22"/>
          <w:lang w:val="es-ES"/>
        </w:rPr>
        <w:t xml:space="preserve"> </w:t>
      </w:r>
    </w:p>
    <w:p w:rsidRPr="00DA4823" w:rsidR="005E3BD6" w:rsidRDefault="005E3BD6" w14:paraId="6D295D5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Una Plataforma Sectorial de Interoperabilidad que integre:</w:t>
      </w:r>
      <w:r w:rsidRPr="00DA4823">
        <w:rPr>
          <w:rFonts w:ascii="Nunito Sans" w:hAnsi="Nunito Sans" w:eastAsia="Arial" w:cs="Calibri"/>
          <w:sz w:val="22"/>
          <w:szCs w:val="22"/>
          <w:lang w:val="es-ES"/>
        </w:rPr>
        <w:t xml:space="preserve"> </w:t>
      </w:r>
    </w:p>
    <w:p w:rsidRPr="00DA4823" w:rsidR="005E3BD6" w:rsidRDefault="005E3BD6" w14:paraId="66EF20BB"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lastRenderedPageBreak/>
        <w:t>Un API Gateway para la publicación, protección, monitoreo y versionamiento de APIs sectoriales.</w:t>
      </w:r>
      <w:r w:rsidRPr="00DA4823">
        <w:rPr>
          <w:rFonts w:ascii="Nunito Sans" w:hAnsi="Nunito Sans" w:eastAsia="Arial" w:cs="Calibri"/>
          <w:sz w:val="22"/>
          <w:szCs w:val="22"/>
          <w:lang w:val="es-ES"/>
        </w:rPr>
        <w:t xml:space="preserve"> </w:t>
      </w:r>
    </w:p>
    <w:p w:rsidRPr="00DA4823" w:rsidR="005E3BD6" w:rsidRDefault="005E3BD6" w14:paraId="7EC79A72"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Una capa de orquestación y transformación (ESB / microservicios) para gestionar flujos síncronos y asíncronos, transformaciones de formatos y conexión con sistemas legados.</w:t>
      </w:r>
      <w:r w:rsidRPr="00DA4823">
        <w:rPr>
          <w:rFonts w:ascii="Nunito Sans" w:hAnsi="Nunito Sans" w:eastAsia="Arial" w:cs="Calibri"/>
          <w:sz w:val="22"/>
          <w:szCs w:val="22"/>
          <w:lang w:val="es-ES"/>
        </w:rPr>
        <w:t xml:space="preserve"> </w:t>
      </w:r>
    </w:p>
    <w:p w:rsidRPr="00DA4823" w:rsidR="005E3BD6" w:rsidRDefault="005E3BD6" w14:paraId="4A7CF290"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 xml:space="preserve">Una capa de integración de datos (DataOps) que alimente los lagos y bodegas de datos sectoriales mediante pipelines estandarizados (batch y streaming). </w:t>
      </w:r>
      <w:r w:rsidRPr="00DA4823">
        <w:rPr>
          <w:rFonts w:ascii="Nunito Sans" w:hAnsi="Nunito Sans" w:eastAsia="Arial" w:cs="Calibri"/>
          <w:sz w:val="22"/>
          <w:szCs w:val="22"/>
          <w:lang w:val="es-ES"/>
        </w:rPr>
        <w:t xml:space="preserve"> </w:t>
      </w:r>
    </w:p>
    <w:p w:rsidRPr="00DA4823" w:rsidR="005E3BD6" w:rsidRDefault="005E3BD6" w14:paraId="36724E90"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La adopción de estándares técnicos y semánticos comunes:</w:t>
      </w:r>
      <w:r w:rsidRPr="00DA4823">
        <w:rPr>
          <w:rFonts w:ascii="Nunito Sans" w:hAnsi="Nunito Sans" w:eastAsia="Arial" w:cs="Calibri"/>
          <w:sz w:val="22"/>
          <w:szCs w:val="22"/>
          <w:lang w:val="es-ES"/>
        </w:rPr>
        <w:t xml:space="preserve"> </w:t>
      </w:r>
    </w:p>
    <w:p w:rsidRPr="00DA4823" w:rsidR="005E3BD6" w:rsidRDefault="005E3BD6" w14:paraId="5A3CB26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Formatos de intercambio: JSON como estándar principal, XML/CSV cuando aplique, GeoJSON/WMS/WFS para datos geoespaciales.</w:t>
      </w:r>
      <w:r w:rsidRPr="00DA4823">
        <w:rPr>
          <w:rFonts w:ascii="Nunito Sans" w:hAnsi="Nunito Sans" w:eastAsia="Arial" w:cs="Calibri"/>
          <w:sz w:val="22"/>
          <w:szCs w:val="22"/>
          <w:lang w:val="es-ES"/>
        </w:rPr>
        <w:t xml:space="preserve"> </w:t>
      </w:r>
    </w:p>
    <w:p w:rsidRPr="00DA4823" w:rsidR="005E3BD6" w:rsidRDefault="005E3BD6" w14:paraId="65949C7D" w14:textId="3301DC0B">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 xml:space="preserve">Esquemas y contratos: </w:t>
      </w:r>
      <w:r w:rsidRPr="00DA4823" w:rsidR="003506DF">
        <w:rPr>
          <w:rFonts w:ascii="Nunito Sans" w:hAnsi="Nunito Sans" w:eastAsia="Arial" w:cs="Calibri"/>
          <w:sz w:val="22"/>
          <w:szCs w:val="22"/>
          <w:lang w:val="es"/>
        </w:rPr>
        <w:t>Open API</w:t>
      </w:r>
      <w:r w:rsidRPr="00DA4823">
        <w:rPr>
          <w:rFonts w:ascii="Nunito Sans" w:hAnsi="Nunito Sans" w:eastAsia="Arial" w:cs="Calibri"/>
          <w:sz w:val="22"/>
          <w:szCs w:val="22"/>
          <w:lang w:val="es"/>
        </w:rPr>
        <w:t xml:space="preserve">/Swagger, JSON Schema, estándares OGC para SIG, alineados con vocabularios y modelos de información institucionales. </w:t>
      </w:r>
      <w:r w:rsidRPr="00DA4823">
        <w:rPr>
          <w:rFonts w:ascii="Nunito Sans" w:hAnsi="Nunito Sans" w:eastAsia="Arial" w:cs="Calibri"/>
          <w:sz w:val="22"/>
          <w:szCs w:val="22"/>
          <w:lang w:val="es-ES"/>
        </w:rPr>
        <w:t xml:space="preserve"> </w:t>
      </w:r>
    </w:p>
    <w:p w:rsidRPr="00DA4823" w:rsidR="005E3BD6" w:rsidRDefault="005E3BD6" w14:paraId="1144526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La definición de un portafolio de Servicios de Interoperabilidad Críticos, que incluirá, entre otros:</w:t>
      </w:r>
      <w:r w:rsidRPr="00DA4823">
        <w:rPr>
          <w:rFonts w:ascii="Nunito Sans" w:hAnsi="Nunito Sans" w:eastAsia="Arial" w:cs="Calibri"/>
          <w:sz w:val="22"/>
          <w:szCs w:val="22"/>
          <w:lang w:val="es-ES"/>
        </w:rPr>
        <w:t xml:space="preserve"> </w:t>
      </w:r>
    </w:p>
    <w:p w:rsidRPr="00DA4823" w:rsidR="005E3BD6" w:rsidRDefault="005E3BD6" w14:paraId="051A484F"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Servicios de consulta y actualización de dominios maestros (empresas del sector, territorios, activos, proyectos, indicadores).</w:t>
      </w:r>
      <w:r w:rsidRPr="00DA4823">
        <w:rPr>
          <w:rFonts w:ascii="Nunito Sans" w:hAnsi="Nunito Sans" w:eastAsia="Arial" w:cs="Calibri"/>
          <w:sz w:val="22"/>
          <w:szCs w:val="22"/>
          <w:lang w:val="es-ES"/>
        </w:rPr>
        <w:t xml:space="preserve"> </w:t>
      </w:r>
    </w:p>
    <w:p w:rsidRPr="00DA4823" w:rsidR="005E3BD6" w:rsidRDefault="005E3BD6" w14:paraId="5C54C116"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Servicios para explotación de datos estadísticos y geoespaciales sectoriales.</w:t>
      </w:r>
      <w:r w:rsidRPr="00DA4823">
        <w:rPr>
          <w:rFonts w:ascii="Nunito Sans" w:hAnsi="Nunito Sans" w:eastAsia="Arial" w:cs="Calibri"/>
          <w:sz w:val="22"/>
          <w:szCs w:val="22"/>
          <w:lang w:val="es-ES"/>
        </w:rPr>
        <w:t xml:space="preserve"> </w:t>
      </w:r>
    </w:p>
    <w:p w:rsidRPr="00DA4823" w:rsidR="005E3BD6" w:rsidRDefault="005E3BD6" w14:paraId="3A80404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 xml:space="preserve">Servicios de soporte a la supervisión, regulación y planeación (por ejemplo, información para transición energética, seguimiento de proyectos, riesgo y seguridad energética). </w:t>
      </w:r>
      <w:r w:rsidRPr="00DA4823">
        <w:rPr>
          <w:rFonts w:ascii="Nunito Sans" w:hAnsi="Nunito Sans" w:eastAsia="Arial" w:cs="Calibri"/>
          <w:sz w:val="22"/>
          <w:szCs w:val="22"/>
          <w:lang w:val="es-ES"/>
        </w:rPr>
        <w:t xml:space="preserve"> </w:t>
      </w:r>
    </w:p>
    <w:p w:rsidRPr="00CA4194" w:rsidR="005E3BD6" w:rsidP="005E3BD6" w:rsidRDefault="005E3BD6" w14:paraId="652EFB72"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En términos de gobernanza, se establecerá un </w:t>
      </w:r>
      <w:r w:rsidRPr="00CA4194">
        <w:rPr>
          <w:rFonts w:ascii="Nunito Sans" w:hAnsi="Nunito Sans" w:eastAsia="Arial" w:cs="Calibri"/>
          <w:b/>
          <w:sz w:val="22"/>
          <w:szCs w:val="22"/>
          <w:lang w:val="es"/>
        </w:rPr>
        <w:t>modelo de gobierno de APIs y de integración</w:t>
      </w:r>
      <w:r w:rsidRPr="00CA4194">
        <w:rPr>
          <w:rFonts w:ascii="Nunito Sans" w:hAnsi="Nunito Sans" w:eastAsia="Arial" w:cs="Calibri"/>
          <w:sz w:val="22"/>
          <w:szCs w:val="22"/>
          <w:lang w:val="es"/>
        </w:rPr>
        <w:t>, que defina:</w:t>
      </w:r>
      <w:r w:rsidRPr="00CA4194">
        <w:rPr>
          <w:rFonts w:ascii="Nunito Sans" w:hAnsi="Nunito Sans" w:eastAsia="Arial" w:cs="Calibri"/>
          <w:sz w:val="22"/>
          <w:szCs w:val="22"/>
          <w:lang w:val="es-ES"/>
        </w:rPr>
        <w:t xml:space="preserve"> </w:t>
      </w:r>
    </w:p>
    <w:p w:rsidRPr="00CA4194" w:rsidR="005E3BD6" w:rsidRDefault="005E3BD6" w14:paraId="567136D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Roles (API Owner, Arquitecto de Integración, Equipo de Seguridad, Data Steward de Integración).</w:t>
      </w:r>
      <w:r w:rsidRPr="00CA4194">
        <w:rPr>
          <w:rFonts w:ascii="Nunito Sans" w:hAnsi="Nunito Sans" w:eastAsia="Arial" w:cs="Calibri"/>
          <w:sz w:val="22"/>
          <w:szCs w:val="22"/>
          <w:lang w:val="es-ES"/>
        </w:rPr>
        <w:t xml:space="preserve"> </w:t>
      </w:r>
    </w:p>
    <w:p w:rsidRPr="00CA4194" w:rsidR="005E3BD6" w:rsidRDefault="005E3BD6" w14:paraId="50514ADE"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Políticas de seguridad (autenticación, autorización, cifrado, trazabilidad), versionamiento, documentación, monitoreo y deprecación de servicios.</w:t>
      </w:r>
      <w:r w:rsidRPr="00CA4194">
        <w:rPr>
          <w:rFonts w:ascii="Nunito Sans" w:hAnsi="Nunito Sans" w:eastAsia="Arial" w:cs="Calibri"/>
          <w:sz w:val="22"/>
          <w:szCs w:val="22"/>
          <w:lang w:val="es-ES"/>
        </w:rPr>
        <w:t xml:space="preserve"> </w:t>
      </w:r>
    </w:p>
    <w:p w:rsidRPr="00CA4194" w:rsidR="005E3BD6" w:rsidRDefault="005E3BD6" w14:paraId="59B1F70C"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Métricas sectoriales de interoperabilidad (porcentaje de sistemas integrados, servicios reutilizados, reducción de integraciones punto a punto, tiempo medio de integración de nuevos servicios). </w:t>
      </w:r>
      <w:r w:rsidRPr="00CA4194">
        <w:rPr>
          <w:rFonts w:ascii="Nunito Sans" w:hAnsi="Nunito Sans" w:eastAsia="Arial" w:cs="Calibri"/>
          <w:sz w:val="22"/>
          <w:szCs w:val="22"/>
          <w:lang w:val="es-ES"/>
        </w:rPr>
        <w:t xml:space="preserve"> </w:t>
      </w:r>
    </w:p>
    <w:p w:rsidRPr="00DA4823" w:rsidR="005E3BD6" w:rsidP="005E3BD6" w:rsidRDefault="005E3BD6" w14:paraId="1B5F5D61" w14:textId="77777777">
      <w:pPr>
        <w:spacing w:after="160" w:line="276" w:lineRule="auto"/>
        <w:jc w:val="both"/>
        <w:rPr>
          <w:rFonts w:ascii="Nunito Sans" w:hAnsi="Nunito Sans" w:eastAsia="Arial" w:cs="Calibri"/>
          <w:bCs/>
          <w:sz w:val="22"/>
          <w:szCs w:val="22"/>
          <w:lang w:val="es-ES"/>
        </w:rPr>
      </w:pPr>
      <w:r w:rsidRPr="00CA4194">
        <w:rPr>
          <w:rFonts w:ascii="Nunito Sans" w:hAnsi="Nunito Sans" w:eastAsia="Arial" w:cs="Calibri"/>
          <w:sz w:val="22"/>
          <w:szCs w:val="22"/>
          <w:lang w:val="es"/>
        </w:rPr>
        <w:t xml:space="preserve">Reconociendo que algunas entidades avanzarán más rápido que otras, se plantea un enfoque de </w:t>
      </w:r>
      <w:r w:rsidRPr="00DA4823">
        <w:rPr>
          <w:rFonts w:ascii="Nunito Sans" w:hAnsi="Nunito Sans" w:eastAsia="Arial" w:cs="Calibri"/>
          <w:bCs/>
          <w:sz w:val="22"/>
          <w:szCs w:val="22"/>
          <w:lang w:val="es"/>
        </w:rPr>
        <w:t>adopción progresiva, donde:</w:t>
      </w:r>
      <w:r w:rsidRPr="00DA4823">
        <w:rPr>
          <w:rFonts w:ascii="Nunito Sans" w:hAnsi="Nunito Sans" w:eastAsia="Arial" w:cs="Calibri"/>
          <w:bCs/>
          <w:sz w:val="22"/>
          <w:szCs w:val="22"/>
          <w:lang w:val="es-ES"/>
        </w:rPr>
        <w:t xml:space="preserve"> </w:t>
      </w:r>
    </w:p>
    <w:p w:rsidRPr="00DA4823" w:rsidR="005E3BD6" w:rsidRDefault="005E3BD6" w14:paraId="348E19CC" w14:textId="77777777">
      <w:pPr>
        <w:pStyle w:val="Prrafodelista"/>
        <w:numPr>
          <w:ilvl w:val="0"/>
          <w:numId w:val="17"/>
        </w:numPr>
        <w:spacing w:line="276" w:lineRule="auto"/>
        <w:ind w:left="720"/>
        <w:jc w:val="both"/>
        <w:rPr>
          <w:rFonts w:ascii="Nunito Sans" w:hAnsi="Nunito Sans" w:eastAsia="Arial" w:cs="Calibri"/>
          <w:bCs/>
          <w:sz w:val="22"/>
          <w:szCs w:val="22"/>
          <w:lang w:val="es-ES"/>
        </w:rPr>
      </w:pPr>
      <w:r w:rsidRPr="00DA4823">
        <w:rPr>
          <w:rFonts w:ascii="Nunito Sans" w:hAnsi="Nunito Sans" w:eastAsia="Arial" w:cs="Calibri"/>
          <w:bCs/>
          <w:sz w:val="22"/>
          <w:szCs w:val="22"/>
          <w:lang w:val="es"/>
        </w:rPr>
        <w:t>La interoperabilidad básica (nivel 1) garantizará, como mínimo, el consumo de dominios maestros y algunos servicios estadísticos.</w:t>
      </w:r>
      <w:r w:rsidRPr="00DA4823">
        <w:rPr>
          <w:rFonts w:ascii="Nunito Sans" w:hAnsi="Nunito Sans" w:eastAsia="Arial" w:cs="Calibri"/>
          <w:bCs/>
          <w:sz w:val="22"/>
          <w:szCs w:val="22"/>
          <w:lang w:val="es-ES"/>
        </w:rPr>
        <w:t xml:space="preserve"> </w:t>
      </w:r>
    </w:p>
    <w:p w:rsidR="005E3BD6" w:rsidRDefault="005E3BD6" w14:paraId="4A806C7E" w14:textId="77777777">
      <w:pPr>
        <w:pStyle w:val="Prrafodelista"/>
        <w:numPr>
          <w:ilvl w:val="0"/>
          <w:numId w:val="17"/>
        </w:numPr>
        <w:spacing w:line="276" w:lineRule="auto"/>
        <w:ind w:left="720"/>
        <w:jc w:val="both"/>
        <w:rPr>
          <w:rFonts w:ascii="Nunito Sans" w:hAnsi="Nunito Sans" w:eastAsia="Arial" w:cs="Calibri"/>
          <w:bCs/>
          <w:sz w:val="22"/>
          <w:szCs w:val="22"/>
          <w:lang w:val="es-ES"/>
        </w:rPr>
      </w:pPr>
      <w:r w:rsidRPr="00DA4823">
        <w:rPr>
          <w:rFonts w:ascii="Nunito Sans" w:hAnsi="Nunito Sans" w:eastAsia="Arial" w:cs="Calibri"/>
          <w:bCs/>
          <w:sz w:val="22"/>
          <w:szCs w:val="22"/>
          <w:lang w:val="es"/>
        </w:rPr>
        <w:t>La interoperabilidad avanzada (niveles 2 y 3) permitirá la integración en tiempo real, el uso de eventos (streaming) y la articulación directa con las capas analíticas, de IA y MLOps sectoriales.</w:t>
      </w:r>
      <w:r w:rsidRPr="00DA4823">
        <w:rPr>
          <w:rFonts w:ascii="Nunito Sans" w:hAnsi="Nunito Sans" w:eastAsia="Arial" w:cs="Calibri"/>
          <w:bCs/>
          <w:sz w:val="22"/>
          <w:szCs w:val="22"/>
          <w:lang w:val="es-ES"/>
        </w:rPr>
        <w:t xml:space="preserve"> </w:t>
      </w:r>
    </w:p>
    <w:p w:rsidRPr="00DA4823" w:rsidR="005E3BD6" w:rsidP="005E3BD6" w:rsidRDefault="005E3BD6" w14:paraId="3BCEFF41" w14:textId="77777777">
      <w:pPr>
        <w:pStyle w:val="Prrafodelista"/>
        <w:spacing w:line="276" w:lineRule="auto"/>
        <w:ind w:left="720"/>
        <w:jc w:val="both"/>
        <w:rPr>
          <w:rFonts w:ascii="Nunito Sans" w:hAnsi="Nunito Sans" w:eastAsia="Arial" w:cs="Calibri"/>
          <w:bCs/>
          <w:sz w:val="22"/>
          <w:szCs w:val="22"/>
          <w:lang w:val="es-ES"/>
        </w:rPr>
      </w:pPr>
    </w:p>
    <w:p w:rsidRPr="00CA4194" w:rsidR="005E3BD6" w:rsidP="005E3BD6" w:rsidRDefault="005E3BD6" w14:paraId="0F234685"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lastRenderedPageBreak/>
        <w:t>Visión General</w:t>
      </w:r>
      <w:r w:rsidRPr="00CA4194">
        <w:rPr>
          <w:rFonts w:ascii="Nunito Sans" w:hAnsi="Nunito Sans" w:eastAsia="Arial" w:cs="Calibri"/>
          <w:sz w:val="22"/>
          <w:szCs w:val="22"/>
          <w:lang w:val="es-ES"/>
        </w:rPr>
        <w:t xml:space="preserve"> </w:t>
      </w:r>
    </w:p>
    <w:p w:rsidRPr="00DA4823" w:rsidR="005E3BD6" w:rsidP="00380AF7" w:rsidRDefault="005E3BD6" w14:paraId="575510FD" w14:textId="12B085C9">
      <w:pPr>
        <w:spacing w:after="160"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La interoperabilidad sectorial será el eje articulador de la transformación digital del Sector Minero–Energético (SME).</w:t>
      </w:r>
      <w:r w:rsidRPr="00DA4823">
        <w:rPr>
          <w:rFonts w:ascii="Nunito Sans" w:hAnsi="Nunito Sans" w:eastAsia="Arial" w:cs="Calibri"/>
          <w:sz w:val="22"/>
          <w:szCs w:val="22"/>
          <w:lang w:val="es-ES"/>
        </w:rPr>
        <w:t xml:space="preserve"> </w:t>
      </w:r>
      <w:r w:rsidR="00380AF7">
        <w:rPr>
          <w:rFonts w:ascii="Nunito Sans" w:hAnsi="Nunito Sans" w:cs="Calibri"/>
          <w:sz w:val="22"/>
          <w:szCs w:val="22"/>
        </w:rPr>
        <w:t xml:space="preserve"> </w:t>
      </w:r>
      <w:r w:rsidRPr="00DA4823">
        <w:rPr>
          <w:rFonts w:ascii="Nunito Sans" w:hAnsi="Nunito Sans" w:eastAsia="Arial" w:cs="Calibri"/>
          <w:sz w:val="22"/>
          <w:szCs w:val="22"/>
          <w:lang w:val="es"/>
        </w:rPr>
        <w:t>El objetivo es consolidar un modelo integrado de intercambio de datos, procesos y servicios entre el Ministerio de Minas y Energía (MME), sus entidades adscritas y vinculadas (ANM, ANH, UPME, IPSE, CREG, SGC, entre otras) y los actores externos del Estado y del ecosistema nacional, en alineación con:</w:t>
      </w:r>
      <w:r w:rsidRPr="00DA4823">
        <w:rPr>
          <w:rFonts w:ascii="Nunito Sans" w:hAnsi="Nunito Sans" w:eastAsia="Arial" w:cs="Calibri"/>
          <w:sz w:val="22"/>
          <w:szCs w:val="22"/>
          <w:lang w:val="es-ES"/>
        </w:rPr>
        <w:t xml:space="preserve"> </w:t>
      </w:r>
    </w:p>
    <w:p w:rsidRPr="00DA4823" w:rsidR="005E3BD6" w:rsidRDefault="005E3BD6" w14:paraId="7579AE5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El Modelo de Interoperabilidad del Estado Colombiano (MIE) definido por el MinTIC.</w:t>
      </w:r>
      <w:r w:rsidRPr="00DA4823">
        <w:rPr>
          <w:rFonts w:ascii="Nunito Sans" w:hAnsi="Nunito Sans" w:eastAsia="Arial" w:cs="Calibri"/>
          <w:sz w:val="22"/>
          <w:szCs w:val="22"/>
          <w:lang w:val="es-ES"/>
        </w:rPr>
        <w:t xml:space="preserve"> </w:t>
      </w:r>
    </w:p>
    <w:p w:rsidRPr="00DA4823" w:rsidR="005E3BD6" w:rsidRDefault="005E3BD6" w14:paraId="58227083"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El Ecosistema Nacional de Datos (END) y el Plan Nacional de Infraestructura de Datos (PNID).</w:t>
      </w:r>
      <w:r w:rsidRPr="00DA4823">
        <w:rPr>
          <w:rFonts w:ascii="Nunito Sans" w:hAnsi="Nunito Sans" w:eastAsia="Arial" w:cs="Calibri"/>
          <w:sz w:val="22"/>
          <w:szCs w:val="22"/>
          <w:lang w:val="es-ES"/>
        </w:rPr>
        <w:t xml:space="preserve"> </w:t>
      </w:r>
    </w:p>
    <w:p w:rsidRPr="00DA4823" w:rsidR="005E3BD6" w:rsidRDefault="005E3BD6" w14:paraId="3C4325E2"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sz w:val="22"/>
          <w:szCs w:val="22"/>
          <w:lang w:val="es"/>
        </w:rPr>
        <w:t>Las políticas de Gobierno Digital, Datos Abiertos y Seguridad de la Información (ISO 27001, ISO 38500).</w:t>
      </w:r>
      <w:r w:rsidRPr="00DA4823">
        <w:rPr>
          <w:rFonts w:ascii="Nunito Sans" w:hAnsi="Nunito Sans" w:eastAsia="Arial" w:cs="Calibri"/>
          <w:sz w:val="22"/>
          <w:szCs w:val="22"/>
          <w:lang w:val="es-ES"/>
        </w:rPr>
        <w:t xml:space="preserve"> </w:t>
      </w:r>
    </w:p>
    <w:p w:rsidRPr="000A3312" w:rsidR="005E3BD6" w:rsidP="005E3BD6" w:rsidRDefault="005E3BD6" w14:paraId="77113633" w14:textId="77777777">
      <w:pPr>
        <w:spacing w:after="160"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La interoperabilidad se concibe no solo como un mecanismo técnico, sino como un principio de gobernanza sectorial, que permitirá que los datos y servicios fluyan de manera segura, estandarizada y controlada entre las instituciones.</w:t>
      </w:r>
      <w:r w:rsidRPr="00DA4823">
        <w:rPr>
          <w:rFonts w:ascii="Nunito Sans" w:hAnsi="Nunito Sans" w:eastAsia="Arial" w:cs="Calibri"/>
          <w:sz w:val="22"/>
          <w:szCs w:val="22"/>
          <w:lang w:val="es-ES"/>
        </w:rPr>
        <w:t xml:space="preserve"> </w:t>
      </w:r>
    </w:p>
    <w:p w:rsidR="00A97C53" w:rsidP="005E3BD6" w:rsidRDefault="005E3BD6" w14:paraId="2292B288" w14:textId="22B3ACAB">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Plataforma Sectorial de Interoperabilidad</w:t>
      </w:r>
      <w:r w:rsidRPr="00CA4194">
        <w:rPr>
          <w:rFonts w:ascii="Nunito Sans" w:hAnsi="Nunito Sans" w:eastAsia="Arial" w:cs="Calibri"/>
          <w:sz w:val="22"/>
          <w:szCs w:val="22"/>
          <w:lang w:val="es-ES"/>
        </w:rPr>
        <w:t xml:space="preserve"> </w:t>
      </w:r>
    </w:p>
    <w:p w:rsidR="005E3BD6" w:rsidP="00380AF7" w:rsidRDefault="00813EA5" w14:paraId="7D05D5D1" w14:textId="319E3FBE">
      <w:pPr>
        <w:pStyle w:val="Descripcin"/>
        <w:keepNext/>
        <w:spacing w:after="0"/>
        <w:jc w:val="center"/>
        <w:rPr>
          <w:rStyle w:val="normaltextrun"/>
          <w:rFonts w:ascii="Nunito Sans" w:hAnsi="Nunito Sans"/>
          <w:b/>
          <w:bCs/>
          <w:color w:val="212745"/>
          <w:shd w:val="clear" w:color="auto" w:fill="FFFFFF"/>
        </w:rPr>
      </w:pPr>
      <w:bookmarkStart w:name="_Toc220664390" w:id="425"/>
      <w:r w:rsidRPr="00C04964">
        <w:rPr>
          <w:rStyle w:val="normaltextrun"/>
          <w:rFonts w:ascii="Nunito Sans" w:hAnsi="Nunito Sans"/>
          <w:b/>
          <w:bCs/>
          <w:color w:val="212745"/>
          <w:shd w:val="clear" w:color="auto" w:fill="FFFFFF"/>
        </w:rPr>
        <w:t xml:space="preserve">Ilustración </w:t>
      </w:r>
      <w:r w:rsidRPr="00C04964">
        <w:rPr>
          <w:rStyle w:val="normaltextrun"/>
          <w:rFonts w:ascii="Nunito Sans" w:hAnsi="Nunito Sans"/>
          <w:b/>
          <w:bCs/>
          <w:color w:val="212745"/>
          <w:shd w:val="clear" w:color="auto" w:fill="FFFFFF"/>
        </w:rPr>
        <w:fldChar w:fldCharType="begin"/>
      </w:r>
      <w:r w:rsidRPr="00C04964">
        <w:rPr>
          <w:rStyle w:val="normaltextrun"/>
          <w:rFonts w:ascii="Nunito Sans" w:hAnsi="Nunito Sans"/>
          <w:b/>
          <w:bCs/>
          <w:color w:val="212745"/>
          <w:shd w:val="clear" w:color="auto" w:fill="FFFFFF"/>
        </w:rPr>
        <w:instrText xml:space="preserve"> SEQ Ilustración \* ARABIC </w:instrText>
      </w:r>
      <w:r w:rsidRPr="00C04964">
        <w:rPr>
          <w:rStyle w:val="normaltextrun"/>
          <w:rFonts w:ascii="Nunito Sans" w:hAnsi="Nunito Sans"/>
          <w:b/>
          <w:bCs/>
          <w:color w:val="212745"/>
          <w:shd w:val="clear" w:color="auto" w:fill="FFFFFF"/>
        </w:rPr>
        <w:fldChar w:fldCharType="separate"/>
      </w:r>
      <w:r w:rsidR="00C57F7B">
        <w:rPr>
          <w:rStyle w:val="normaltextrun"/>
          <w:rFonts w:ascii="Nunito Sans" w:hAnsi="Nunito Sans"/>
          <w:b/>
          <w:bCs/>
          <w:noProof/>
          <w:color w:val="212745"/>
          <w:shd w:val="clear" w:color="auto" w:fill="FFFFFF"/>
        </w:rPr>
        <w:t>6</w:t>
      </w:r>
      <w:r w:rsidRPr="00C04964">
        <w:rPr>
          <w:rStyle w:val="normaltextrun"/>
          <w:rFonts w:ascii="Nunito Sans" w:hAnsi="Nunito Sans"/>
          <w:b/>
          <w:bCs/>
          <w:color w:val="212745"/>
          <w:shd w:val="clear" w:color="auto" w:fill="FFFFFF"/>
        </w:rPr>
        <w:fldChar w:fldCharType="end"/>
      </w:r>
      <w:r w:rsidRPr="00C04964" w:rsidR="005E3BD6">
        <w:rPr>
          <w:rStyle w:val="normaltextrun"/>
          <w:rFonts w:ascii="Nunito Sans" w:hAnsi="Nunito Sans"/>
          <w:b/>
          <w:bCs/>
          <w:color w:val="212745"/>
          <w:shd w:val="clear" w:color="auto" w:fill="FFFFFF"/>
        </w:rPr>
        <w:t xml:space="preserve">: </w:t>
      </w:r>
      <w:r w:rsidRPr="00CF203F" w:rsidR="005E3BD6">
        <w:rPr>
          <w:rStyle w:val="normaltextrun"/>
          <w:rFonts w:ascii="Nunito Sans" w:hAnsi="Nunito Sans"/>
          <w:b/>
          <w:bCs/>
          <w:color w:val="212745"/>
          <w:shd w:val="clear" w:color="auto" w:fill="FFFFFF"/>
        </w:rPr>
        <w:t>Plataforma Sectorial de Interoperabilidad</w:t>
      </w:r>
      <w:bookmarkEnd w:id="425"/>
    </w:p>
    <w:p w:rsidRPr="00A97C53" w:rsidR="00A97C53" w:rsidP="00A97C53" w:rsidRDefault="00A97C53" w14:paraId="7FE04367" w14:textId="77777777"/>
    <w:p w:rsidR="005E3BD6" w:rsidP="005E3BD6" w:rsidRDefault="005E3BD6" w14:paraId="63E8A411" w14:textId="77777777">
      <w:pPr>
        <w:spacing w:after="160" w:line="276" w:lineRule="auto"/>
        <w:jc w:val="center"/>
        <w:rPr>
          <w:rFonts w:ascii="Nunito Sans" w:hAnsi="Nunito Sans" w:cs="Calibri"/>
          <w:sz w:val="22"/>
          <w:szCs w:val="22"/>
        </w:rPr>
      </w:pPr>
      <w:r w:rsidRPr="00CA4194">
        <w:rPr>
          <w:rFonts w:ascii="Nunito Sans" w:hAnsi="Nunito Sans" w:cs="Calibri"/>
          <w:noProof/>
          <w:sz w:val="22"/>
          <w:szCs w:val="22"/>
        </w:rPr>
        <w:drawing>
          <wp:inline distT="0" distB="0" distL="0" distR="0" wp14:anchorId="736C2336" wp14:editId="64332C8F">
            <wp:extent cx="5306786" cy="3537857"/>
            <wp:effectExtent l="0" t="0" r="1905" b="5715"/>
            <wp:docPr id="13268808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880898" name="Picture 1326880898"/>
                    <pic:cNvPicPr/>
                  </pic:nvPicPr>
                  <pic:blipFill>
                    <a:blip r:embed="rId85">
                      <a:extLst>
                        <a:ext uri="{28A0092B-C50C-407E-A947-70E740481C1C}">
                          <a14:useLocalDpi xmlns:a14="http://schemas.microsoft.com/office/drawing/2010/main"/>
                        </a:ext>
                      </a:extLst>
                    </a:blip>
                    <a:stretch>
                      <a:fillRect/>
                    </a:stretch>
                  </pic:blipFill>
                  <pic:spPr>
                    <a:xfrm>
                      <a:off x="0" y="0"/>
                      <a:ext cx="5388803" cy="3592535"/>
                    </a:xfrm>
                    <a:prstGeom prst="rect">
                      <a:avLst/>
                    </a:prstGeom>
                  </pic:spPr>
                </pic:pic>
              </a:graphicData>
            </a:graphic>
          </wp:inline>
        </w:drawing>
      </w:r>
    </w:p>
    <w:p w:rsidRPr="00CA4194" w:rsidR="00A97C53" w:rsidP="00A97C53" w:rsidRDefault="00A97C53" w14:paraId="747AE0B3" w14:textId="77777777">
      <w:pPr>
        <w:jc w:val="center"/>
        <w:rPr>
          <w:rFonts w:ascii="Nunito Sans" w:hAnsi="Nunito Sans" w:eastAsia="Arial" w:cs="Calibri"/>
          <w:sz w:val="22"/>
          <w:szCs w:val="22"/>
        </w:rPr>
      </w:pPr>
      <w:r w:rsidRPr="007D3407">
        <w:rPr>
          <w:rFonts w:ascii="Nunito Sans" w:hAnsi="Nunito Sans" w:eastAsia="Arial" w:cs="Calibri"/>
          <w:sz w:val="18"/>
          <w:szCs w:val="18"/>
        </w:rPr>
        <w:t>Fuente: elaboración propia</w:t>
      </w:r>
      <w:r w:rsidRPr="00CA4194">
        <w:rPr>
          <w:rFonts w:ascii="Nunito Sans" w:hAnsi="Nunito Sans" w:eastAsia="Arial" w:cs="Calibri"/>
          <w:sz w:val="22"/>
          <w:szCs w:val="22"/>
        </w:rPr>
        <w:t>.</w:t>
      </w:r>
    </w:p>
    <w:p w:rsidRPr="00CA4194" w:rsidR="00A97C53" w:rsidP="005E3BD6" w:rsidRDefault="00A97C53" w14:paraId="67AE210D" w14:textId="77777777">
      <w:pPr>
        <w:spacing w:after="160" w:line="276" w:lineRule="auto"/>
        <w:jc w:val="center"/>
        <w:rPr>
          <w:rFonts w:ascii="Nunito Sans" w:hAnsi="Nunito Sans" w:cs="Calibri"/>
          <w:sz w:val="22"/>
          <w:szCs w:val="22"/>
        </w:rPr>
      </w:pPr>
    </w:p>
    <w:p w:rsidRPr="00CA4194" w:rsidR="005E3BD6" w:rsidP="005E3BD6" w:rsidRDefault="005E3BD6" w14:paraId="6EEB04CD"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 </w:t>
      </w:r>
      <w:r w:rsidRPr="00CA4194">
        <w:rPr>
          <w:rFonts w:ascii="Nunito Sans" w:hAnsi="Nunito Sans" w:eastAsia="Arial" w:cs="Calibri"/>
          <w:sz w:val="22"/>
          <w:szCs w:val="22"/>
          <w:lang w:val="es-ES"/>
        </w:rPr>
        <w:t xml:space="preserve"> </w:t>
      </w:r>
      <w:r w:rsidRPr="00CA4194">
        <w:rPr>
          <w:rFonts w:ascii="Nunito Sans" w:hAnsi="Nunito Sans" w:eastAsia="Arial" w:cs="Calibri"/>
          <w:sz w:val="22"/>
          <w:szCs w:val="22"/>
          <w:lang w:val="es"/>
        </w:rPr>
        <w:t>Plataforma Sectorial de Interoperabilidad (PSI), estructurado en tres capas:</w:t>
      </w:r>
      <w:r w:rsidRPr="00CA4194">
        <w:rPr>
          <w:rFonts w:ascii="Nunito Sans" w:hAnsi="Nunito Sans" w:eastAsia="Arial" w:cs="Calibri"/>
          <w:sz w:val="22"/>
          <w:szCs w:val="22"/>
          <w:lang w:val="es-ES"/>
        </w:rPr>
        <w:t xml:space="preserve"> </w:t>
      </w:r>
    </w:p>
    <w:p w:rsidRPr="00CA4194" w:rsidR="005E3BD6" w:rsidRDefault="005E3BD6" w14:paraId="49242A80" w14:textId="77777777">
      <w:pPr>
        <w:pStyle w:val="Prrafodelista"/>
        <w:numPr>
          <w:ilvl w:val="0"/>
          <w:numId w:val="17"/>
        </w:numPr>
        <w:spacing w:line="276" w:lineRule="auto"/>
        <w:ind w:left="1080"/>
        <w:jc w:val="both"/>
        <w:rPr>
          <w:rFonts w:ascii="Nunito Sans" w:hAnsi="Nunito Sans" w:eastAsia="Arial" w:cs="Calibri"/>
          <w:sz w:val="22"/>
          <w:szCs w:val="22"/>
          <w:lang w:val="es-ES"/>
        </w:rPr>
      </w:pPr>
      <w:r w:rsidRPr="00CA4194">
        <w:rPr>
          <w:rFonts w:ascii="Nunito Sans" w:hAnsi="Nunito Sans" w:eastAsia="Arial" w:cs="Calibri"/>
          <w:sz w:val="22"/>
          <w:szCs w:val="22"/>
          <w:lang w:val="es"/>
        </w:rPr>
        <w:t>Etapa 1: API Gateway</w:t>
      </w:r>
    </w:p>
    <w:p w:rsidRPr="00CA4194" w:rsidR="005E3BD6" w:rsidP="005E3BD6" w:rsidRDefault="005E3BD6" w14:paraId="0B7F5E6C" w14:textId="77777777">
      <w:pPr>
        <w:pStyle w:val="Prrafodelista"/>
        <w:spacing w:line="276" w:lineRule="auto"/>
        <w:ind w:left="1134"/>
        <w:jc w:val="both"/>
        <w:rPr>
          <w:rFonts w:ascii="Nunito Sans" w:hAnsi="Nunito Sans" w:eastAsia="Arial" w:cs="Calibri"/>
          <w:sz w:val="22"/>
          <w:szCs w:val="22"/>
          <w:lang w:val="es-ES"/>
        </w:rPr>
      </w:pPr>
      <w:r w:rsidRPr="00CA4194">
        <w:rPr>
          <w:rFonts w:ascii="Nunito Sans" w:hAnsi="Nunito Sans" w:eastAsia="Arial" w:cs="Calibri"/>
          <w:sz w:val="22"/>
          <w:szCs w:val="22"/>
          <w:lang w:val="es"/>
        </w:rPr>
        <w:t>Publicación y protección de APIs, autenticación, monitoreo.</w:t>
      </w:r>
      <w:r w:rsidRPr="00CA4194">
        <w:rPr>
          <w:rFonts w:ascii="Nunito Sans" w:hAnsi="Nunito Sans" w:eastAsia="Arial" w:cs="Calibri"/>
          <w:sz w:val="22"/>
          <w:szCs w:val="22"/>
          <w:lang w:val="es-ES"/>
        </w:rPr>
        <w:t xml:space="preserve"> </w:t>
      </w:r>
    </w:p>
    <w:p w:rsidRPr="00CA4194" w:rsidR="005E3BD6" w:rsidRDefault="005E3BD6" w14:paraId="30561A9F" w14:textId="77777777">
      <w:pPr>
        <w:pStyle w:val="Prrafodelista"/>
        <w:numPr>
          <w:ilvl w:val="0"/>
          <w:numId w:val="17"/>
        </w:numPr>
        <w:spacing w:line="276" w:lineRule="auto"/>
        <w:ind w:left="1080"/>
        <w:jc w:val="both"/>
        <w:rPr>
          <w:rFonts w:ascii="Nunito Sans" w:hAnsi="Nunito Sans" w:eastAsia="Arial" w:cs="Calibri"/>
          <w:sz w:val="22"/>
          <w:szCs w:val="22"/>
          <w:lang w:val="es-ES"/>
        </w:rPr>
      </w:pPr>
      <w:r w:rsidRPr="00CA4194">
        <w:rPr>
          <w:rFonts w:ascii="Nunito Sans" w:hAnsi="Nunito Sans" w:eastAsia="Arial" w:cs="Calibri"/>
          <w:sz w:val="22"/>
          <w:szCs w:val="22"/>
          <w:lang w:val="es"/>
        </w:rPr>
        <w:t>Etapa 2: Orquestación e Integración</w:t>
      </w:r>
      <w:r w:rsidRPr="00CA4194">
        <w:rPr>
          <w:rFonts w:ascii="Nunito Sans" w:hAnsi="Nunito Sans" w:eastAsia="Arial" w:cs="Calibri"/>
          <w:sz w:val="22"/>
          <w:szCs w:val="22"/>
          <w:lang w:val="es-ES"/>
        </w:rPr>
        <w:t xml:space="preserve"> </w:t>
      </w:r>
    </w:p>
    <w:p w:rsidRPr="00CA4194" w:rsidR="005E3BD6" w:rsidP="005E3BD6" w:rsidRDefault="005E3BD6" w14:paraId="724800E1" w14:textId="77777777">
      <w:pPr>
        <w:pStyle w:val="Prrafodelista"/>
        <w:spacing w:line="276" w:lineRule="auto"/>
        <w:ind w:left="1276" w:hanging="142"/>
        <w:jc w:val="both"/>
        <w:rPr>
          <w:rFonts w:ascii="Nunito Sans" w:hAnsi="Nunito Sans" w:eastAsia="Arial" w:cs="Calibri"/>
          <w:sz w:val="22"/>
          <w:szCs w:val="22"/>
          <w:lang w:val="es-ES"/>
        </w:rPr>
      </w:pPr>
      <w:r w:rsidRPr="00CA4194">
        <w:rPr>
          <w:rFonts w:ascii="Nunito Sans" w:hAnsi="Nunito Sans" w:eastAsia="Arial" w:cs="Calibri"/>
          <w:sz w:val="22"/>
          <w:szCs w:val="22"/>
          <w:lang w:val="es"/>
        </w:rPr>
        <w:t>Enrutamiento, transformaciones, manejo de errores, ESB/Microservicios.</w:t>
      </w:r>
      <w:r w:rsidRPr="00CA4194">
        <w:rPr>
          <w:rFonts w:ascii="Nunito Sans" w:hAnsi="Nunito Sans" w:eastAsia="Arial" w:cs="Calibri"/>
          <w:sz w:val="22"/>
          <w:szCs w:val="22"/>
          <w:lang w:val="es-ES"/>
        </w:rPr>
        <w:t xml:space="preserve"> </w:t>
      </w:r>
    </w:p>
    <w:p w:rsidRPr="00CA4194" w:rsidR="005E3BD6" w:rsidRDefault="005E3BD6" w14:paraId="4F569DA4" w14:textId="77777777">
      <w:pPr>
        <w:pStyle w:val="Prrafodelista"/>
        <w:numPr>
          <w:ilvl w:val="0"/>
          <w:numId w:val="17"/>
        </w:numPr>
        <w:spacing w:line="276" w:lineRule="auto"/>
        <w:ind w:left="1080"/>
        <w:jc w:val="both"/>
        <w:rPr>
          <w:rFonts w:ascii="Nunito Sans" w:hAnsi="Nunito Sans" w:eastAsia="Arial" w:cs="Calibri"/>
          <w:sz w:val="22"/>
          <w:szCs w:val="22"/>
          <w:lang w:val="es-ES"/>
        </w:rPr>
      </w:pPr>
      <w:r w:rsidRPr="00CA4194">
        <w:rPr>
          <w:rFonts w:ascii="Nunito Sans" w:hAnsi="Nunito Sans" w:eastAsia="Arial" w:cs="Calibri"/>
          <w:sz w:val="22"/>
          <w:szCs w:val="22"/>
          <w:lang w:val="es"/>
        </w:rPr>
        <w:t>Etapa 3: Integración de Datos</w:t>
      </w:r>
      <w:r w:rsidRPr="00CA4194">
        <w:rPr>
          <w:rFonts w:ascii="Nunito Sans" w:hAnsi="Nunito Sans" w:eastAsia="Arial" w:cs="Calibri"/>
          <w:sz w:val="22"/>
          <w:szCs w:val="22"/>
          <w:lang w:val="es-ES"/>
        </w:rPr>
        <w:t xml:space="preserve"> </w:t>
      </w:r>
    </w:p>
    <w:p w:rsidR="005E3BD6" w:rsidP="005E3BD6" w:rsidRDefault="005E3BD6" w14:paraId="48EA779E" w14:textId="4E06E453">
      <w:pPr>
        <w:pStyle w:val="Prrafodelista"/>
        <w:spacing w:line="276" w:lineRule="auto"/>
        <w:ind w:left="1134"/>
        <w:rPr>
          <w:rFonts w:ascii="Nunito Sans" w:hAnsi="Nunito Sans" w:eastAsia="Arial" w:cs="Calibri"/>
          <w:sz w:val="22"/>
          <w:szCs w:val="22"/>
          <w:lang w:val="es-ES"/>
        </w:rPr>
      </w:pPr>
      <w:r w:rsidRPr="00CA4194">
        <w:rPr>
          <w:rFonts w:ascii="Nunito Sans" w:hAnsi="Nunito Sans" w:eastAsia="Arial" w:cs="Calibri"/>
          <w:sz w:val="22"/>
          <w:szCs w:val="22"/>
          <w:lang w:val="es"/>
        </w:rPr>
        <w:t>Pipelines de ingestión, sincronización, conexión con el Lakehouse y fuentes heterogéneas.</w:t>
      </w:r>
      <w:r w:rsidRPr="00CA4194">
        <w:rPr>
          <w:rFonts w:ascii="Nunito Sans" w:hAnsi="Nunito Sans" w:eastAsia="Arial" w:cs="Calibri"/>
          <w:sz w:val="22"/>
          <w:szCs w:val="22"/>
          <w:lang w:val="es-ES"/>
        </w:rPr>
        <w:t xml:space="preserve"> </w:t>
      </w:r>
    </w:p>
    <w:p w:rsidRPr="003506DF" w:rsidR="00A97C53" w:rsidP="003506DF" w:rsidRDefault="00A97C53" w14:paraId="678BF85A" w14:textId="77777777">
      <w:pPr>
        <w:spacing w:line="276" w:lineRule="auto"/>
        <w:rPr>
          <w:rFonts w:ascii="Nunito Sans" w:hAnsi="Nunito Sans" w:eastAsia="Arial" w:cs="Calibri"/>
          <w:sz w:val="22"/>
          <w:szCs w:val="22"/>
          <w:lang w:val="es-ES"/>
        </w:rPr>
      </w:pPr>
    </w:p>
    <w:p w:rsidR="00380AF7" w:rsidP="005E3BD6" w:rsidRDefault="00380AF7" w14:paraId="5778BE23" w14:textId="77777777">
      <w:pPr>
        <w:pStyle w:val="Prrafodelista"/>
        <w:spacing w:line="276" w:lineRule="auto"/>
        <w:ind w:left="1134"/>
        <w:rPr>
          <w:rFonts w:ascii="Nunito Sans" w:hAnsi="Nunito Sans" w:eastAsia="Arial" w:cs="Calibri"/>
          <w:sz w:val="22"/>
          <w:szCs w:val="22"/>
          <w:lang w:val="es-ES"/>
        </w:rPr>
      </w:pPr>
    </w:p>
    <w:p w:rsidRPr="00A97C53" w:rsidR="00A97C53" w:rsidP="00A97C53" w:rsidRDefault="004A1F21" w14:paraId="62189A89" w14:textId="25BCD8F8">
      <w:pPr>
        <w:pStyle w:val="Descripcin"/>
        <w:keepNext/>
        <w:spacing w:after="0"/>
        <w:jc w:val="center"/>
        <w:rPr>
          <w:rFonts w:ascii="Nunito Sans" w:hAnsi="Nunito Sans"/>
          <w:b/>
          <w:bCs/>
          <w:color w:val="212745"/>
          <w:shd w:val="clear" w:color="auto" w:fill="FFFFFF"/>
        </w:rPr>
      </w:pPr>
      <w:bookmarkStart w:name="_Toc220664391" w:id="426"/>
      <w:r w:rsidRPr="004A1F21">
        <w:rPr>
          <w:rStyle w:val="normaltextrun"/>
          <w:rFonts w:ascii="Nunito Sans" w:hAnsi="Nunito Sans"/>
          <w:b/>
          <w:bCs/>
          <w:color w:val="212745"/>
          <w:shd w:val="clear" w:color="auto" w:fill="FFFFFF"/>
        </w:rPr>
        <w:t xml:space="preserve">Ilustración </w:t>
      </w:r>
      <w:r w:rsidRPr="004A1F21">
        <w:rPr>
          <w:rStyle w:val="normaltextrun"/>
          <w:rFonts w:ascii="Nunito Sans" w:hAnsi="Nunito Sans"/>
          <w:b/>
          <w:bCs/>
          <w:color w:val="212745"/>
          <w:shd w:val="clear" w:color="auto" w:fill="FFFFFF"/>
        </w:rPr>
        <w:fldChar w:fldCharType="begin"/>
      </w:r>
      <w:r w:rsidRPr="004A1F21">
        <w:rPr>
          <w:rStyle w:val="normaltextrun"/>
          <w:rFonts w:ascii="Nunito Sans" w:hAnsi="Nunito Sans"/>
          <w:b/>
          <w:bCs/>
          <w:color w:val="212745"/>
          <w:shd w:val="clear" w:color="auto" w:fill="FFFFFF"/>
        </w:rPr>
        <w:instrText xml:space="preserve"> SEQ Ilustración \* ARABIC </w:instrText>
      </w:r>
      <w:r w:rsidRPr="004A1F21">
        <w:rPr>
          <w:rStyle w:val="normaltextrun"/>
          <w:rFonts w:ascii="Nunito Sans" w:hAnsi="Nunito Sans"/>
          <w:b/>
          <w:bCs/>
          <w:color w:val="212745"/>
          <w:shd w:val="clear" w:color="auto" w:fill="FFFFFF"/>
        </w:rPr>
        <w:fldChar w:fldCharType="separate"/>
      </w:r>
      <w:r w:rsidR="00C57F7B">
        <w:rPr>
          <w:rStyle w:val="normaltextrun"/>
          <w:rFonts w:ascii="Nunito Sans" w:hAnsi="Nunito Sans"/>
          <w:b/>
          <w:bCs/>
          <w:noProof/>
          <w:color w:val="212745"/>
          <w:shd w:val="clear" w:color="auto" w:fill="FFFFFF"/>
        </w:rPr>
        <w:t>7</w:t>
      </w:r>
      <w:r w:rsidRPr="004A1F21">
        <w:rPr>
          <w:rStyle w:val="normaltextrun"/>
          <w:rFonts w:ascii="Nunito Sans" w:hAnsi="Nunito Sans"/>
          <w:b/>
          <w:bCs/>
          <w:color w:val="212745"/>
          <w:shd w:val="clear" w:color="auto" w:fill="FFFFFF"/>
        </w:rPr>
        <w:fldChar w:fldCharType="end"/>
      </w:r>
      <w:r w:rsidRPr="004A1F21" w:rsidR="005E3BD6">
        <w:rPr>
          <w:rStyle w:val="normaltextrun"/>
          <w:rFonts w:ascii="Nunito Sans" w:hAnsi="Nunito Sans"/>
          <w:b/>
          <w:bCs/>
          <w:color w:val="212745"/>
          <w:shd w:val="clear" w:color="auto" w:fill="FFFFFF"/>
        </w:rPr>
        <w:t xml:space="preserve">: </w:t>
      </w:r>
      <w:r w:rsidR="005E3BD6">
        <w:rPr>
          <w:rStyle w:val="normaltextrun"/>
          <w:rFonts w:ascii="Nunito Sans" w:hAnsi="Nunito Sans"/>
          <w:b/>
          <w:bCs/>
          <w:color w:val="212745"/>
          <w:shd w:val="clear" w:color="auto" w:fill="FFFFFF"/>
        </w:rPr>
        <w:t>Arquitectura de Referencia</w:t>
      </w:r>
      <w:r w:rsidRPr="00CF203F" w:rsidR="005E3BD6">
        <w:rPr>
          <w:rStyle w:val="normaltextrun"/>
          <w:rFonts w:ascii="Nunito Sans" w:hAnsi="Nunito Sans"/>
          <w:b/>
          <w:bCs/>
          <w:color w:val="212745"/>
          <w:shd w:val="clear" w:color="auto" w:fill="FFFFFF"/>
        </w:rPr>
        <w:t xml:space="preserve"> de Interoperabilidad</w:t>
      </w:r>
      <w:r w:rsidR="005E3BD6">
        <w:rPr>
          <w:rStyle w:val="normaltextrun"/>
          <w:rFonts w:ascii="Nunito Sans" w:hAnsi="Nunito Sans"/>
          <w:b/>
          <w:bCs/>
          <w:color w:val="212745"/>
          <w:shd w:val="clear" w:color="auto" w:fill="FFFFFF"/>
        </w:rPr>
        <w:t xml:space="preserve"> Sectorial</w:t>
      </w:r>
      <w:bookmarkEnd w:id="426"/>
    </w:p>
    <w:p w:rsidR="005E3BD6" w:rsidP="00D91352" w:rsidRDefault="005E3BD6" w14:paraId="423B26EF" w14:textId="08B14E0A">
      <w:pPr>
        <w:pStyle w:val="Prrafodelista"/>
        <w:spacing w:line="276" w:lineRule="auto"/>
        <w:ind w:left="142"/>
        <w:jc w:val="center"/>
        <w:rPr>
          <w:rFonts w:ascii="Nunito Sans" w:hAnsi="Nunito Sans" w:cs="Calibri"/>
          <w:sz w:val="22"/>
          <w:szCs w:val="22"/>
        </w:rPr>
      </w:pPr>
      <w:r w:rsidRPr="00CA4194">
        <w:rPr>
          <w:rFonts w:ascii="Nunito Sans" w:hAnsi="Nunito Sans" w:cs="Calibri"/>
          <w:noProof/>
          <w:sz w:val="22"/>
          <w:szCs w:val="22"/>
        </w:rPr>
        <w:drawing>
          <wp:inline distT="0" distB="0" distL="0" distR="0" wp14:anchorId="266E3B12" wp14:editId="0AA41B12">
            <wp:extent cx="5633357" cy="3755571"/>
            <wp:effectExtent l="0" t="0" r="5715" b="3810"/>
            <wp:docPr id="75674801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748017" name="Picture 756748017"/>
                    <pic:cNvPicPr/>
                  </pic:nvPicPr>
                  <pic:blipFill>
                    <a:blip r:embed="rId86">
                      <a:extLst>
                        <a:ext uri="{28A0092B-C50C-407E-A947-70E740481C1C}">
                          <a14:useLocalDpi xmlns:a14="http://schemas.microsoft.com/office/drawing/2010/main"/>
                        </a:ext>
                      </a:extLst>
                    </a:blip>
                    <a:stretch>
                      <a:fillRect/>
                    </a:stretch>
                  </pic:blipFill>
                  <pic:spPr>
                    <a:xfrm>
                      <a:off x="0" y="0"/>
                      <a:ext cx="5704131" cy="3802754"/>
                    </a:xfrm>
                    <a:prstGeom prst="rect">
                      <a:avLst/>
                    </a:prstGeom>
                  </pic:spPr>
                </pic:pic>
              </a:graphicData>
            </a:graphic>
          </wp:inline>
        </w:drawing>
      </w:r>
    </w:p>
    <w:p w:rsidRPr="00CA4194" w:rsidR="00A97C53" w:rsidP="00A97C53" w:rsidRDefault="00A97C53" w14:paraId="1F694CF2" w14:textId="77777777">
      <w:pPr>
        <w:jc w:val="center"/>
        <w:rPr>
          <w:rFonts w:ascii="Nunito Sans" w:hAnsi="Nunito Sans" w:eastAsia="Arial" w:cs="Calibri"/>
          <w:sz w:val="22"/>
          <w:szCs w:val="22"/>
        </w:rPr>
      </w:pPr>
      <w:r w:rsidRPr="007D3407">
        <w:rPr>
          <w:rFonts w:ascii="Nunito Sans" w:hAnsi="Nunito Sans" w:eastAsia="Arial" w:cs="Calibri"/>
          <w:sz w:val="18"/>
          <w:szCs w:val="18"/>
        </w:rPr>
        <w:t>Fuente: elaboración propia</w:t>
      </w:r>
      <w:r w:rsidRPr="00CA4194">
        <w:rPr>
          <w:rFonts w:ascii="Nunito Sans" w:hAnsi="Nunito Sans" w:eastAsia="Arial" w:cs="Calibri"/>
          <w:sz w:val="22"/>
          <w:szCs w:val="22"/>
        </w:rPr>
        <w:t>.</w:t>
      </w:r>
    </w:p>
    <w:p w:rsidRPr="00D91352" w:rsidR="00A97C53" w:rsidP="00D91352" w:rsidRDefault="00A97C53" w14:paraId="64DD789F" w14:textId="77777777">
      <w:pPr>
        <w:pStyle w:val="Prrafodelista"/>
        <w:spacing w:line="276" w:lineRule="auto"/>
        <w:ind w:left="142"/>
        <w:jc w:val="center"/>
        <w:rPr>
          <w:rFonts w:ascii="Nunito Sans" w:hAnsi="Nunito Sans" w:cs="Calibri"/>
          <w:sz w:val="22"/>
          <w:szCs w:val="22"/>
        </w:rPr>
      </w:pPr>
    </w:p>
    <w:p w:rsidRPr="00CA4194" w:rsidR="005E3BD6" w:rsidP="005E3BD6" w:rsidRDefault="005E3BD6" w14:paraId="72517EF4"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La arquitectura de referencia de interoperabilidad incluye:</w:t>
      </w:r>
      <w:r w:rsidRPr="00CA4194">
        <w:rPr>
          <w:rFonts w:ascii="Nunito Sans" w:hAnsi="Nunito Sans" w:eastAsia="Arial" w:cs="Calibri"/>
          <w:sz w:val="22"/>
          <w:szCs w:val="22"/>
          <w:lang w:val="es-ES"/>
        </w:rPr>
        <w:t xml:space="preserve"> </w:t>
      </w:r>
    </w:p>
    <w:p w:rsidRPr="00CA4194" w:rsidR="005E3BD6" w:rsidRDefault="005E3BD6" w14:paraId="3B805891"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Gateway de APIs</w:t>
      </w:r>
      <w:r w:rsidRPr="00CA4194">
        <w:rPr>
          <w:rFonts w:ascii="Nunito Sans" w:hAnsi="Nunito Sans" w:eastAsia="Arial" w:cs="Calibri"/>
          <w:sz w:val="22"/>
          <w:szCs w:val="22"/>
          <w:lang w:val="es-ES"/>
        </w:rPr>
        <w:t xml:space="preserve"> </w:t>
      </w:r>
    </w:p>
    <w:p w:rsidRPr="00CA4194" w:rsidR="005E3BD6" w:rsidRDefault="005E3BD6" w14:paraId="45D28B51"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Publicación y protección de APIs sectoriales</w:t>
      </w:r>
      <w:r w:rsidRPr="00CA4194">
        <w:rPr>
          <w:rFonts w:ascii="Nunito Sans" w:hAnsi="Nunito Sans" w:eastAsia="Arial" w:cs="Calibri"/>
          <w:sz w:val="22"/>
          <w:szCs w:val="22"/>
          <w:lang w:val="es-ES"/>
        </w:rPr>
        <w:t xml:space="preserve"> </w:t>
      </w:r>
    </w:p>
    <w:p w:rsidRPr="00CA4194" w:rsidR="005E3BD6" w:rsidRDefault="005E3BD6" w14:paraId="393777B2" w14:textId="6C85D8D9">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Autenticación / autorización (OAuth2, </w:t>
      </w:r>
      <w:r w:rsidRPr="00CA4194" w:rsidR="003506DF">
        <w:rPr>
          <w:rFonts w:ascii="Nunito Sans" w:hAnsi="Nunito Sans" w:eastAsia="Arial" w:cs="Calibri"/>
          <w:sz w:val="22"/>
          <w:szCs w:val="22"/>
          <w:lang w:val="es"/>
        </w:rPr>
        <w:t>Open ID</w:t>
      </w:r>
      <w:r w:rsidRPr="00CA4194">
        <w:rPr>
          <w:rFonts w:ascii="Nunito Sans" w:hAnsi="Nunito Sans" w:eastAsia="Arial" w:cs="Calibri"/>
          <w:sz w:val="22"/>
          <w:szCs w:val="22"/>
          <w:lang w:val="es"/>
        </w:rPr>
        <w:t xml:space="preserve"> Connect, JWT)</w:t>
      </w:r>
      <w:r w:rsidRPr="00CA4194">
        <w:rPr>
          <w:rFonts w:ascii="Nunito Sans" w:hAnsi="Nunito Sans" w:eastAsia="Arial" w:cs="Calibri"/>
          <w:sz w:val="22"/>
          <w:szCs w:val="22"/>
          <w:lang w:val="es-ES"/>
        </w:rPr>
        <w:t xml:space="preserve"> </w:t>
      </w:r>
    </w:p>
    <w:p w:rsidRPr="00CA4194" w:rsidR="005E3BD6" w:rsidRDefault="005E3BD6" w14:paraId="1FF7B64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lastRenderedPageBreak/>
        <w:t xml:space="preserve">Versionamiento y </w:t>
      </w:r>
      <w:r w:rsidRPr="00CA4194">
        <w:rPr>
          <w:rFonts w:ascii="Nunito Sans" w:hAnsi="Nunito Sans" w:eastAsia="Arial" w:cs="Calibri"/>
          <w:i/>
          <w:sz w:val="22"/>
          <w:szCs w:val="22"/>
          <w:lang w:val="es"/>
        </w:rPr>
        <w:t>rate</w:t>
      </w:r>
      <w:r w:rsidRPr="00CA4194">
        <w:rPr>
          <w:rFonts w:ascii="Cambria Math" w:hAnsi="Cambria Math" w:eastAsia="Arial" w:cs="Cambria Math"/>
          <w:i/>
          <w:sz w:val="22"/>
          <w:szCs w:val="22"/>
          <w:lang w:val="es"/>
        </w:rPr>
        <w:t>‑</w:t>
      </w:r>
      <w:r w:rsidRPr="00CA4194">
        <w:rPr>
          <w:rFonts w:ascii="Nunito Sans" w:hAnsi="Nunito Sans" w:eastAsia="Arial" w:cs="Calibri"/>
          <w:i/>
          <w:sz w:val="22"/>
          <w:szCs w:val="22"/>
          <w:lang w:val="es"/>
        </w:rPr>
        <w:t>limit</w:t>
      </w:r>
      <w:r w:rsidRPr="00CA4194">
        <w:rPr>
          <w:rFonts w:ascii="Nunito Sans" w:hAnsi="Nunito Sans" w:eastAsia="Arial" w:cs="Calibri"/>
          <w:sz w:val="22"/>
          <w:szCs w:val="22"/>
          <w:lang w:val="es"/>
        </w:rPr>
        <w:t>/throttling</w:t>
      </w:r>
      <w:r w:rsidRPr="00CA4194">
        <w:rPr>
          <w:rFonts w:ascii="Nunito Sans" w:hAnsi="Nunito Sans" w:eastAsia="Arial" w:cs="Calibri"/>
          <w:sz w:val="22"/>
          <w:szCs w:val="22"/>
          <w:lang w:val="es-ES"/>
        </w:rPr>
        <w:t xml:space="preserve"> </w:t>
      </w:r>
    </w:p>
    <w:p w:rsidRPr="00CA4194" w:rsidR="005E3BD6" w:rsidRDefault="005E3BD6" w14:paraId="7D1816EE"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Monitoreo de consumo y registro en Catálogo de APIs</w:t>
      </w:r>
      <w:r w:rsidRPr="00CA4194">
        <w:rPr>
          <w:rFonts w:ascii="Nunito Sans" w:hAnsi="Nunito Sans" w:eastAsia="Arial" w:cs="Calibri"/>
          <w:sz w:val="22"/>
          <w:szCs w:val="22"/>
          <w:lang w:val="es-ES"/>
        </w:rPr>
        <w:t xml:space="preserve"> </w:t>
      </w:r>
    </w:p>
    <w:p w:rsidRPr="00CA4194" w:rsidR="005E3BD6" w:rsidRDefault="005E3BD6" w14:paraId="2034AC90"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Orquestación e Integración (ESB / Microservicios)</w:t>
      </w:r>
      <w:r w:rsidRPr="00CA4194">
        <w:rPr>
          <w:rFonts w:ascii="Nunito Sans" w:hAnsi="Nunito Sans" w:eastAsia="Arial" w:cs="Calibri"/>
          <w:sz w:val="22"/>
          <w:szCs w:val="22"/>
          <w:lang w:val="es-ES"/>
        </w:rPr>
        <w:t xml:space="preserve"> </w:t>
      </w:r>
    </w:p>
    <w:p w:rsidRPr="00CA4194" w:rsidR="005E3BD6" w:rsidRDefault="005E3BD6" w14:paraId="1FCCCCC8"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Enrutamiento y composición de servicios</w:t>
      </w:r>
      <w:r w:rsidRPr="00CA4194">
        <w:rPr>
          <w:rFonts w:ascii="Nunito Sans" w:hAnsi="Nunito Sans" w:eastAsia="Arial" w:cs="Calibri"/>
          <w:sz w:val="22"/>
          <w:szCs w:val="22"/>
          <w:lang w:val="es-ES"/>
        </w:rPr>
        <w:t xml:space="preserve"> </w:t>
      </w:r>
    </w:p>
    <w:p w:rsidRPr="00CA4194" w:rsidR="005E3BD6" w:rsidRDefault="005E3BD6" w14:paraId="0ED8DE8A" w14:textId="60A9A074">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Transformaciones JSON </w:t>
      </w:r>
      <w:r w:rsidRPr="00CA4194">
        <w:rPr>
          <w:rFonts w:eastAsia="Arial"/>
          <w:sz w:val="22"/>
          <w:szCs w:val="22"/>
          <w:lang w:val="es"/>
        </w:rPr>
        <w:t>↔</w:t>
      </w:r>
      <w:r w:rsidRPr="00CA4194">
        <w:rPr>
          <w:rFonts w:ascii="Nunito Sans" w:hAnsi="Nunito Sans" w:eastAsia="Arial" w:cs="Calibri"/>
          <w:sz w:val="22"/>
          <w:szCs w:val="22"/>
          <w:lang w:val="es"/>
        </w:rPr>
        <w:t xml:space="preserve"> XML </w:t>
      </w:r>
      <w:r w:rsidRPr="00CA4194">
        <w:rPr>
          <w:rFonts w:eastAsia="Arial"/>
          <w:sz w:val="22"/>
          <w:szCs w:val="22"/>
          <w:lang w:val="es"/>
        </w:rPr>
        <w:t>↔</w:t>
      </w:r>
      <w:r w:rsidRPr="00CA4194">
        <w:rPr>
          <w:rFonts w:ascii="Nunito Sans" w:hAnsi="Nunito Sans" w:eastAsia="Arial" w:cs="Calibri"/>
          <w:sz w:val="22"/>
          <w:szCs w:val="22"/>
          <w:lang w:val="es"/>
        </w:rPr>
        <w:t xml:space="preserve"> CSV, validaci</w:t>
      </w:r>
      <w:r w:rsidRPr="00CA4194">
        <w:rPr>
          <w:rFonts w:ascii="Nunito Sans" w:hAnsi="Nunito Sans" w:eastAsia="Arial" w:cs="Nunito Sans"/>
          <w:sz w:val="22"/>
          <w:szCs w:val="22"/>
          <w:lang w:val="es"/>
        </w:rPr>
        <w:t>ó</w:t>
      </w:r>
      <w:r w:rsidRPr="00CA4194">
        <w:rPr>
          <w:rFonts w:ascii="Nunito Sans" w:hAnsi="Nunito Sans" w:eastAsia="Arial" w:cs="Calibri"/>
          <w:sz w:val="22"/>
          <w:szCs w:val="22"/>
          <w:lang w:val="es"/>
        </w:rPr>
        <w:t>n de esquemas (</w:t>
      </w:r>
      <w:r w:rsidRPr="00CA4194" w:rsidR="00B2451D">
        <w:rPr>
          <w:rFonts w:ascii="Nunito Sans" w:hAnsi="Nunito Sans" w:eastAsia="Arial" w:cs="Calibri"/>
          <w:sz w:val="22"/>
          <w:szCs w:val="22"/>
          <w:lang w:val="es"/>
        </w:rPr>
        <w:t>Open API</w:t>
      </w:r>
      <w:r w:rsidRPr="00CA4194">
        <w:rPr>
          <w:rFonts w:ascii="Nunito Sans" w:hAnsi="Nunito Sans" w:eastAsia="Arial" w:cs="Calibri"/>
          <w:sz w:val="22"/>
          <w:szCs w:val="22"/>
          <w:lang w:val="es"/>
        </w:rPr>
        <w:t>/JSON Schema/XSD)</w:t>
      </w:r>
      <w:r w:rsidRPr="00CA4194">
        <w:rPr>
          <w:rFonts w:ascii="Nunito Sans" w:hAnsi="Nunito Sans" w:eastAsia="Arial" w:cs="Calibri"/>
          <w:sz w:val="22"/>
          <w:szCs w:val="22"/>
          <w:lang w:val="es-ES"/>
        </w:rPr>
        <w:t xml:space="preserve"> </w:t>
      </w:r>
    </w:p>
    <w:p w:rsidRPr="00CA4194" w:rsidR="005E3BD6" w:rsidRDefault="005E3BD6" w14:paraId="30DE0B5B"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Manejo de errores, </w:t>
      </w:r>
      <w:r w:rsidRPr="00CA4194">
        <w:rPr>
          <w:rFonts w:ascii="Nunito Sans" w:hAnsi="Nunito Sans" w:eastAsia="Arial" w:cs="Calibri"/>
          <w:i/>
          <w:sz w:val="22"/>
          <w:szCs w:val="22"/>
          <w:lang w:val="es"/>
        </w:rPr>
        <w:t>retry</w:t>
      </w:r>
      <w:r w:rsidRPr="00CA4194">
        <w:rPr>
          <w:rFonts w:ascii="Nunito Sans" w:hAnsi="Nunito Sans" w:eastAsia="Arial" w:cs="Calibri"/>
          <w:sz w:val="22"/>
          <w:szCs w:val="22"/>
          <w:lang w:val="es"/>
        </w:rPr>
        <w:t xml:space="preserve">, </w:t>
      </w:r>
      <w:r w:rsidRPr="00CA4194">
        <w:rPr>
          <w:rFonts w:ascii="Nunito Sans" w:hAnsi="Nunito Sans" w:eastAsia="Arial" w:cs="Calibri"/>
          <w:i/>
          <w:sz w:val="22"/>
          <w:szCs w:val="22"/>
          <w:lang w:val="es"/>
        </w:rPr>
        <w:t>circuit breaker</w:t>
      </w:r>
      <w:r w:rsidRPr="00CA4194">
        <w:rPr>
          <w:rFonts w:ascii="Nunito Sans" w:hAnsi="Nunito Sans" w:eastAsia="Arial" w:cs="Calibri"/>
          <w:sz w:val="22"/>
          <w:szCs w:val="22"/>
          <w:lang w:val="es-ES"/>
        </w:rPr>
        <w:t xml:space="preserve"> </w:t>
      </w:r>
    </w:p>
    <w:p w:rsidRPr="00CA4194" w:rsidR="005E3BD6" w:rsidRDefault="005E3BD6" w14:paraId="516676E0"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Bus de mensajería/eventos (Kafka/RabbitMQ/Event Hub) para flujos asíncronos</w:t>
      </w:r>
      <w:r w:rsidRPr="00CA4194">
        <w:rPr>
          <w:rFonts w:ascii="Nunito Sans" w:hAnsi="Nunito Sans" w:eastAsia="Arial" w:cs="Calibri"/>
          <w:sz w:val="22"/>
          <w:szCs w:val="22"/>
          <w:lang w:val="es-ES"/>
        </w:rPr>
        <w:t xml:space="preserve"> </w:t>
      </w:r>
    </w:p>
    <w:p w:rsidRPr="00CA4194" w:rsidR="005E3BD6" w:rsidRDefault="005E3BD6" w14:paraId="62EB60E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Integración de Datos (DataOps)</w:t>
      </w:r>
      <w:r w:rsidRPr="00CA4194">
        <w:rPr>
          <w:rFonts w:ascii="Nunito Sans" w:hAnsi="Nunito Sans" w:eastAsia="Arial" w:cs="Calibri"/>
          <w:sz w:val="22"/>
          <w:szCs w:val="22"/>
          <w:lang w:val="es-ES"/>
        </w:rPr>
        <w:t xml:space="preserve"> </w:t>
      </w:r>
    </w:p>
    <w:p w:rsidRPr="00CA4194" w:rsidR="005E3BD6" w:rsidRDefault="005E3BD6" w14:paraId="7AF0EBC8" w14:textId="77777777">
      <w:pPr>
        <w:pStyle w:val="Prrafodelista"/>
        <w:numPr>
          <w:ilvl w:val="0"/>
          <w:numId w:val="17"/>
        </w:numPr>
        <w:spacing w:line="276" w:lineRule="auto"/>
        <w:ind w:left="720"/>
        <w:jc w:val="both"/>
        <w:rPr>
          <w:rFonts w:ascii="Nunito Sans" w:hAnsi="Nunito Sans" w:eastAsia="Arial" w:cs="Calibri"/>
          <w:sz w:val="22"/>
          <w:szCs w:val="22"/>
          <w:lang w:val="en-US"/>
        </w:rPr>
      </w:pPr>
      <w:r w:rsidRPr="00CA4194">
        <w:rPr>
          <w:rFonts w:ascii="Nunito Sans" w:hAnsi="Nunito Sans" w:eastAsia="Arial" w:cs="Calibri"/>
          <w:sz w:val="22"/>
          <w:szCs w:val="22"/>
          <w:lang w:val="en-US"/>
        </w:rPr>
        <w:t xml:space="preserve">Pipelines ETL/ELT y CDC (batch y streaming) </w:t>
      </w:r>
    </w:p>
    <w:p w:rsidRPr="00CA4194" w:rsidR="005E3BD6" w:rsidRDefault="005E3BD6" w14:paraId="07925983"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Sincronización con el Lakehouse sectorial (Raw </w:t>
      </w:r>
      <w:r w:rsidRPr="00CA4194">
        <w:rPr>
          <w:rFonts w:eastAsia="Arial"/>
          <w:sz w:val="22"/>
          <w:szCs w:val="22"/>
          <w:lang w:val="es"/>
        </w:rPr>
        <w:t>→</w:t>
      </w:r>
      <w:r w:rsidRPr="00CA4194">
        <w:rPr>
          <w:rFonts w:ascii="Nunito Sans" w:hAnsi="Nunito Sans" w:eastAsia="Arial" w:cs="Calibri"/>
          <w:sz w:val="22"/>
          <w:szCs w:val="22"/>
          <w:lang w:val="es"/>
        </w:rPr>
        <w:t xml:space="preserve"> Curated </w:t>
      </w:r>
      <w:r w:rsidRPr="00CA4194">
        <w:rPr>
          <w:rFonts w:eastAsia="Arial"/>
          <w:sz w:val="22"/>
          <w:szCs w:val="22"/>
          <w:lang w:val="es"/>
        </w:rPr>
        <w:t>→</w:t>
      </w:r>
      <w:r w:rsidRPr="00CA4194">
        <w:rPr>
          <w:rFonts w:ascii="Nunito Sans" w:hAnsi="Nunito Sans" w:eastAsia="Arial" w:cs="Calibri"/>
          <w:sz w:val="22"/>
          <w:szCs w:val="22"/>
          <w:lang w:val="es"/>
        </w:rPr>
        <w:t xml:space="preserve"> Gold)</w:t>
      </w:r>
      <w:r w:rsidRPr="00CA4194">
        <w:rPr>
          <w:rFonts w:ascii="Nunito Sans" w:hAnsi="Nunito Sans" w:eastAsia="Arial" w:cs="Calibri"/>
          <w:sz w:val="22"/>
          <w:szCs w:val="22"/>
          <w:lang w:val="es-ES"/>
        </w:rPr>
        <w:t xml:space="preserve"> </w:t>
      </w:r>
    </w:p>
    <w:p w:rsidRPr="00CA4194" w:rsidR="005E3BD6" w:rsidRDefault="005E3BD6" w14:paraId="1480A1D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Conectividad a fuentes heterogéneas (SQL Server, Postgres, Oracle, archivos, IoT, APIs externas)</w:t>
      </w:r>
      <w:r w:rsidRPr="00CA4194">
        <w:rPr>
          <w:rFonts w:ascii="Nunito Sans" w:hAnsi="Nunito Sans" w:eastAsia="Arial" w:cs="Calibri"/>
          <w:sz w:val="22"/>
          <w:szCs w:val="22"/>
          <w:lang w:val="es-ES"/>
        </w:rPr>
        <w:t xml:space="preserve"> </w:t>
      </w:r>
    </w:p>
    <w:p w:rsidRPr="00CA4194" w:rsidR="005E3BD6" w:rsidRDefault="005E3BD6" w14:paraId="25CCEE13"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Ganchos de MLOps para modelos y analítica continua</w:t>
      </w:r>
      <w:r w:rsidRPr="00CA4194">
        <w:rPr>
          <w:rFonts w:ascii="Nunito Sans" w:hAnsi="Nunito Sans" w:eastAsia="Arial" w:cs="Calibri"/>
          <w:sz w:val="22"/>
          <w:szCs w:val="22"/>
          <w:lang w:val="es-ES"/>
        </w:rPr>
        <w:t xml:space="preserve"> </w:t>
      </w:r>
    </w:p>
    <w:p w:rsidRPr="00CA4194" w:rsidR="005E3BD6" w:rsidRDefault="005E3BD6" w14:paraId="41D62140"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Componentes transversales</w:t>
      </w:r>
      <w:r w:rsidRPr="00CA4194">
        <w:rPr>
          <w:rFonts w:ascii="Nunito Sans" w:hAnsi="Nunito Sans" w:eastAsia="Arial" w:cs="Calibri"/>
          <w:sz w:val="22"/>
          <w:szCs w:val="22"/>
          <w:lang w:val="es-ES"/>
        </w:rPr>
        <w:t xml:space="preserve"> </w:t>
      </w:r>
    </w:p>
    <w:p w:rsidRPr="00CA4194" w:rsidR="005E3BD6" w:rsidRDefault="005E3BD6" w14:paraId="4EC65FA1"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Monitoreo y observabilidad (métricas, logs, trazas)</w:t>
      </w:r>
      <w:r w:rsidRPr="00CA4194">
        <w:rPr>
          <w:rFonts w:ascii="Nunito Sans" w:hAnsi="Nunito Sans" w:eastAsia="Arial" w:cs="Calibri"/>
          <w:sz w:val="22"/>
          <w:szCs w:val="22"/>
          <w:lang w:val="es-ES"/>
        </w:rPr>
        <w:t xml:space="preserve"> </w:t>
      </w:r>
    </w:p>
    <w:p w:rsidRPr="00CA4194" w:rsidR="005E3BD6" w:rsidRDefault="005E3BD6" w14:paraId="2B4F72FD"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Seguridad (TLS/mTLS, WAF, secretos/keys, políticas Zero Trust)</w:t>
      </w:r>
      <w:r w:rsidRPr="00CA4194">
        <w:rPr>
          <w:rFonts w:ascii="Nunito Sans" w:hAnsi="Nunito Sans" w:eastAsia="Arial" w:cs="Calibri"/>
          <w:sz w:val="22"/>
          <w:szCs w:val="22"/>
          <w:lang w:val="es-ES"/>
        </w:rPr>
        <w:t xml:space="preserve"> </w:t>
      </w:r>
    </w:p>
    <w:p w:rsidRPr="00CA4194" w:rsidR="005E3BD6" w:rsidRDefault="005E3BD6" w14:paraId="21FB230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Gestión de APIs (catálogo, ciclo de vida, deprecación, SLA)</w:t>
      </w:r>
      <w:r w:rsidRPr="00CA4194">
        <w:rPr>
          <w:rFonts w:ascii="Nunito Sans" w:hAnsi="Nunito Sans" w:eastAsia="Arial" w:cs="Calibri"/>
          <w:sz w:val="22"/>
          <w:szCs w:val="22"/>
          <w:lang w:val="es-ES"/>
        </w:rPr>
        <w:t xml:space="preserve"> </w:t>
      </w:r>
    </w:p>
    <w:p w:rsidRPr="00CA4194" w:rsidR="005E3BD6" w:rsidP="005E3BD6" w:rsidRDefault="005E3BD6" w14:paraId="3A7BE2EB"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 xml:space="preserve"> </w:t>
      </w:r>
      <w:r w:rsidRPr="00CA4194">
        <w:rPr>
          <w:rFonts w:ascii="Nunito Sans" w:hAnsi="Nunito Sans" w:eastAsia="Arial" w:cs="Calibri"/>
          <w:sz w:val="22"/>
          <w:szCs w:val="22"/>
          <w:lang w:val="es-ES"/>
        </w:rPr>
        <w:t xml:space="preserve"> </w:t>
      </w:r>
    </w:p>
    <w:p w:rsidRPr="00DA4823" w:rsidR="005E3BD6" w:rsidP="005E3BD6" w:rsidRDefault="005E3BD6" w14:paraId="3DBD1242" w14:textId="77777777">
      <w:pPr>
        <w:spacing w:after="160"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La interoperabilidad se materializará a través de una Plataforma Sectorial de Interoperabilidad (PSI), estructurada en tres capas tecnológicas principales y componentes de soporte.</w:t>
      </w:r>
      <w:r w:rsidRPr="00DA4823">
        <w:rPr>
          <w:rFonts w:ascii="Nunito Sans" w:hAnsi="Nunito Sans" w:eastAsia="Arial" w:cs="Calibri"/>
          <w:sz w:val="22"/>
          <w:szCs w:val="22"/>
          <w:lang w:val="es-ES"/>
        </w:rPr>
        <w:t xml:space="preserve"> </w:t>
      </w:r>
    </w:p>
    <w:p w:rsidRPr="00CA4194" w:rsidR="005E3BD6" w:rsidP="005E3BD6" w:rsidRDefault="005E3BD6" w14:paraId="1972535B" w14:textId="77777777">
      <w:pPr>
        <w:spacing w:line="276" w:lineRule="auto"/>
        <w:jc w:val="both"/>
        <w:rPr>
          <w:rFonts w:ascii="Nunito Sans" w:hAnsi="Nunito Sans" w:eastAsia="Arial" w:cs="Calibri"/>
          <w:sz w:val="22"/>
          <w:szCs w:val="22"/>
          <w:lang w:val="es-ES"/>
        </w:rPr>
      </w:pPr>
      <w:r w:rsidRPr="00CA4194">
        <w:rPr>
          <w:rFonts w:ascii="Segoe UI Emoji" w:hAnsi="Segoe UI Emoji" w:eastAsia="Arial" w:cs="Segoe UI Emoji"/>
          <w:b/>
          <w:sz w:val="22"/>
          <w:szCs w:val="22"/>
          <w:lang w:val="es"/>
        </w:rPr>
        <w:t>🔹</w:t>
      </w:r>
      <w:r w:rsidRPr="00CA4194">
        <w:rPr>
          <w:rFonts w:ascii="Nunito Sans" w:hAnsi="Nunito Sans" w:eastAsia="Arial" w:cs="Calibri"/>
          <w:b/>
          <w:sz w:val="22"/>
          <w:szCs w:val="22"/>
          <w:lang w:val="es"/>
        </w:rPr>
        <w:t xml:space="preserve"> Capa 1: API Gateway</w:t>
      </w:r>
      <w:r w:rsidRPr="00CA4194">
        <w:rPr>
          <w:rFonts w:ascii="Nunito Sans" w:hAnsi="Nunito Sans" w:eastAsia="Arial" w:cs="Calibri"/>
          <w:sz w:val="22"/>
          <w:szCs w:val="22"/>
          <w:lang w:val="es-ES"/>
        </w:rPr>
        <w:t xml:space="preserve"> </w:t>
      </w:r>
    </w:p>
    <w:p w:rsidRPr="00CA4194" w:rsidR="005E3BD6" w:rsidRDefault="005E3BD6" w14:paraId="51F49AAE"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Publicación, protección y versionamiento de </w:t>
      </w:r>
      <w:r w:rsidRPr="00CA4194">
        <w:rPr>
          <w:rFonts w:ascii="Nunito Sans" w:hAnsi="Nunito Sans" w:eastAsia="Arial" w:cs="Calibri"/>
          <w:b/>
          <w:sz w:val="22"/>
          <w:szCs w:val="22"/>
          <w:lang w:val="es"/>
        </w:rPr>
        <w:t>APIs sectoriales</w:t>
      </w:r>
      <w:r w:rsidRPr="00CA4194">
        <w:rPr>
          <w:rFonts w:ascii="Nunito Sans" w:hAnsi="Nunito Sans" w:eastAsia="Arial" w:cs="Calibri"/>
          <w:sz w:val="22"/>
          <w:szCs w:val="22"/>
          <w:lang w:val="es"/>
        </w:rPr>
        <w:t>.</w:t>
      </w:r>
      <w:r w:rsidRPr="00CA4194">
        <w:rPr>
          <w:rFonts w:ascii="Nunito Sans" w:hAnsi="Nunito Sans" w:eastAsia="Arial" w:cs="Calibri"/>
          <w:sz w:val="22"/>
          <w:szCs w:val="22"/>
          <w:lang w:val="es-ES"/>
        </w:rPr>
        <w:t xml:space="preserve"> </w:t>
      </w:r>
    </w:p>
    <w:p w:rsidRPr="00CA4194" w:rsidR="005E3BD6" w:rsidRDefault="005E3BD6" w14:paraId="2FDEF023"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Exposición de servicios REST, SOAP y GraphQL con autenticación basada en OAuth2 / OpenID Connect.</w:t>
      </w:r>
      <w:r w:rsidRPr="00CA4194">
        <w:rPr>
          <w:rFonts w:ascii="Nunito Sans" w:hAnsi="Nunito Sans" w:eastAsia="Arial" w:cs="Calibri"/>
          <w:sz w:val="22"/>
          <w:szCs w:val="22"/>
          <w:lang w:val="es-ES"/>
        </w:rPr>
        <w:t xml:space="preserve"> </w:t>
      </w:r>
    </w:p>
    <w:p w:rsidRPr="00CA4194" w:rsidR="005E3BD6" w:rsidRDefault="005E3BD6" w14:paraId="16AF29E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Monitoreo de consumo, métricas de disponibilidad y registro en el </w:t>
      </w:r>
      <w:r w:rsidRPr="00CA4194">
        <w:rPr>
          <w:rFonts w:ascii="Nunito Sans" w:hAnsi="Nunito Sans" w:eastAsia="Arial" w:cs="Calibri"/>
          <w:b/>
          <w:sz w:val="22"/>
          <w:szCs w:val="22"/>
          <w:lang w:val="es"/>
        </w:rPr>
        <w:t>Catálogo de APIs Sectorial</w:t>
      </w:r>
      <w:r w:rsidRPr="00CA4194">
        <w:rPr>
          <w:rFonts w:ascii="Nunito Sans" w:hAnsi="Nunito Sans" w:eastAsia="Arial" w:cs="Calibri"/>
          <w:sz w:val="22"/>
          <w:szCs w:val="22"/>
          <w:lang w:val="es"/>
        </w:rPr>
        <w:t>.</w:t>
      </w:r>
      <w:r w:rsidRPr="00CA4194">
        <w:rPr>
          <w:rFonts w:ascii="Nunito Sans" w:hAnsi="Nunito Sans" w:eastAsia="Arial" w:cs="Calibri"/>
          <w:sz w:val="22"/>
          <w:szCs w:val="22"/>
          <w:lang w:val="es-ES"/>
        </w:rPr>
        <w:t xml:space="preserve"> </w:t>
      </w:r>
    </w:p>
    <w:p w:rsidRPr="00CA4194" w:rsidR="005E3BD6" w:rsidRDefault="005E3BD6" w14:paraId="58E79627"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Control de acceso, trazabilidad de peticiones y balanceo de carga.</w:t>
      </w:r>
      <w:r w:rsidRPr="00CA4194">
        <w:rPr>
          <w:rFonts w:ascii="Nunito Sans" w:hAnsi="Nunito Sans" w:eastAsia="Arial" w:cs="Calibri"/>
          <w:sz w:val="22"/>
          <w:szCs w:val="22"/>
          <w:lang w:val="es-ES"/>
        </w:rPr>
        <w:t xml:space="preserve"> </w:t>
      </w:r>
    </w:p>
    <w:p w:rsidRPr="00CA4194" w:rsidR="005E3BD6" w:rsidP="005E3BD6" w:rsidRDefault="005E3BD6" w14:paraId="47782D16" w14:textId="77777777">
      <w:pPr>
        <w:pStyle w:val="Prrafodelista"/>
        <w:spacing w:line="276" w:lineRule="auto"/>
        <w:ind w:left="360"/>
        <w:jc w:val="both"/>
        <w:rPr>
          <w:rFonts w:ascii="Nunito Sans" w:hAnsi="Nunito Sans" w:eastAsia="Arial" w:cs="Calibri"/>
          <w:sz w:val="22"/>
          <w:szCs w:val="22"/>
          <w:lang w:val="es-ES"/>
        </w:rPr>
      </w:pPr>
    </w:p>
    <w:p w:rsidRPr="00CA4194" w:rsidR="005E3BD6" w:rsidP="005E3BD6" w:rsidRDefault="005E3BD6" w14:paraId="68667371" w14:textId="77777777">
      <w:pPr>
        <w:spacing w:line="276" w:lineRule="auto"/>
        <w:jc w:val="both"/>
        <w:rPr>
          <w:rFonts w:ascii="Nunito Sans" w:hAnsi="Nunito Sans" w:eastAsia="Arial" w:cs="Calibri"/>
          <w:sz w:val="22"/>
          <w:szCs w:val="22"/>
          <w:lang w:val="es-ES"/>
        </w:rPr>
      </w:pPr>
      <w:r w:rsidRPr="00CA4194">
        <w:rPr>
          <w:rFonts w:ascii="Segoe UI Emoji" w:hAnsi="Segoe UI Emoji" w:eastAsia="Arial" w:cs="Segoe UI Emoji"/>
          <w:b/>
          <w:sz w:val="22"/>
          <w:szCs w:val="22"/>
          <w:lang w:val="es"/>
        </w:rPr>
        <w:t>🔹</w:t>
      </w:r>
      <w:r w:rsidRPr="00CA4194">
        <w:rPr>
          <w:rFonts w:ascii="Nunito Sans" w:hAnsi="Nunito Sans" w:eastAsia="Arial" w:cs="Calibri"/>
          <w:b/>
          <w:sz w:val="22"/>
          <w:szCs w:val="22"/>
          <w:lang w:val="es"/>
        </w:rPr>
        <w:t xml:space="preserve"> Capa 2: Orquestación e Integración (ESB / Microservicios)</w:t>
      </w:r>
      <w:r w:rsidRPr="00CA4194">
        <w:rPr>
          <w:rFonts w:ascii="Nunito Sans" w:hAnsi="Nunito Sans" w:eastAsia="Arial" w:cs="Calibri"/>
          <w:sz w:val="22"/>
          <w:szCs w:val="22"/>
          <w:lang w:val="es-ES"/>
        </w:rPr>
        <w:t xml:space="preserve"> </w:t>
      </w:r>
    </w:p>
    <w:p w:rsidRPr="00CA4194" w:rsidR="005E3BD6" w:rsidRDefault="005E3BD6" w14:paraId="3D6796B5"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Motor de </w:t>
      </w:r>
      <w:r w:rsidRPr="00CA4194">
        <w:rPr>
          <w:rFonts w:ascii="Nunito Sans" w:hAnsi="Nunito Sans" w:eastAsia="Arial" w:cs="Calibri"/>
          <w:b/>
          <w:sz w:val="22"/>
          <w:szCs w:val="22"/>
          <w:lang w:val="es"/>
        </w:rPr>
        <w:t>orquestación de procesos y servicios</w:t>
      </w:r>
      <w:r w:rsidRPr="00CA4194">
        <w:rPr>
          <w:rFonts w:ascii="Nunito Sans" w:hAnsi="Nunito Sans" w:eastAsia="Arial" w:cs="Calibri"/>
          <w:sz w:val="22"/>
          <w:szCs w:val="22"/>
          <w:lang w:val="es"/>
        </w:rPr>
        <w:t xml:space="preserve"> (Enterprise Service Bus o Kubernetes Microservices).</w:t>
      </w:r>
      <w:r w:rsidRPr="00CA4194">
        <w:rPr>
          <w:rFonts w:ascii="Nunito Sans" w:hAnsi="Nunito Sans" w:eastAsia="Arial" w:cs="Calibri"/>
          <w:sz w:val="22"/>
          <w:szCs w:val="22"/>
          <w:lang w:val="es-ES"/>
        </w:rPr>
        <w:t xml:space="preserve"> </w:t>
      </w:r>
    </w:p>
    <w:p w:rsidRPr="00CA4194" w:rsidR="005E3BD6" w:rsidRDefault="005E3BD6" w14:paraId="4A0D83BB"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Gestión de </w:t>
      </w:r>
      <w:r w:rsidRPr="00CA4194">
        <w:rPr>
          <w:rFonts w:ascii="Nunito Sans" w:hAnsi="Nunito Sans" w:eastAsia="Arial" w:cs="Calibri"/>
          <w:b/>
          <w:sz w:val="22"/>
          <w:szCs w:val="22"/>
          <w:lang w:val="es"/>
        </w:rPr>
        <w:t>flujos síncronos y asíncronos</w:t>
      </w:r>
      <w:r w:rsidRPr="00CA4194">
        <w:rPr>
          <w:rFonts w:ascii="Nunito Sans" w:hAnsi="Nunito Sans" w:eastAsia="Arial" w:cs="Calibri"/>
          <w:sz w:val="22"/>
          <w:szCs w:val="22"/>
          <w:lang w:val="es"/>
        </w:rPr>
        <w:t xml:space="preserve">, transformaciones de formato (JSON </w:t>
      </w:r>
      <w:r w:rsidRPr="00CA4194">
        <w:rPr>
          <w:rFonts w:eastAsia="Arial"/>
          <w:sz w:val="22"/>
          <w:szCs w:val="22"/>
          <w:lang w:val="es"/>
        </w:rPr>
        <w:t>↔</w:t>
      </w:r>
      <w:r w:rsidRPr="00CA4194">
        <w:rPr>
          <w:rFonts w:ascii="Nunito Sans" w:hAnsi="Nunito Sans" w:eastAsia="Arial" w:cs="Calibri"/>
          <w:sz w:val="22"/>
          <w:szCs w:val="22"/>
          <w:lang w:val="es"/>
        </w:rPr>
        <w:t xml:space="preserve"> XML </w:t>
      </w:r>
      <w:r w:rsidRPr="00CA4194">
        <w:rPr>
          <w:rFonts w:eastAsia="Arial"/>
          <w:sz w:val="22"/>
          <w:szCs w:val="22"/>
          <w:lang w:val="es"/>
        </w:rPr>
        <w:t>↔</w:t>
      </w:r>
      <w:r w:rsidRPr="00CA4194">
        <w:rPr>
          <w:rFonts w:ascii="Nunito Sans" w:hAnsi="Nunito Sans" w:eastAsia="Arial" w:cs="Calibri"/>
          <w:sz w:val="22"/>
          <w:szCs w:val="22"/>
          <w:lang w:val="es"/>
        </w:rPr>
        <w:t xml:space="preserve"> CSV), validaciones de esquema y manejo de errores.</w:t>
      </w:r>
      <w:r w:rsidRPr="00CA4194">
        <w:rPr>
          <w:rFonts w:ascii="Nunito Sans" w:hAnsi="Nunito Sans" w:eastAsia="Arial" w:cs="Calibri"/>
          <w:sz w:val="22"/>
          <w:szCs w:val="22"/>
          <w:lang w:val="es-ES"/>
        </w:rPr>
        <w:t xml:space="preserve"> </w:t>
      </w:r>
    </w:p>
    <w:p w:rsidRPr="00CA4194" w:rsidR="005E3BD6" w:rsidRDefault="005E3BD6" w14:paraId="03837EF2"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Integración con sistemas legados del sector (ERP, GIS, SCADA, SIGMIN, etc.).</w:t>
      </w:r>
      <w:r w:rsidRPr="00CA4194">
        <w:rPr>
          <w:rFonts w:ascii="Nunito Sans" w:hAnsi="Nunito Sans" w:eastAsia="Arial" w:cs="Calibri"/>
          <w:sz w:val="22"/>
          <w:szCs w:val="22"/>
          <w:lang w:val="es-ES"/>
        </w:rPr>
        <w:t xml:space="preserve"> </w:t>
      </w:r>
    </w:p>
    <w:p w:rsidRPr="00CA4194" w:rsidR="005E3BD6" w:rsidRDefault="005E3BD6" w14:paraId="66A9AD81"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lastRenderedPageBreak/>
        <w:t>Implementación de patrones de diseño SOA, event-driven y arquitectura orientada a APIs.</w:t>
      </w:r>
      <w:r w:rsidRPr="00CA4194">
        <w:rPr>
          <w:rFonts w:ascii="Nunito Sans" w:hAnsi="Nunito Sans" w:eastAsia="Arial" w:cs="Calibri"/>
          <w:sz w:val="22"/>
          <w:szCs w:val="22"/>
          <w:lang w:val="es-ES"/>
        </w:rPr>
        <w:t xml:space="preserve"> </w:t>
      </w:r>
    </w:p>
    <w:p w:rsidRPr="00CA4194" w:rsidR="005E3BD6" w:rsidP="005E3BD6" w:rsidRDefault="005E3BD6" w14:paraId="1672126B"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 </w:t>
      </w:r>
      <w:r w:rsidRPr="00CA4194">
        <w:rPr>
          <w:rFonts w:ascii="Nunito Sans" w:hAnsi="Nunito Sans" w:eastAsia="Arial" w:cs="Calibri"/>
          <w:sz w:val="22"/>
          <w:szCs w:val="22"/>
          <w:lang w:val="es-ES"/>
        </w:rPr>
        <w:t xml:space="preserve"> </w:t>
      </w:r>
    </w:p>
    <w:p w:rsidRPr="00CA4194" w:rsidR="005E3BD6" w:rsidP="005E3BD6" w:rsidRDefault="005E3BD6" w14:paraId="31396392" w14:textId="77777777">
      <w:pPr>
        <w:spacing w:line="276" w:lineRule="auto"/>
        <w:jc w:val="both"/>
        <w:rPr>
          <w:rFonts w:ascii="Nunito Sans" w:hAnsi="Nunito Sans" w:eastAsia="Arial" w:cs="Calibri"/>
          <w:sz w:val="22"/>
          <w:szCs w:val="22"/>
          <w:lang w:val="es-ES"/>
        </w:rPr>
      </w:pPr>
      <w:r w:rsidRPr="00CA4194">
        <w:rPr>
          <w:rFonts w:ascii="Segoe UI Emoji" w:hAnsi="Segoe UI Emoji" w:eastAsia="Arial" w:cs="Segoe UI Emoji"/>
          <w:b/>
          <w:sz w:val="22"/>
          <w:szCs w:val="22"/>
          <w:lang w:val="es"/>
        </w:rPr>
        <w:t>🔹</w:t>
      </w:r>
      <w:r w:rsidRPr="00CA4194">
        <w:rPr>
          <w:rFonts w:ascii="Nunito Sans" w:hAnsi="Nunito Sans" w:eastAsia="Arial" w:cs="Calibri"/>
          <w:b/>
          <w:sz w:val="22"/>
          <w:szCs w:val="22"/>
          <w:lang w:val="es"/>
        </w:rPr>
        <w:t xml:space="preserve"> Capa 3: Integración de Datos (DataOps)</w:t>
      </w:r>
      <w:r w:rsidRPr="00CA4194">
        <w:rPr>
          <w:rFonts w:ascii="Nunito Sans" w:hAnsi="Nunito Sans" w:eastAsia="Arial" w:cs="Calibri"/>
          <w:sz w:val="22"/>
          <w:szCs w:val="22"/>
          <w:lang w:val="es-ES"/>
        </w:rPr>
        <w:t xml:space="preserve"> </w:t>
      </w:r>
    </w:p>
    <w:p w:rsidRPr="00CA4194" w:rsidR="005E3BD6" w:rsidRDefault="005E3BD6" w14:paraId="01ADA392"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Pipelines estandarizados de ingestión y sincronización de datos (batch y streaming).</w:t>
      </w:r>
      <w:r w:rsidRPr="00CA4194">
        <w:rPr>
          <w:rFonts w:ascii="Nunito Sans" w:hAnsi="Nunito Sans" w:eastAsia="Arial" w:cs="Calibri"/>
          <w:sz w:val="22"/>
          <w:szCs w:val="22"/>
          <w:lang w:val="es-ES"/>
        </w:rPr>
        <w:t xml:space="preserve"> </w:t>
      </w:r>
    </w:p>
    <w:p w:rsidRPr="00CA4194" w:rsidR="005E3BD6" w:rsidRDefault="005E3BD6" w14:paraId="7D68CF1C"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Integración con el </w:t>
      </w:r>
      <w:r w:rsidRPr="00CA4194">
        <w:rPr>
          <w:rFonts w:ascii="Nunito Sans" w:hAnsi="Nunito Sans" w:eastAsia="Arial" w:cs="Calibri"/>
          <w:b/>
          <w:sz w:val="22"/>
          <w:szCs w:val="22"/>
          <w:lang w:val="es"/>
        </w:rPr>
        <w:t>Lakehouse Sectorial de Datos</w:t>
      </w:r>
      <w:r w:rsidRPr="00CA4194">
        <w:rPr>
          <w:rFonts w:ascii="Nunito Sans" w:hAnsi="Nunito Sans" w:eastAsia="Arial" w:cs="Calibri"/>
          <w:sz w:val="22"/>
          <w:szCs w:val="22"/>
          <w:lang w:val="es"/>
        </w:rPr>
        <w:t xml:space="preserve"> para la actualización automatizada de las capas Raw, Curated y Gold.</w:t>
      </w:r>
      <w:r w:rsidRPr="00CA4194">
        <w:rPr>
          <w:rFonts w:ascii="Nunito Sans" w:hAnsi="Nunito Sans" w:eastAsia="Arial" w:cs="Calibri"/>
          <w:sz w:val="22"/>
          <w:szCs w:val="22"/>
          <w:lang w:val="es-ES"/>
        </w:rPr>
        <w:t xml:space="preserve"> </w:t>
      </w:r>
    </w:p>
    <w:p w:rsidRPr="00CA4194" w:rsidR="005E3BD6" w:rsidRDefault="005E3BD6" w14:paraId="38DE526C"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Conectividad con fuentes heterogéneas (SQL Server, PostgreSQL, Oracle, archivos planos, IoT, APIs externas).</w:t>
      </w:r>
      <w:r w:rsidRPr="00CA4194">
        <w:rPr>
          <w:rFonts w:ascii="Nunito Sans" w:hAnsi="Nunito Sans" w:eastAsia="Arial" w:cs="Calibri"/>
          <w:sz w:val="22"/>
          <w:szCs w:val="22"/>
          <w:lang w:val="es-ES"/>
        </w:rPr>
        <w:t xml:space="preserve"> </w:t>
      </w:r>
    </w:p>
    <w:p w:rsidRPr="00CA4194" w:rsidR="005E3BD6" w:rsidRDefault="005E3BD6" w14:paraId="440CBD58"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Incorporación de </w:t>
      </w:r>
      <w:r w:rsidRPr="00CA4194">
        <w:rPr>
          <w:rFonts w:ascii="Nunito Sans" w:hAnsi="Nunito Sans" w:eastAsia="Arial" w:cs="Calibri"/>
          <w:b/>
          <w:sz w:val="22"/>
          <w:szCs w:val="22"/>
          <w:lang w:val="es"/>
        </w:rPr>
        <w:t>MLOps y modelos de analítica continua</w:t>
      </w:r>
      <w:r w:rsidRPr="00CA4194">
        <w:rPr>
          <w:rFonts w:ascii="Nunito Sans" w:hAnsi="Nunito Sans" w:eastAsia="Arial" w:cs="Calibri"/>
          <w:sz w:val="22"/>
          <w:szCs w:val="22"/>
          <w:lang w:val="es"/>
        </w:rPr>
        <w:t xml:space="preserve"> en los procesos de integración.</w:t>
      </w:r>
      <w:r w:rsidRPr="00CA4194">
        <w:rPr>
          <w:rFonts w:ascii="Nunito Sans" w:hAnsi="Nunito Sans" w:eastAsia="Arial" w:cs="Calibri"/>
          <w:sz w:val="22"/>
          <w:szCs w:val="22"/>
          <w:lang w:val="es-ES"/>
        </w:rPr>
        <w:t xml:space="preserve"> </w:t>
      </w:r>
    </w:p>
    <w:p w:rsidRPr="00CA4194" w:rsidR="005E3BD6" w:rsidP="005E3BD6" w:rsidRDefault="005E3BD6" w14:paraId="37C8B714" w14:textId="77777777">
      <w:pPr>
        <w:spacing w:after="160" w:line="276" w:lineRule="auto"/>
        <w:jc w:val="both"/>
        <w:rPr>
          <w:rFonts w:ascii="Nunito Sans" w:hAnsi="Nunito Sans" w:eastAsia="Arial" w:cs="Calibri"/>
          <w:b/>
          <w:sz w:val="22"/>
          <w:szCs w:val="22"/>
          <w:lang w:val="es"/>
        </w:rPr>
      </w:pPr>
    </w:p>
    <w:p w:rsidRPr="00CA4194" w:rsidR="005E3BD6" w:rsidP="005E3BD6" w:rsidRDefault="005E3BD6" w14:paraId="2A245980" w14:textId="77777777">
      <w:pPr>
        <w:spacing w:line="276" w:lineRule="auto"/>
        <w:jc w:val="both"/>
        <w:rPr>
          <w:rFonts w:ascii="Nunito Sans" w:hAnsi="Nunito Sans" w:eastAsia="Arial" w:cs="Calibri"/>
          <w:b/>
          <w:sz w:val="22"/>
          <w:szCs w:val="22"/>
          <w:lang w:val="es"/>
        </w:rPr>
      </w:pPr>
      <w:r w:rsidRPr="00CA4194">
        <w:rPr>
          <w:rFonts w:ascii="Nunito Sans" w:hAnsi="Nunito Sans" w:eastAsia="Arial" w:cs="Calibri"/>
          <w:b/>
          <w:sz w:val="22"/>
          <w:szCs w:val="22"/>
          <w:lang w:val="es"/>
        </w:rPr>
        <w:t>Componentes de Soporte</w:t>
      </w:r>
      <w:r w:rsidRPr="00CA4194">
        <w:rPr>
          <w:rFonts w:ascii="Nunito Sans" w:hAnsi="Nunito Sans" w:eastAsia="Arial" w:cs="Calibri"/>
          <w:sz w:val="22"/>
          <w:szCs w:val="22"/>
          <w:lang w:val="es-ES"/>
        </w:rPr>
        <w:t xml:space="preserve"> </w:t>
      </w:r>
    </w:p>
    <w:p w:rsidRPr="00CA4194" w:rsidR="005E3BD6" w:rsidRDefault="005E3BD6" w14:paraId="4F8A582B" w14:textId="0F64B47D">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Catálogo de servicios sectoriales (API Catalog)</w:t>
      </w:r>
      <w:r w:rsidRPr="00CA4194">
        <w:rPr>
          <w:rFonts w:ascii="Nunito Sans" w:hAnsi="Nunito Sans" w:eastAsia="Arial" w:cs="Calibri"/>
          <w:sz w:val="22"/>
          <w:szCs w:val="22"/>
          <w:lang w:val="es"/>
        </w:rPr>
        <w:t xml:space="preserve">, con documentación </w:t>
      </w:r>
      <w:r w:rsidRPr="00CA4194" w:rsidR="00B2451D">
        <w:rPr>
          <w:rFonts w:ascii="Nunito Sans" w:hAnsi="Nunito Sans" w:eastAsia="Arial" w:cs="Calibri"/>
          <w:sz w:val="22"/>
          <w:szCs w:val="22"/>
          <w:lang w:val="es"/>
        </w:rPr>
        <w:t>Open API</w:t>
      </w:r>
      <w:r w:rsidRPr="00CA4194">
        <w:rPr>
          <w:rFonts w:ascii="Nunito Sans" w:hAnsi="Nunito Sans" w:eastAsia="Arial" w:cs="Calibri"/>
          <w:sz w:val="22"/>
          <w:szCs w:val="22"/>
          <w:lang w:val="es"/>
        </w:rPr>
        <w:t>/Swagger.</w:t>
      </w:r>
      <w:r w:rsidRPr="00CA4194">
        <w:rPr>
          <w:rFonts w:ascii="Nunito Sans" w:hAnsi="Nunito Sans" w:eastAsia="Arial" w:cs="Calibri"/>
          <w:sz w:val="22"/>
          <w:szCs w:val="22"/>
          <w:lang w:val="es-ES"/>
        </w:rPr>
        <w:t xml:space="preserve"> </w:t>
      </w:r>
    </w:p>
    <w:p w:rsidRPr="00CA4194" w:rsidR="005E3BD6" w:rsidRDefault="005E3BD6" w14:paraId="09654D3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Bus de mensajería y eventos (Event Hub / RabbitMQ / Kafka)</w:t>
      </w:r>
      <w:r w:rsidRPr="00CA4194">
        <w:rPr>
          <w:rFonts w:ascii="Nunito Sans" w:hAnsi="Nunito Sans" w:eastAsia="Arial" w:cs="Calibri"/>
          <w:sz w:val="22"/>
          <w:szCs w:val="22"/>
          <w:lang w:val="es"/>
        </w:rPr>
        <w:t xml:space="preserve"> para servicios de streaming.</w:t>
      </w:r>
      <w:r w:rsidRPr="00CA4194">
        <w:rPr>
          <w:rFonts w:ascii="Nunito Sans" w:hAnsi="Nunito Sans" w:eastAsia="Arial" w:cs="Calibri"/>
          <w:sz w:val="22"/>
          <w:szCs w:val="22"/>
          <w:lang w:val="es-ES"/>
        </w:rPr>
        <w:t xml:space="preserve"> </w:t>
      </w:r>
    </w:p>
    <w:p w:rsidRPr="00CA4194" w:rsidR="005E3BD6" w:rsidRDefault="005E3BD6" w14:paraId="0E4F86BB"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Módulo de monitoreo y observabilidad (Prometheus / Grafana / Loki)</w:t>
      </w:r>
      <w:r w:rsidRPr="00CA4194">
        <w:rPr>
          <w:rFonts w:ascii="Nunito Sans" w:hAnsi="Nunito Sans" w:eastAsia="Arial" w:cs="Calibri"/>
          <w:sz w:val="22"/>
          <w:szCs w:val="22"/>
          <w:lang w:val="es"/>
        </w:rPr>
        <w:t>.</w:t>
      </w:r>
      <w:r w:rsidRPr="00CA4194">
        <w:rPr>
          <w:rFonts w:ascii="Nunito Sans" w:hAnsi="Nunito Sans" w:eastAsia="Arial" w:cs="Calibri"/>
          <w:sz w:val="22"/>
          <w:szCs w:val="22"/>
          <w:lang w:val="es-ES"/>
        </w:rPr>
        <w:t xml:space="preserve"> </w:t>
      </w:r>
    </w:p>
    <w:p w:rsidRPr="00CA4194" w:rsidR="005E3BD6" w:rsidP="4E60D266" w:rsidRDefault="1F325162" w14:paraId="1BF06850" w14:textId="706633C0">
      <w:pPr>
        <w:pStyle w:val="Prrafodelista"/>
        <w:spacing w:line="276" w:lineRule="auto"/>
        <w:ind w:left="720"/>
        <w:jc w:val="both"/>
        <w:rPr>
          <w:rFonts w:ascii="Nunito Sans" w:hAnsi="Nunito Sans" w:eastAsia="Arial" w:cs="Calibri"/>
          <w:sz w:val="22"/>
          <w:szCs w:val="22"/>
          <w:lang w:val="es-ES"/>
        </w:rPr>
      </w:pPr>
      <w:r w:rsidRPr="4E60D266">
        <w:rPr>
          <w:rFonts w:ascii="Nunito Sans" w:hAnsi="Nunito Sans" w:eastAsia="Arial" w:cs="Calibri"/>
          <w:b/>
          <w:bCs/>
          <w:sz w:val="22"/>
          <w:szCs w:val="22"/>
          <w:lang w:val="es"/>
        </w:rPr>
        <w:t xml:space="preserve">Seguridad centralizada y control de acceso (Keycloak, </w:t>
      </w:r>
      <w:r w:rsidRPr="4E60D266" w:rsidR="005C7853">
        <w:rPr>
          <w:rFonts w:asciiTheme="minorHAnsi" w:hAnsiTheme="minorHAnsi" w:eastAsiaTheme="minorEastAsia" w:cstheme="minorBidi"/>
          <w:b/>
          <w:bCs/>
          <w:sz w:val="22"/>
          <w:szCs w:val="22"/>
          <w:lang w:val="es"/>
        </w:rPr>
        <w:t>Microsoft Entra ID®</w:t>
      </w:r>
      <w:r w:rsidRPr="4E60D266">
        <w:rPr>
          <w:rFonts w:asciiTheme="minorHAnsi" w:hAnsiTheme="minorHAnsi" w:eastAsiaTheme="minorEastAsia" w:cstheme="minorBidi"/>
          <w:b/>
          <w:bCs/>
          <w:sz w:val="22"/>
          <w:szCs w:val="22"/>
          <w:lang w:val="es"/>
        </w:rPr>
        <w:t>, IAM).</w:t>
      </w:r>
      <w:r w:rsidRPr="4E60D266">
        <w:rPr>
          <w:rFonts w:ascii="Nunito Sans" w:hAnsi="Nunito Sans" w:eastAsia="Arial" w:cs="Calibri"/>
          <w:sz w:val="22"/>
          <w:szCs w:val="22"/>
          <w:lang w:val="es-ES"/>
        </w:rPr>
        <w:t xml:space="preserve"> </w:t>
      </w:r>
    </w:p>
    <w:p w:rsidRPr="00CA4194" w:rsidR="005E3BD6" w:rsidP="005E3BD6" w:rsidRDefault="005E3BD6" w14:paraId="70DE7743"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 </w:t>
      </w:r>
      <w:r w:rsidRPr="00CA4194">
        <w:rPr>
          <w:rFonts w:ascii="Nunito Sans" w:hAnsi="Nunito Sans" w:eastAsia="Arial" w:cs="Calibri"/>
          <w:sz w:val="22"/>
          <w:szCs w:val="22"/>
          <w:lang w:val="es-ES"/>
        </w:rPr>
        <w:t xml:space="preserve"> </w:t>
      </w:r>
    </w:p>
    <w:p w:rsidRPr="00CA4194" w:rsidR="005E3BD6" w:rsidP="005E3BD6" w:rsidRDefault="005E3BD6" w14:paraId="21923A01"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Estándares Técnicos y Semánticos Comunes</w:t>
      </w:r>
      <w:r w:rsidRPr="00CA4194">
        <w:rPr>
          <w:rFonts w:ascii="Nunito Sans" w:hAnsi="Nunito Sans" w:eastAsia="Arial" w:cs="Calibri"/>
          <w:sz w:val="22"/>
          <w:szCs w:val="22"/>
          <w:lang w:val="es-ES"/>
        </w:rPr>
        <w:t xml:space="preserve"> </w:t>
      </w:r>
    </w:p>
    <w:p w:rsidR="005E3BD6" w:rsidP="005E3BD6" w:rsidRDefault="005E3BD6" w14:paraId="01C80B2A" w14:textId="77777777">
      <w:pPr>
        <w:spacing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Basado en la Guía de Arquitectura MME – Capítulo 5 (Interoperabilidad y Estándares), el modelo adoptará los siguientes lineamientos normativos y técnicos:</w:t>
      </w:r>
      <w:r w:rsidRPr="00DA4823">
        <w:rPr>
          <w:rFonts w:ascii="Nunito Sans" w:hAnsi="Nunito Sans" w:eastAsia="Arial" w:cs="Calibri"/>
          <w:sz w:val="22"/>
          <w:szCs w:val="22"/>
          <w:lang w:val="es-ES"/>
        </w:rPr>
        <w:t xml:space="preserve"> </w:t>
      </w:r>
    </w:p>
    <w:p w:rsidR="005E3BD6" w:rsidP="005E3BD6" w:rsidRDefault="005E3BD6" w14:paraId="7260F2B7" w14:textId="77777777">
      <w:pPr>
        <w:spacing w:line="276" w:lineRule="auto"/>
        <w:jc w:val="both"/>
        <w:rPr>
          <w:rFonts w:ascii="Nunito Sans" w:hAnsi="Nunito Sans" w:eastAsia="Arial" w:cs="Calibri"/>
          <w:sz w:val="22"/>
          <w:szCs w:val="22"/>
          <w:lang w:val="es-ES"/>
        </w:rPr>
      </w:pPr>
    </w:p>
    <w:p w:rsidRPr="00EB43A6" w:rsidR="005E3BD6" w:rsidP="005E3BD6" w:rsidRDefault="00714299" w14:paraId="0C4C59FC" w14:textId="16768D91">
      <w:pPr>
        <w:ind w:left="360" w:hanging="360"/>
        <w:jc w:val="center"/>
        <w:rPr>
          <w:rFonts w:ascii="Nunito Sans" w:hAnsi="Nunito Sans" w:cs="Calibri"/>
          <w:b/>
          <w:bCs/>
          <w:sz w:val="18"/>
          <w:szCs w:val="18"/>
        </w:rPr>
      </w:pPr>
      <w:bookmarkStart w:name="_Toc220664223" w:id="427"/>
      <w:r w:rsidRPr="00714299">
        <w:rPr>
          <w:rFonts w:ascii="Nunito Sans" w:hAnsi="Nunito Sans" w:cs="Calibri"/>
          <w:b/>
          <w:bCs/>
          <w:sz w:val="18"/>
          <w:szCs w:val="18"/>
        </w:rPr>
        <w:t xml:space="preserve">Tabla </w:t>
      </w:r>
      <w:r w:rsidRPr="00714299">
        <w:rPr>
          <w:rFonts w:ascii="Nunito Sans" w:hAnsi="Nunito Sans" w:cs="Calibri"/>
          <w:b/>
          <w:bCs/>
          <w:sz w:val="18"/>
          <w:szCs w:val="18"/>
        </w:rPr>
        <w:fldChar w:fldCharType="begin"/>
      </w:r>
      <w:r w:rsidRPr="00714299">
        <w:rPr>
          <w:rFonts w:ascii="Nunito Sans" w:hAnsi="Nunito Sans" w:cs="Calibri"/>
          <w:b/>
          <w:bCs/>
          <w:sz w:val="18"/>
          <w:szCs w:val="18"/>
        </w:rPr>
        <w:instrText xml:space="preserve"> SEQ Tabla \* ARABIC </w:instrText>
      </w:r>
      <w:r w:rsidRPr="00714299">
        <w:rPr>
          <w:rFonts w:ascii="Nunito Sans" w:hAnsi="Nunito Sans" w:cs="Calibri"/>
          <w:b/>
          <w:bCs/>
          <w:sz w:val="18"/>
          <w:szCs w:val="18"/>
        </w:rPr>
        <w:fldChar w:fldCharType="separate"/>
      </w:r>
      <w:r w:rsidR="00C57F7B">
        <w:rPr>
          <w:rFonts w:ascii="Nunito Sans" w:hAnsi="Nunito Sans" w:cs="Calibri"/>
          <w:b/>
          <w:bCs/>
          <w:noProof/>
          <w:sz w:val="18"/>
          <w:szCs w:val="18"/>
        </w:rPr>
        <w:t>52</w:t>
      </w:r>
      <w:r w:rsidRPr="0071429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Estándares Tecnológicos del Sector</w:t>
      </w:r>
      <w:bookmarkEnd w:id="427"/>
      <w:r w:rsidR="005E3BD6">
        <w:rPr>
          <w:rFonts w:ascii="Nunito Sans" w:hAnsi="Nunito Sans" w:cs="Calibri"/>
          <w:b/>
          <w:bCs/>
          <w:sz w:val="18"/>
          <w:szCs w:val="18"/>
        </w:rPr>
        <w:t xml:space="preserve"> </w:t>
      </w:r>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646"/>
        <w:gridCol w:w="3093"/>
        <w:gridCol w:w="3943"/>
      </w:tblGrid>
      <w:tr w:rsidRPr="00DA4823" w:rsidR="005E3BD6" w:rsidTr="00A45983" w14:paraId="0F10AF0F" w14:textId="77777777">
        <w:trPr>
          <w:trHeight w:val="480"/>
          <w:jc w:val="center"/>
        </w:trPr>
        <w:tc>
          <w:tcPr>
            <w:tcW w:w="164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bottom"/>
          </w:tcPr>
          <w:p w:rsidRPr="00DA4823" w:rsidR="005E3BD6" w:rsidP="00A45983" w:rsidRDefault="005E3BD6" w14:paraId="6824DA8E"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Categoría</w:t>
            </w:r>
          </w:p>
        </w:tc>
        <w:tc>
          <w:tcPr>
            <w:tcW w:w="309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bottom"/>
          </w:tcPr>
          <w:p w:rsidRPr="00DA4823" w:rsidR="005E3BD6" w:rsidP="00A45983" w:rsidRDefault="005E3BD6" w14:paraId="68E17AC3"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Estándar / Tecnología</w:t>
            </w:r>
          </w:p>
        </w:tc>
        <w:tc>
          <w:tcPr>
            <w:tcW w:w="39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bottom"/>
          </w:tcPr>
          <w:p w:rsidRPr="00DA4823" w:rsidR="005E3BD6" w:rsidP="00A45983" w:rsidRDefault="005E3BD6" w14:paraId="2D2F6A60"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Descripción</w:t>
            </w:r>
          </w:p>
        </w:tc>
      </w:tr>
      <w:tr w:rsidRPr="00DA4823" w:rsidR="005E3BD6" w:rsidTr="00ED4C37" w14:paraId="1ACBCEFC" w14:textId="77777777">
        <w:trPr>
          <w:trHeight w:val="480"/>
          <w:jc w:val="center"/>
        </w:trPr>
        <w:tc>
          <w:tcPr>
            <w:tcW w:w="164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ED4C37" w:rsidR="005E3BD6" w:rsidP="00ED4C37" w:rsidRDefault="005E3BD6" w14:paraId="0E187F2F" w14:textId="77777777">
            <w:pPr>
              <w:spacing w:after="160" w:line="276" w:lineRule="auto"/>
              <w:jc w:val="center"/>
              <w:rPr>
                <w:rFonts w:ascii="Nunito Sans" w:hAnsi="Nunito Sans" w:eastAsia="Arial" w:cs="Calibri"/>
                <w:bCs/>
                <w:color w:val="FFFFFF" w:themeColor="background1"/>
                <w:sz w:val="18"/>
                <w:szCs w:val="18"/>
              </w:rPr>
            </w:pPr>
            <w:r w:rsidRPr="00ED4C37">
              <w:rPr>
                <w:rFonts w:ascii="Nunito Sans" w:hAnsi="Nunito Sans" w:eastAsia="Arial" w:cs="Calibri"/>
                <w:bCs/>
                <w:color w:val="FFFFFF" w:themeColor="background1"/>
                <w:sz w:val="18"/>
                <w:szCs w:val="18"/>
              </w:rPr>
              <w:t>Formatos de Intercambio</w:t>
            </w:r>
          </w:p>
        </w:tc>
        <w:tc>
          <w:tcPr>
            <w:tcW w:w="3093" w:type="dxa"/>
            <w:tcBorders>
              <w:top w:val="single" w:color="FFFFFF" w:themeColor="background1" w:sz="4" w:space="0"/>
              <w:left w:val="single" w:color="FFFFFF" w:themeColor="background1" w:sz="4" w:space="0"/>
            </w:tcBorders>
            <w:vAlign w:val="center"/>
          </w:tcPr>
          <w:p w:rsidRPr="00DA4823" w:rsidR="005E3BD6" w:rsidP="00B4771C" w:rsidRDefault="005E3BD6" w14:paraId="5CD3F268" w14:textId="77777777">
            <w:pPr>
              <w:spacing w:after="160" w:line="276" w:lineRule="auto"/>
              <w:jc w:val="center"/>
              <w:rPr>
                <w:rFonts w:ascii="Nunito Sans" w:hAnsi="Nunito Sans" w:eastAsia="Arial" w:cs="Calibri"/>
                <w:sz w:val="18"/>
                <w:szCs w:val="18"/>
                <w:lang w:val="en-US"/>
              </w:rPr>
            </w:pPr>
            <w:r w:rsidRPr="00DA4823">
              <w:rPr>
                <w:rFonts w:ascii="Nunito Sans" w:hAnsi="Nunito Sans" w:eastAsia="Arial" w:cs="Calibri"/>
                <w:sz w:val="18"/>
                <w:szCs w:val="18"/>
                <w:lang w:val="en-US"/>
              </w:rPr>
              <w:t>JSON (principal), XML, CSV, GeoJSON, WMS/WFS</w:t>
            </w:r>
          </w:p>
        </w:tc>
        <w:tc>
          <w:tcPr>
            <w:tcW w:w="3943" w:type="dxa"/>
            <w:tcBorders>
              <w:top w:val="single" w:color="FFFFFF" w:themeColor="background1" w:sz="4" w:space="0"/>
            </w:tcBorders>
            <w:vAlign w:val="center"/>
          </w:tcPr>
          <w:p w:rsidRPr="00DA4823" w:rsidR="005E3BD6" w:rsidP="00B4771C" w:rsidRDefault="005E3BD6" w14:paraId="4A0772CC"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Compatibles con servicios web y datos geoespaciales.</w:t>
            </w:r>
          </w:p>
        </w:tc>
      </w:tr>
      <w:tr w:rsidRPr="00DA4823" w:rsidR="005E3BD6" w:rsidTr="00ED4C37" w14:paraId="1B4481C5" w14:textId="77777777">
        <w:trPr>
          <w:trHeight w:val="480"/>
          <w:jc w:val="center"/>
        </w:trPr>
        <w:tc>
          <w:tcPr>
            <w:tcW w:w="164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ED4C37" w:rsidR="005E3BD6" w:rsidP="00ED4C37" w:rsidRDefault="005E3BD6" w14:paraId="17D048FB" w14:textId="77777777">
            <w:pPr>
              <w:spacing w:after="160" w:line="276" w:lineRule="auto"/>
              <w:jc w:val="center"/>
              <w:rPr>
                <w:rFonts w:ascii="Nunito Sans" w:hAnsi="Nunito Sans" w:eastAsia="Arial" w:cs="Calibri"/>
                <w:bCs/>
                <w:color w:val="FFFFFF" w:themeColor="background1"/>
                <w:sz w:val="18"/>
                <w:szCs w:val="18"/>
              </w:rPr>
            </w:pPr>
            <w:r w:rsidRPr="00ED4C37">
              <w:rPr>
                <w:rFonts w:ascii="Nunito Sans" w:hAnsi="Nunito Sans" w:eastAsia="Arial" w:cs="Calibri"/>
                <w:bCs/>
                <w:color w:val="FFFFFF" w:themeColor="background1"/>
                <w:sz w:val="18"/>
                <w:szCs w:val="18"/>
              </w:rPr>
              <w:t>Contratos y Esquemas</w:t>
            </w:r>
          </w:p>
        </w:tc>
        <w:tc>
          <w:tcPr>
            <w:tcW w:w="3093" w:type="dxa"/>
            <w:tcBorders>
              <w:left w:val="single" w:color="FFFFFF" w:themeColor="background1" w:sz="4" w:space="0"/>
            </w:tcBorders>
            <w:vAlign w:val="center"/>
          </w:tcPr>
          <w:p w:rsidRPr="00DA4823" w:rsidR="005E3BD6" w:rsidP="00B4771C" w:rsidRDefault="00ED4C37" w14:paraId="2C8C77D6" w14:textId="5169E609">
            <w:pPr>
              <w:spacing w:after="160" w:line="276" w:lineRule="auto"/>
              <w:jc w:val="center"/>
              <w:rPr>
                <w:rFonts w:ascii="Nunito Sans" w:hAnsi="Nunito Sans" w:eastAsia="Arial" w:cs="Calibri"/>
                <w:sz w:val="18"/>
                <w:szCs w:val="18"/>
                <w:lang w:val="en-US"/>
              </w:rPr>
            </w:pPr>
            <w:r w:rsidRPr="00DA4823">
              <w:rPr>
                <w:rFonts w:ascii="Nunito Sans" w:hAnsi="Nunito Sans" w:eastAsia="Arial" w:cs="Calibri"/>
                <w:sz w:val="18"/>
                <w:szCs w:val="18"/>
                <w:lang w:val="en-US"/>
              </w:rPr>
              <w:t>OpenAI</w:t>
            </w:r>
            <w:r w:rsidRPr="00DA4823" w:rsidR="005E3BD6">
              <w:rPr>
                <w:rFonts w:ascii="Nunito Sans" w:hAnsi="Nunito Sans" w:eastAsia="Arial" w:cs="Calibri"/>
                <w:sz w:val="18"/>
                <w:szCs w:val="18"/>
                <w:lang w:val="en-US"/>
              </w:rPr>
              <w:t xml:space="preserve"> / Swagger, JSON Schema, XSD</w:t>
            </w:r>
          </w:p>
        </w:tc>
        <w:tc>
          <w:tcPr>
            <w:tcW w:w="3943" w:type="dxa"/>
            <w:vAlign w:val="center"/>
          </w:tcPr>
          <w:p w:rsidRPr="00DA4823" w:rsidR="005E3BD6" w:rsidP="00B4771C" w:rsidRDefault="005E3BD6" w14:paraId="23DE1E7E"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Definen estructura, validaciones y documentación de los servicios.</w:t>
            </w:r>
          </w:p>
        </w:tc>
      </w:tr>
      <w:tr w:rsidRPr="00DA4823" w:rsidR="005E3BD6" w:rsidTr="00ED4C37" w14:paraId="397CDF20" w14:textId="77777777">
        <w:trPr>
          <w:trHeight w:val="597"/>
          <w:jc w:val="center"/>
        </w:trPr>
        <w:tc>
          <w:tcPr>
            <w:tcW w:w="164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ED4C37" w:rsidR="005E3BD6" w:rsidP="00ED4C37" w:rsidRDefault="005E3BD6" w14:paraId="2E332CAC" w14:textId="77777777">
            <w:pPr>
              <w:spacing w:after="160" w:line="276" w:lineRule="auto"/>
              <w:jc w:val="center"/>
              <w:rPr>
                <w:rFonts w:ascii="Nunito Sans" w:hAnsi="Nunito Sans" w:eastAsia="Arial" w:cs="Calibri"/>
                <w:bCs/>
                <w:color w:val="FFFFFF" w:themeColor="background1"/>
                <w:sz w:val="18"/>
                <w:szCs w:val="18"/>
              </w:rPr>
            </w:pPr>
            <w:r w:rsidRPr="00ED4C37">
              <w:rPr>
                <w:rFonts w:ascii="Nunito Sans" w:hAnsi="Nunito Sans" w:eastAsia="Arial" w:cs="Calibri"/>
                <w:bCs/>
                <w:color w:val="FFFFFF" w:themeColor="background1"/>
                <w:sz w:val="18"/>
                <w:szCs w:val="18"/>
              </w:rPr>
              <w:t>Semántica y Vocabularios</w:t>
            </w:r>
          </w:p>
        </w:tc>
        <w:tc>
          <w:tcPr>
            <w:tcW w:w="3093" w:type="dxa"/>
            <w:tcBorders>
              <w:left w:val="single" w:color="FFFFFF" w:themeColor="background1" w:sz="4" w:space="0"/>
            </w:tcBorders>
            <w:vAlign w:val="center"/>
          </w:tcPr>
          <w:p w:rsidRPr="00DA4823" w:rsidR="005E3BD6" w:rsidP="00B4771C" w:rsidRDefault="005E3BD6" w14:paraId="7C458E9C" w14:textId="77777777">
            <w:pPr>
              <w:spacing w:after="160" w:line="276" w:lineRule="auto"/>
              <w:jc w:val="center"/>
              <w:rPr>
                <w:rFonts w:ascii="Nunito Sans" w:hAnsi="Nunito Sans" w:eastAsia="Arial" w:cs="Calibri"/>
                <w:sz w:val="18"/>
                <w:szCs w:val="18"/>
                <w:lang w:val="en-US"/>
              </w:rPr>
            </w:pPr>
            <w:r w:rsidRPr="00DA4823">
              <w:rPr>
                <w:rFonts w:ascii="Nunito Sans" w:hAnsi="Nunito Sans" w:eastAsia="Arial" w:cs="Calibri"/>
                <w:sz w:val="18"/>
                <w:szCs w:val="18"/>
                <w:lang w:val="en-US"/>
              </w:rPr>
              <w:t>DCAT-AP, SDMX, SKOS, RDF, OWL</w:t>
            </w:r>
          </w:p>
        </w:tc>
        <w:tc>
          <w:tcPr>
            <w:tcW w:w="3943" w:type="dxa"/>
            <w:vAlign w:val="center"/>
          </w:tcPr>
          <w:p w:rsidRPr="00DA4823" w:rsidR="005E3BD6" w:rsidP="00B4771C" w:rsidRDefault="005E3BD6" w14:paraId="137CE57E"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Armonización semántica entre dominios de datos sectoriales.</w:t>
            </w:r>
          </w:p>
        </w:tc>
      </w:tr>
      <w:tr w:rsidRPr="00DA4823" w:rsidR="005E3BD6" w:rsidTr="00ED4C37" w14:paraId="438D3774" w14:textId="77777777">
        <w:trPr>
          <w:trHeight w:val="480"/>
          <w:jc w:val="center"/>
        </w:trPr>
        <w:tc>
          <w:tcPr>
            <w:tcW w:w="164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ED4C37" w:rsidR="005E3BD6" w:rsidP="00ED4C37" w:rsidRDefault="005E3BD6" w14:paraId="0688ABFD" w14:textId="77777777">
            <w:pPr>
              <w:spacing w:after="160" w:line="276" w:lineRule="auto"/>
              <w:jc w:val="center"/>
              <w:rPr>
                <w:rFonts w:ascii="Nunito Sans" w:hAnsi="Nunito Sans" w:eastAsia="Arial" w:cs="Calibri"/>
                <w:bCs/>
                <w:color w:val="FFFFFF" w:themeColor="background1"/>
                <w:sz w:val="18"/>
                <w:szCs w:val="18"/>
              </w:rPr>
            </w:pPr>
            <w:r w:rsidRPr="00ED4C37">
              <w:rPr>
                <w:rFonts w:ascii="Nunito Sans" w:hAnsi="Nunito Sans" w:eastAsia="Arial" w:cs="Calibri"/>
                <w:bCs/>
                <w:color w:val="FFFFFF" w:themeColor="background1"/>
                <w:sz w:val="18"/>
                <w:szCs w:val="18"/>
              </w:rPr>
              <w:t>Integración de Datos</w:t>
            </w:r>
          </w:p>
        </w:tc>
        <w:tc>
          <w:tcPr>
            <w:tcW w:w="3093" w:type="dxa"/>
            <w:tcBorders>
              <w:left w:val="single" w:color="FFFFFF" w:themeColor="background1" w:sz="4" w:space="0"/>
            </w:tcBorders>
            <w:vAlign w:val="center"/>
          </w:tcPr>
          <w:p w:rsidRPr="00DA4823" w:rsidR="005E3BD6" w:rsidP="00B4771C" w:rsidRDefault="005E3BD6" w14:paraId="443AC8D3" w14:textId="77777777">
            <w:pPr>
              <w:spacing w:after="160" w:line="276" w:lineRule="auto"/>
              <w:jc w:val="center"/>
              <w:rPr>
                <w:rFonts w:ascii="Nunito Sans" w:hAnsi="Nunito Sans" w:eastAsia="Arial" w:cs="Calibri"/>
                <w:sz w:val="18"/>
                <w:szCs w:val="18"/>
                <w:lang w:val="en-US"/>
              </w:rPr>
            </w:pPr>
            <w:r w:rsidRPr="00DA4823">
              <w:rPr>
                <w:rFonts w:ascii="Nunito Sans" w:hAnsi="Nunito Sans" w:eastAsia="Arial" w:cs="Calibri"/>
                <w:sz w:val="18"/>
                <w:szCs w:val="18"/>
                <w:lang w:val="en-US"/>
              </w:rPr>
              <w:t>ETL/ELT, CDC, Data Streaming</w:t>
            </w:r>
          </w:p>
        </w:tc>
        <w:tc>
          <w:tcPr>
            <w:tcW w:w="3943" w:type="dxa"/>
            <w:vAlign w:val="center"/>
          </w:tcPr>
          <w:p w:rsidRPr="00DA4823" w:rsidR="005E3BD6" w:rsidP="00B4771C" w:rsidRDefault="005E3BD6" w14:paraId="1E371E2C"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Integración con bodegas y lagos sectoriales.</w:t>
            </w:r>
          </w:p>
        </w:tc>
      </w:tr>
      <w:tr w:rsidRPr="00DA4823" w:rsidR="005E3BD6" w:rsidTr="00ED4C37" w14:paraId="2183778E" w14:textId="77777777">
        <w:trPr>
          <w:trHeight w:val="503"/>
          <w:jc w:val="center"/>
        </w:trPr>
        <w:tc>
          <w:tcPr>
            <w:tcW w:w="164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ED4C37" w:rsidR="005E3BD6" w:rsidP="00ED4C37" w:rsidRDefault="005E3BD6" w14:paraId="1B954332" w14:textId="77777777">
            <w:pPr>
              <w:spacing w:after="160" w:line="276" w:lineRule="auto"/>
              <w:jc w:val="center"/>
              <w:rPr>
                <w:rFonts w:ascii="Nunito Sans" w:hAnsi="Nunito Sans" w:eastAsia="Arial" w:cs="Calibri"/>
                <w:bCs/>
                <w:color w:val="FFFFFF" w:themeColor="background1"/>
                <w:sz w:val="18"/>
                <w:szCs w:val="18"/>
              </w:rPr>
            </w:pPr>
            <w:r w:rsidRPr="00ED4C37">
              <w:rPr>
                <w:rFonts w:ascii="Nunito Sans" w:hAnsi="Nunito Sans" w:eastAsia="Arial" w:cs="Calibri"/>
                <w:bCs/>
                <w:color w:val="FFFFFF" w:themeColor="background1"/>
                <w:sz w:val="18"/>
                <w:szCs w:val="18"/>
              </w:rPr>
              <w:t>Seguridad</w:t>
            </w:r>
          </w:p>
        </w:tc>
        <w:tc>
          <w:tcPr>
            <w:tcW w:w="3093" w:type="dxa"/>
            <w:tcBorders>
              <w:left w:val="single" w:color="FFFFFF" w:themeColor="background1" w:sz="4" w:space="0"/>
            </w:tcBorders>
            <w:vAlign w:val="center"/>
          </w:tcPr>
          <w:p w:rsidRPr="00DA4823" w:rsidR="005E3BD6" w:rsidP="00B4771C" w:rsidRDefault="005E3BD6" w14:paraId="483F97C6" w14:textId="77777777">
            <w:pPr>
              <w:spacing w:after="160" w:line="276" w:lineRule="auto"/>
              <w:jc w:val="center"/>
              <w:rPr>
                <w:rFonts w:ascii="Nunito Sans" w:hAnsi="Nunito Sans" w:eastAsia="Arial" w:cs="Calibri"/>
                <w:sz w:val="18"/>
                <w:szCs w:val="18"/>
                <w:lang w:val="en-US"/>
              </w:rPr>
            </w:pPr>
            <w:r w:rsidRPr="00DA4823">
              <w:rPr>
                <w:rFonts w:ascii="Nunito Sans" w:hAnsi="Nunito Sans" w:eastAsia="Arial" w:cs="Calibri"/>
                <w:sz w:val="18"/>
                <w:szCs w:val="18"/>
                <w:lang w:val="en-US"/>
              </w:rPr>
              <w:t>TLS 1.3, OAuth2, JWT, HMAC, WS-Security</w:t>
            </w:r>
          </w:p>
        </w:tc>
        <w:tc>
          <w:tcPr>
            <w:tcW w:w="3943" w:type="dxa"/>
            <w:vAlign w:val="center"/>
          </w:tcPr>
          <w:p w:rsidRPr="00DA4823" w:rsidR="005E3BD6" w:rsidP="00B4771C" w:rsidRDefault="005E3BD6" w14:paraId="4AAE7320"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Protocolos para autenticación, cifrado y trazabilidad.</w:t>
            </w:r>
          </w:p>
        </w:tc>
      </w:tr>
    </w:tbl>
    <w:p w:rsidR="005E3BD6" w:rsidP="005E3BD6" w:rsidRDefault="005E3BD6" w14:paraId="4B8E4FC3" w14:textId="77777777">
      <w:pPr>
        <w:pStyle w:val="Default"/>
        <w:spacing w:line="360" w:lineRule="auto"/>
        <w:jc w:val="center"/>
        <w:rPr>
          <w:rFonts w:ascii="Nunito Sans" w:hAnsi="Nunito Sans" w:eastAsia="CIDFont+F9" w:cs="Calibri"/>
          <w:color w:val="000000" w:themeColor="text1"/>
          <w:sz w:val="18"/>
          <w:szCs w:val="18"/>
        </w:rPr>
      </w:pPr>
      <w:r w:rsidRPr="00CA4194">
        <w:rPr>
          <w:rFonts w:ascii="Nunito Sans" w:hAnsi="Nunito Sans" w:eastAsia="Arial" w:cs="Calibri"/>
          <w:sz w:val="22"/>
          <w:szCs w:val="22"/>
          <w:lang w:val="es"/>
        </w:rPr>
        <w:t xml:space="preserve"> </w:t>
      </w:r>
      <w:r w:rsidRPr="00CA4194">
        <w:rPr>
          <w:rFonts w:ascii="Nunito Sans" w:hAnsi="Nunito Sans" w:eastAsia="Arial" w:cs="Calibri"/>
          <w:sz w:val="22"/>
          <w:szCs w:val="22"/>
          <w:lang w:val="es-ES"/>
        </w:rPr>
        <w:t xml:space="preserve"> </w:t>
      </w:r>
      <w:r w:rsidRPr="007E3FC8">
        <w:rPr>
          <w:rFonts w:ascii="Nunito Sans" w:hAnsi="Nunito Sans" w:eastAsia="CIDFont+F9" w:cs="Calibri"/>
          <w:color w:val="000000" w:themeColor="text1"/>
          <w:sz w:val="18"/>
          <w:szCs w:val="18"/>
        </w:rPr>
        <w:t>Fuente: Elaboración propia</w:t>
      </w:r>
    </w:p>
    <w:p w:rsidRPr="000A3312" w:rsidR="005E3BD6" w:rsidP="005E3BD6" w:rsidRDefault="005E3BD6" w14:paraId="2D96C921" w14:textId="77777777">
      <w:pPr>
        <w:pStyle w:val="Default"/>
        <w:spacing w:line="360" w:lineRule="auto"/>
        <w:jc w:val="center"/>
        <w:rPr>
          <w:rFonts w:ascii="Nunito Sans" w:hAnsi="Nunito Sans" w:cs="Calibri"/>
        </w:rPr>
      </w:pPr>
    </w:p>
    <w:p w:rsidRPr="00CA4194" w:rsidR="005E3BD6" w:rsidP="005E3BD6" w:rsidRDefault="005E3BD6" w14:paraId="0CAEAFF0"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lastRenderedPageBreak/>
        <w:t>Portafolio de Servicios de Interoperabilidad Críticos</w:t>
      </w:r>
      <w:r w:rsidRPr="00CA4194">
        <w:rPr>
          <w:rFonts w:ascii="Nunito Sans" w:hAnsi="Nunito Sans" w:eastAsia="Arial" w:cs="Calibri"/>
          <w:sz w:val="22"/>
          <w:szCs w:val="22"/>
          <w:lang w:val="es-ES"/>
        </w:rPr>
        <w:t xml:space="preserve"> </w:t>
      </w:r>
    </w:p>
    <w:p w:rsidR="005E3BD6" w:rsidP="005E3BD6" w:rsidRDefault="005E3BD6" w14:paraId="24A03F77" w14:textId="77777777">
      <w:pPr>
        <w:spacing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El portafolio inicial de servicios interoperables del sector incluirá los siguientes dominios, priorizados conforme a la Guía MME – Complementos (Integración Sectorial y Catálogo de Servicios):</w:t>
      </w:r>
      <w:r w:rsidRPr="00DA4823">
        <w:rPr>
          <w:rFonts w:ascii="Nunito Sans" w:hAnsi="Nunito Sans" w:eastAsia="Arial" w:cs="Calibri"/>
          <w:sz w:val="22"/>
          <w:szCs w:val="22"/>
          <w:lang w:val="es-ES"/>
        </w:rPr>
        <w:t xml:space="preserve"> </w:t>
      </w:r>
    </w:p>
    <w:p w:rsidRPr="00DA4823" w:rsidR="005E3BD6" w:rsidP="005E3BD6" w:rsidRDefault="005E3BD6" w14:paraId="32AF7154" w14:textId="77777777">
      <w:pPr>
        <w:spacing w:line="276" w:lineRule="auto"/>
        <w:jc w:val="both"/>
        <w:rPr>
          <w:rFonts w:ascii="Nunito Sans" w:hAnsi="Nunito Sans" w:eastAsia="Arial" w:cs="Calibri"/>
          <w:sz w:val="22"/>
          <w:szCs w:val="22"/>
          <w:lang w:val="es-ES"/>
        </w:rPr>
      </w:pPr>
    </w:p>
    <w:p w:rsidRPr="00EB43A6" w:rsidR="005E3BD6" w:rsidP="005E3BD6" w:rsidRDefault="009B1FDD" w14:paraId="0F9B66BB" w14:textId="13A98BF8">
      <w:pPr>
        <w:ind w:left="360" w:hanging="360"/>
        <w:jc w:val="center"/>
        <w:rPr>
          <w:rFonts w:ascii="Nunito Sans" w:hAnsi="Nunito Sans" w:cs="Calibri"/>
          <w:b/>
          <w:bCs/>
          <w:sz w:val="18"/>
          <w:szCs w:val="18"/>
        </w:rPr>
      </w:pPr>
      <w:bookmarkStart w:name="_Toc220664224" w:id="428"/>
      <w:r w:rsidRPr="009B1FDD">
        <w:rPr>
          <w:rFonts w:ascii="Nunito Sans" w:hAnsi="Nunito Sans" w:cs="Calibri"/>
          <w:b/>
          <w:bCs/>
          <w:sz w:val="18"/>
          <w:szCs w:val="18"/>
        </w:rPr>
        <w:t xml:space="preserve">Tabla </w:t>
      </w:r>
      <w:r w:rsidRPr="009B1FDD">
        <w:rPr>
          <w:rFonts w:ascii="Nunito Sans" w:hAnsi="Nunito Sans" w:cs="Calibri"/>
          <w:b/>
          <w:bCs/>
          <w:sz w:val="18"/>
          <w:szCs w:val="18"/>
        </w:rPr>
        <w:fldChar w:fldCharType="begin"/>
      </w:r>
      <w:r w:rsidRPr="009B1FDD">
        <w:rPr>
          <w:rFonts w:ascii="Nunito Sans" w:hAnsi="Nunito Sans" w:cs="Calibri"/>
          <w:b/>
          <w:bCs/>
          <w:sz w:val="18"/>
          <w:szCs w:val="18"/>
        </w:rPr>
        <w:instrText xml:space="preserve"> SEQ Tabla \* ARABIC </w:instrText>
      </w:r>
      <w:r w:rsidRPr="009B1FDD">
        <w:rPr>
          <w:rFonts w:ascii="Nunito Sans" w:hAnsi="Nunito Sans" w:cs="Calibri"/>
          <w:b/>
          <w:bCs/>
          <w:sz w:val="18"/>
          <w:szCs w:val="18"/>
        </w:rPr>
        <w:fldChar w:fldCharType="separate"/>
      </w:r>
      <w:r w:rsidR="00C57F7B">
        <w:rPr>
          <w:rFonts w:ascii="Nunito Sans" w:hAnsi="Nunito Sans" w:cs="Calibri"/>
          <w:b/>
          <w:bCs/>
          <w:noProof/>
          <w:sz w:val="18"/>
          <w:szCs w:val="18"/>
        </w:rPr>
        <w:t>53</w:t>
      </w:r>
      <w:r w:rsidRPr="009B1FD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Portafolio de Servicios de Interoperabilidad del Sector</w:t>
      </w:r>
      <w:bookmarkEnd w:id="428"/>
    </w:p>
    <w:tbl>
      <w:tblPr>
        <w:tblW w:w="8647" w:type="dxa"/>
        <w:tblInd w:w="26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801"/>
        <w:gridCol w:w="3018"/>
        <w:gridCol w:w="3828"/>
      </w:tblGrid>
      <w:tr w:rsidRPr="00DA4823" w:rsidR="005E3BD6" w:rsidTr="00A45983" w14:paraId="7CD7318D" w14:textId="77777777">
        <w:trPr>
          <w:trHeight w:val="285"/>
        </w:trPr>
        <w:tc>
          <w:tcPr>
            <w:tcW w:w="1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A45983" w:rsidRDefault="005E3BD6" w14:paraId="57C0C4C9"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Categoría</w:t>
            </w:r>
          </w:p>
        </w:tc>
        <w:tc>
          <w:tcPr>
            <w:tcW w:w="301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194A3D58"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Ejemplo de Servicio</w:t>
            </w:r>
          </w:p>
        </w:tc>
        <w:tc>
          <w:tcPr>
            <w:tcW w:w="382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50202924"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Descripción</w:t>
            </w:r>
          </w:p>
        </w:tc>
      </w:tr>
      <w:tr w:rsidRPr="00DA4823" w:rsidR="005E3BD6" w:rsidTr="00A45983" w14:paraId="4CA54BDC" w14:textId="77777777">
        <w:trPr>
          <w:trHeight w:val="285"/>
        </w:trPr>
        <w:tc>
          <w:tcPr>
            <w:tcW w:w="1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A45983" w:rsidR="005E3BD6" w:rsidP="00A45983" w:rsidRDefault="005E3BD6" w14:paraId="6694E881" w14:textId="77777777">
            <w:pPr>
              <w:spacing w:after="160" w:line="276" w:lineRule="auto"/>
              <w:jc w:val="center"/>
              <w:rPr>
                <w:rFonts w:ascii="Nunito Sans" w:hAnsi="Nunito Sans" w:eastAsia="Arial" w:cs="Calibri"/>
                <w:bCs/>
                <w:color w:val="FFFFFF" w:themeColor="background1"/>
                <w:sz w:val="18"/>
                <w:szCs w:val="18"/>
              </w:rPr>
            </w:pPr>
            <w:r w:rsidRPr="00A45983">
              <w:rPr>
                <w:rFonts w:ascii="Nunito Sans" w:hAnsi="Nunito Sans" w:eastAsia="Arial" w:cs="Calibri"/>
                <w:bCs/>
                <w:color w:val="FFFFFF" w:themeColor="background1"/>
                <w:sz w:val="18"/>
                <w:szCs w:val="18"/>
              </w:rPr>
              <w:t>Dominios Maestros</w:t>
            </w:r>
          </w:p>
        </w:tc>
        <w:tc>
          <w:tcPr>
            <w:tcW w:w="3018" w:type="dxa"/>
            <w:tcBorders>
              <w:top w:val="single" w:color="FFFFFF" w:themeColor="background1" w:sz="4" w:space="0"/>
              <w:left w:val="single" w:color="FFFFFF" w:themeColor="background1" w:sz="4" w:space="0"/>
            </w:tcBorders>
            <w:vAlign w:val="center"/>
          </w:tcPr>
          <w:p w:rsidRPr="00DA4823" w:rsidR="005E3BD6" w:rsidP="00B4771C" w:rsidRDefault="005E3BD6" w14:paraId="79A8877C"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/api/empresas, /api/territorios, /api/activos</w:t>
            </w:r>
          </w:p>
        </w:tc>
        <w:tc>
          <w:tcPr>
            <w:tcW w:w="3828" w:type="dxa"/>
            <w:tcBorders>
              <w:top w:val="single" w:color="FFFFFF" w:themeColor="background1" w:sz="4" w:space="0"/>
            </w:tcBorders>
            <w:vAlign w:val="center"/>
          </w:tcPr>
          <w:p w:rsidRPr="00DA4823" w:rsidR="005E3BD6" w:rsidP="00B4771C" w:rsidRDefault="005E3BD6" w14:paraId="51628C18"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Consulta y actualización de catálogos base del sector.</w:t>
            </w:r>
          </w:p>
        </w:tc>
      </w:tr>
      <w:tr w:rsidRPr="00DA4823" w:rsidR="005E3BD6" w:rsidTr="00A45983" w14:paraId="48A9911B" w14:textId="77777777">
        <w:trPr>
          <w:trHeight w:val="285"/>
        </w:trPr>
        <w:tc>
          <w:tcPr>
            <w:tcW w:w="1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A45983" w:rsidR="005E3BD6" w:rsidP="00A45983" w:rsidRDefault="005E3BD6" w14:paraId="7C5C1A46" w14:textId="77777777">
            <w:pPr>
              <w:spacing w:after="160" w:line="276" w:lineRule="auto"/>
              <w:jc w:val="center"/>
              <w:rPr>
                <w:rFonts w:ascii="Nunito Sans" w:hAnsi="Nunito Sans" w:eastAsia="Arial" w:cs="Calibri"/>
                <w:bCs/>
                <w:color w:val="FFFFFF" w:themeColor="background1"/>
                <w:sz w:val="18"/>
                <w:szCs w:val="18"/>
              </w:rPr>
            </w:pPr>
            <w:r w:rsidRPr="00A45983">
              <w:rPr>
                <w:rFonts w:ascii="Nunito Sans" w:hAnsi="Nunito Sans" w:eastAsia="Arial" w:cs="Calibri"/>
                <w:bCs/>
                <w:color w:val="FFFFFF" w:themeColor="background1"/>
                <w:sz w:val="18"/>
                <w:szCs w:val="18"/>
              </w:rPr>
              <w:t>Datos Estadísticos</w:t>
            </w:r>
          </w:p>
        </w:tc>
        <w:tc>
          <w:tcPr>
            <w:tcW w:w="3018" w:type="dxa"/>
            <w:tcBorders>
              <w:left w:val="single" w:color="FFFFFF" w:themeColor="background1" w:sz="4" w:space="0"/>
            </w:tcBorders>
            <w:vAlign w:val="center"/>
          </w:tcPr>
          <w:p w:rsidRPr="00DA4823" w:rsidR="005E3BD6" w:rsidP="00B4771C" w:rsidRDefault="005E3BD6" w14:paraId="7468EA16"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/api/indicadores, /api/series</w:t>
            </w:r>
          </w:p>
        </w:tc>
        <w:tc>
          <w:tcPr>
            <w:tcW w:w="3828" w:type="dxa"/>
            <w:vAlign w:val="center"/>
          </w:tcPr>
          <w:p w:rsidRPr="00DA4823" w:rsidR="005E3BD6" w:rsidP="00B4771C" w:rsidRDefault="005E3BD6" w14:paraId="77E9352A"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Acceso a datos estadísticos validados del SEME.</w:t>
            </w:r>
          </w:p>
        </w:tc>
      </w:tr>
      <w:tr w:rsidRPr="00DA4823" w:rsidR="005E3BD6" w:rsidTr="00A45983" w14:paraId="2243EE1E" w14:textId="77777777">
        <w:trPr>
          <w:trHeight w:val="285"/>
        </w:trPr>
        <w:tc>
          <w:tcPr>
            <w:tcW w:w="1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A45983" w:rsidR="005E3BD6" w:rsidP="00A45983" w:rsidRDefault="005E3BD6" w14:paraId="2C309499" w14:textId="77777777">
            <w:pPr>
              <w:spacing w:after="160" w:line="276" w:lineRule="auto"/>
              <w:jc w:val="center"/>
              <w:rPr>
                <w:rFonts w:ascii="Nunito Sans" w:hAnsi="Nunito Sans" w:eastAsia="Arial" w:cs="Calibri"/>
                <w:bCs/>
                <w:color w:val="FFFFFF" w:themeColor="background1"/>
                <w:sz w:val="18"/>
                <w:szCs w:val="18"/>
              </w:rPr>
            </w:pPr>
            <w:r w:rsidRPr="00A45983">
              <w:rPr>
                <w:rFonts w:ascii="Nunito Sans" w:hAnsi="Nunito Sans" w:eastAsia="Arial" w:cs="Calibri"/>
                <w:bCs/>
                <w:color w:val="FFFFFF" w:themeColor="background1"/>
                <w:sz w:val="18"/>
                <w:szCs w:val="18"/>
              </w:rPr>
              <w:t>Datos Geoespaciales</w:t>
            </w:r>
          </w:p>
        </w:tc>
        <w:tc>
          <w:tcPr>
            <w:tcW w:w="3018" w:type="dxa"/>
            <w:tcBorders>
              <w:left w:val="single" w:color="FFFFFF" w:themeColor="background1" w:sz="4" w:space="0"/>
            </w:tcBorders>
            <w:vAlign w:val="center"/>
          </w:tcPr>
          <w:p w:rsidRPr="00DA4823" w:rsidR="005E3BD6" w:rsidP="00B4771C" w:rsidRDefault="005E3BD6" w14:paraId="5EC1789D"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/api/geolocalizacion, /api/capas</w:t>
            </w:r>
          </w:p>
        </w:tc>
        <w:tc>
          <w:tcPr>
            <w:tcW w:w="3828" w:type="dxa"/>
            <w:vAlign w:val="center"/>
          </w:tcPr>
          <w:p w:rsidRPr="00DA4823" w:rsidR="005E3BD6" w:rsidP="00B4771C" w:rsidRDefault="005E3BD6" w14:paraId="3F3D005E"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Servicios OGC y GeoJSON interoperables con la IDE–SME.</w:t>
            </w:r>
          </w:p>
        </w:tc>
      </w:tr>
      <w:tr w:rsidRPr="00DA4823" w:rsidR="005E3BD6" w:rsidTr="00A45983" w14:paraId="7FC4FF05" w14:textId="77777777">
        <w:trPr>
          <w:trHeight w:val="285"/>
        </w:trPr>
        <w:tc>
          <w:tcPr>
            <w:tcW w:w="1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A45983" w:rsidR="005E3BD6" w:rsidP="00A45983" w:rsidRDefault="005E3BD6" w14:paraId="2312B1D1" w14:textId="77777777">
            <w:pPr>
              <w:spacing w:after="160" w:line="276" w:lineRule="auto"/>
              <w:jc w:val="center"/>
              <w:rPr>
                <w:rFonts w:ascii="Nunito Sans" w:hAnsi="Nunito Sans" w:eastAsia="Arial" w:cs="Calibri"/>
                <w:bCs/>
                <w:color w:val="FFFFFF" w:themeColor="background1"/>
                <w:sz w:val="18"/>
                <w:szCs w:val="18"/>
              </w:rPr>
            </w:pPr>
            <w:r w:rsidRPr="00A45983">
              <w:rPr>
                <w:rFonts w:ascii="Nunito Sans" w:hAnsi="Nunito Sans" w:eastAsia="Arial" w:cs="Calibri"/>
                <w:bCs/>
                <w:color w:val="FFFFFF" w:themeColor="background1"/>
                <w:sz w:val="18"/>
                <w:szCs w:val="18"/>
              </w:rPr>
              <w:t>Supervisión y Planeación</w:t>
            </w:r>
          </w:p>
        </w:tc>
        <w:tc>
          <w:tcPr>
            <w:tcW w:w="3018" w:type="dxa"/>
            <w:tcBorders>
              <w:left w:val="single" w:color="FFFFFF" w:themeColor="background1" w:sz="4" w:space="0"/>
            </w:tcBorders>
            <w:vAlign w:val="center"/>
          </w:tcPr>
          <w:p w:rsidRPr="00DA4823" w:rsidR="005E3BD6" w:rsidP="00B4771C" w:rsidRDefault="005E3BD6" w14:paraId="1F3C6C41"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/api/proyectos, /api/energia/seguridad</w:t>
            </w:r>
          </w:p>
        </w:tc>
        <w:tc>
          <w:tcPr>
            <w:tcW w:w="3828" w:type="dxa"/>
            <w:vAlign w:val="center"/>
          </w:tcPr>
          <w:p w:rsidRPr="00DA4823" w:rsidR="005E3BD6" w:rsidP="00B4771C" w:rsidRDefault="005E3BD6" w14:paraId="6C11BE78"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Servicios para monitoreo de proyectos y seguridad energética.</w:t>
            </w:r>
          </w:p>
        </w:tc>
      </w:tr>
      <w:tr w:rsidRPr="00DA4823" w:rsidR="005E3BD6" w:rsidTr="00A45983" w14:paraId="7303C409" w14:textId="77777777">
        <w:trPr>
          <w:trHeight w:val="285"/>
        </w:trPr>
        <w:tc>
          <w:tcPr>
            <w:tcW w:w="18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A45983" w:rsidR="005E3BD6" w:rsidP="00A45983" w:rsidRDefault="005E3BD6" w14:paraId="437865B7" w14:textId="77777777">
            <w:pPr>
              <w:spacing w:after="160" w:line="276" w:lineRule="auto"/>
              <w:jc w:val="center"/>
              <w:rPr>
                <w:rFonts w:ascii="Nunito Sans" w:hAnsi="Nunito Sans" w:eastAsia="Arial" w:cs="Calibri"/>
                <w:bCs/>
                <w:color w:val="FFFFFF" w:themeColor="background1"/>
                <w:sz w:val="18"/>
                <w:szCs w:val="18"/>
              </w:rPr>
            </w:pPr>
            <w:r w:rsidRPr="00A45983">
              <w:rPr>
                <w:rFonts w:ascii="Nunito Sans" w:hAnsi="Nunito Sans" w:eastAsia="Arial" w:cs="Calibri"/>
                <w:bCs/>
                <w:color w:val="FFFFFF" w:themeColor="background1"/>
                <w:sz w:val="18"/>
                <w:szCs w:val="18"/>
              </w:rPr>
              <w:t>Analítica e IA</w:t>
            </w:r>
          </w:p>
        </w:tc>
        <w:tc>
          <w:tcPr>
            <w:tcW w:w="3018" w:type="dxa"/>
            <w:tcBorders>
              <w:left w:val="single" w:color="FFFFFF" w:themeColor="background1" w:sz="4" w:space="0"/>
            </w:tcBorders>
            <w:vAlign w:val="center"/>
          </w:tcPr>
          <w:p w:rsidRPr="00DA4823" w:rsidR="005E3BD6" w:rsidP="00B4771C" w:rsidRDefault="005E3BD6" w14:paraId="7CE303E7"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/api/predicciones, /api/modelos</w:t>
            </w:r>
          </w:p>
        </w:tc>
        <w:tc>
          <w:tcPr>
            <w:tcW w:w="3828" w:type="dxa"/>
            <w:vAlign w:val="center"/>
          </w:tcPr>
          <w:p w:rsidRPr="00DA4823" w:rsidR="005E3BD6" w:rsidP="00B4771C" w:rsidRDefault="005E3BD6" w14:paraId="2C19C0BC"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Exposición de resultados de modelos de IA sectorial (MLOps).</w:t>
            </w:r>
          </w:p>
        </w:tc>
      </w:tr>
    </w:tbl>
    <w:p w:rsidRPr="00EF5DE4" w:rsidR="005E3BD6" w:rsidP="005E3BD6" w:rsidRDefault="005E3BD6" w14:paraId="72848201"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607C6090" w14:textId="77777777">
      <w:pPr>
        <w:spacing w:line="276" w:lineRule="auto"/>
        <w:jc w:val="both"/>
        <w:rPr>
          <w:rFonts w:ascii="Nunito Sans" w:hAnsi="Nunito Sans" w:eastAsia="Arial" w:cs="Calibri"/>
          <w:sz w:val="22"/>
          <w:szCs w:val="22"/>
          <w:lang w:val="es"/>
        </w:rPr>
      </w:pPr>
    </w:p>
    <w:p w:rsidR="005E3BD6" w:rsidP="005E3BD6" w:rsidRDefault="005E3BD6" w14:paraId="1E916C6D" w14:textId="77777777">
      <w:pPr>
        <w:spacing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Estos servicios conformarán el núcleo interoperable del ecosistema de información sectorial y se publicarán progresivamente en el Catálogo de APIs del Sector Minero–Energético, interoperable con el Catálogo Nacional de Servicios del Estado (MinTIC).</w:t>
      </w:r>
      <w:r w:rsidRPr="00DA4823">
        <w:rPr>
          <w:rFonts w:ascii="Nunito Sans" w:hAnsi="Nunito Sans" w:eastAsia="Arial" w:cs="Calibri"/>
          <w:sz w:val="22"/>
          <w:szCs w:val="22"/>
          <w:lang w:val="es-ES"/>
        </w:rPr>
        <w:t xml:space="preserve"> </w:t>
      </w:r>
    </w:p>
    <w:p w:rsidRPr="00DA4823" w:rsidR="005E3BD6" w:rsidP="005E3BD6" w:rsidRDefault="005E3BD6" w14:paraId="4BF94B97" w14:textId="77777777">
      <w:pPr>
        <w:spacing w:after="160" w:line="276" w:lineRule="auto"/>
        <w:jc w:val="both"/>
        <w:rPr>
          <w:rFonts w:ascii="Nunito Sans" w:hAnsi="Nunito Sans" w:eastAsia="Arial" w:cs="Calibri"/>
          <w:sz w:val="22"/>
          <w:szCs w:val="22"/>
          <w:lang w:val="es-ES"/>
        </w:rPr>
      </w:pPr>
    </w:p>
    <w:p w:rsidRPr="00CA4194" w:rsidR="005E3BD6" w:rsidP="005E3BD6" w:rsidRDefault="005E3BD6" w14:paraId="35D5D053"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Modelo de Gobernanza de APIs e Integración</w:t>
      </w:r>
      <w:r w:rsidRPr="00CA4194">
        <w:rPr>
          <w:rFonts w:ascii="Nunito Sans" w:hAnsi="Nunito Sans" w:eastAsia="Arial" w:cs="Calibri"/>
          <w:sz w:val="22"/>
          <w:szCs w:val="22"/>
          <w:lang w:val="es-ES"/>
        </w:rPr>
        <w:t xml:space="preserve"> </w:t>
      </w:r>
    </w:p>
    <w:p w:rsidRPr="00DA4823" w:rsidR="005E3BD6" w:rsidP="005E3BD6" w:rsidRDefault="005E3BD6" w14:paraId="66A5CC47" w14:textId="77777777">
      <w:pPr>
        <w:spacing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El modelo de gobernanza se define en la Guía de Arquitectura MME – Capítulo 6 (Gobierno de Integración y APIs) y se estructura en torno a roles, políticas y métricas:</w:t>
      </w:r>
      <w:r w:rsidRPr="00DA4823">
        <w:rPr>
          <w:rFonts w:ascii="Nunito Sans" w:hAnsi="Nunito Sans" w:eastAsia="Arial" w:cs="Calibri"/>
          <w:sz w:val="22"/>
          <w:szCs w:val="22"/>
          <w:lang w:val="es-ES"/>
        </w:rPr>
        <w:t xml:space="preserve"> </w:t>
      </w:r>
    </w:p>
    <w:p w:rsidR="005E3BD6" w:rsidP="005E3BD6" w:rsidRDefault="005E3BD6" w14:paraId="019AAE9E" w14:textId="77777777">
      <w:pPr>
        <w:spacing w:after="160"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Roles y Responsabilidades</w:t>
      </w:r>
      <w:r w:rsidRPr="00DA4823">
        <w:rPr>
          <w:rFonts w:ascii="Nunito Sans" w:hAnsi="Nunito Sans" w:eastAsia="Arial" w:cs="Calibri"/>
          <w:sz w:val="22"/>
          <w:szCs w:val="22"/>
          <w:lang w:val="es-ES"/>
        </w:rPr>
        <w:t xml:space="preserve"> </w:t>
      </w:r>
    </w:p>
    <w:p w:rsidRPr="00EB43A6" w:rsidR="005E3BD6" w:rsidP="005E3BD6" w:rsidRDefault="009B1FDD" w14:paraId="26298950" w14:textId="503385C2">
      <w:pPr>
        <w:ind w:left="360" w:hanging="360"/>
        <w:jc w:val="center"/>
        <w:rPr>
          <w:rFonts w:ascii="Nunito Sans" w:hAnsi="Nunito Sans" w:cs="Calibri"/>
          <w:b/>
          <w:bCs/>
          <w:sz w:val="18"/>
          <w:szCs w:val="18"/>
        </w:rPr>
      </w:pPr>
      <w:bookmarkStart w:name="_Toc220664225" w:id="429"/>
      <w:r w:rsidRPr="009B1FDD">
        <w:rPr>
          <w:rFonts w:ascii="Nunito Sans" w:hAnsi="Nunito Sans" w:cs="Calibri"/>
          <w:b/>
          <w:bCs/>
          <w:sz w:val="18"/>
          <w:szCs w:val="18"/>
        </w:rPr>
        <w:t xml:space="preserve">Tabla </w:t>
      </w:r>
      <w:r w:rsidRPr="009B1FDD">
        <w:rPr>
          <w:rFonts w:ascii="Nunito Sans" w:hAnsi="Nunito Sans" w:cs="Calibri"/>
          <w:b/>
          <w:bCs/>
          <w:sz w:val="18"/>
          <w:szCs w:val="18"/>
        </w:rPr>
        <w:fldChar w:fldCharType="begin"/>
      </w:r>
      <w:r w:rsidRPr="009B1FDD">
        <w:rPr>
          <w:rFonts w:ascii="Nunito Sans" w:hAnsi="Nunito Sans" w:cs="Calibri"/>
          <w:b/>
          <w:bCs/>
          <w:sz w:val="18"/>
          <w:szCs w:val="18"/>
        </w:rPr>
        <w:instrText xml:space="preserve"> SEQ Tabla \* ARABIC </w:instrText>
      </w:r>
      <w:r w:rsidRPr="009B1FDD">
        <w:rPr>
          <w:rFonts w:ascii="Nunito Sans" w:hAnsi="Nunito Sans" w:cs="Calibri"/>
          <w:b/>
          <w:bCs/>
          <w:sz w:val="18"/>
          <w:szCs w:val="18"/>
        </w:rPr>
        <w:fldChar w:fldCharType="separate"/>
      </w:r>
      <w:r w:rsidR="00C57F7B">
        <w:rPr>
          <w:rFonts w:ascii="Nunito Sans" w:hAnsi="Nunito Sans" w:cs="Calibri"/>
          <w:b/>
          <w:bCs/>
          <w:noProof/>
          <w:sz w:val="18"/>
          <w:szCs w:val="18"/>
        </w:rPr>
        <w:t>54</w:t>
      </w:r>
      <w:r w:rsidRPr="009B1FD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Modelo de Gobernanza de APIs e Integración del Sector</w:t>
      </w:r>
      <w:bookmarkEnd w:id="429"/>
    </w:p>
    <w:tbl>
      <w:tblPr>
        <w:tblW w:w="8647" w:type="dxa"/>
        <w:tblInd w:w="26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843"/>
        <w:gridCol w:w="2976"/>
        <w:gridCol w:w="3828"/>
      </w:tblGrid>
      <w:tr w:rsidRPr="00DA4823" w:rsidR="005E3BD6" w:rsidTr="009B39AB" w14:paraId="3F7CD41D" w14:textId="77777777">
        <w:trPr>
          <w:trHeight w:val="285"/>
        </w:trPr>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22859875"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Rol</w:t>
            </w:r>
          </w:p>
        </w:tc>
        <w:tc>
          <w:tcPr>
            <w:tcW w:w="2976"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7A369009"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Función</w:t>
            </w:r>
          </w:p>
        </w:tc>
        <w:tc>
          <w:tcPr>
            <w:tcW w:w="3828"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1A40B56D"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Responsable</w:t>
            </w:r>
          </w:p>
        </w:tc>
      </w:tr>
      <w:tr w:rsidRPr="00DA4823" w:rsidR="005E3BD6" w:rsidTr="009B39AB" w14:paraId="3693A8A8" w14:textId="77777777">
        <w:trPr>
          <w:trHeight w:val="285"/>
        </w:trPr>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B39AB" w:rsidR="005E3BD6" w:rsidP="00B4771C" w:rsidRDefault="005E3BD6" w14:paraId="32E23B3F" w14:textId="77777777">
            <w:pPr>
              <w:spacing w:after="160" w:line="276" w:lineRule="auto"/>
              <w:jc w:val="center"/>
              <w:rPr>
                <w:rFonts w:ascii="Nunito Sans" w:hAnsi="Nunito Sans" w:eastAsia="Arial" w:cs="Calibri"/>
                <w:bCs/>
                <w:color w:val="FFFFFF" w:themeColor="background1"/>
                <w:sz w:val="18"/>
                <w:szCs w:val="18"/>
              </w:rPr>
            </w:pPr>
            <w:r w:rsidRPr="009B39AB">
              <w:rPr>
                <w:rFonts w:ascii="Nunito Sans" w:hAnsi="Nunito Sans" w:eastAsia="Arial" w:cs="Calibri"/>
                <w:bCs/>
                <w:color w:val="FFFFFF" w:themeColor="background1"/>
                <w:sz w:val="18"/>
                <w:szCs w:val="18"/>
              </w:rPr>
              <w:t>API Owner</w:t>
            </w:r>
          </w:p>
        </w:tc>
        <w:tc>
          <w:tcPr>
            <w:tcW w:w="2976" w:type="dxa"/>
            <w:tcBorders>
              <w:top w:val="single" w:color="FFFFFF" w:themeColor="background1" w:sz="4" w:space="0"/>
              <w:left w:val="single" w:color="FFFFFF" w:themeColor="background1" w:sz="4" w:space="0"/>
            </w:tcBorders>
            <w:vAlign w:val="center"/>
          </w:tcPr>
          <w:p w:rsidRPr="00DA4823" w:rsidR="005E3BD6" w:rsidP="00B4771C" w:rsidRDefault="005E3BD6" w14:paraId="2C07AA24"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Define, documenta y mantiene la API.</w:t>
            </w:r>
          </w:p>
        </w:tc>
        <w:tc>
          <w:tcPr>
            <w:tcW w:w="3828" w:type="dxa"/>
            <w:tcBorders>
              <w:top w:val="single" w:color="FFFFFF" w:themeColor="background1" w:sz="4" w:space="0"/>
            </w:tcBorders>
            <w:vAlign w:val="center"/>
          </w:tcPr>
          <w:p w:rsidRPr="00DA4823" w:rsidR="005E3BD6" w:rsidP="00B4771C" w:rsidRDefault="005E3BD6" w14:paraId="3D170124"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Entidad fuente</w:t>
            </w:r>
          </w:p>
        </w:tc>
      </w:tr>
      <w:tr w:rsidRPr="00DA4823" w:rsidR="005E3BD6" w:rsidTr="009B39AB" w14:paraId="74412B48" w14:textId="77777777">
        <w:trPr>
          <w:trHeight w:val="285"/>
        </w:trPr>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B39AB" w:rsidR="005E3BD6" w:rsidP="00B4771C" w:rsidRDefault="005E3BD6" w14:paraId="59BA020E" w14:textId="77777777">
            <w:pPr>
              <w:spacing w:after="160" w:line="276" w:lineRule="auto"/>
              <w:jc w:val="center"/>
              <w:rPr>
                <w:rFonts w:ascii="Nunito Sans" w:hAnsi="Nunito Sans" w:eastAsia="Arial" w:cs="Calibri"/>
                <w:bCs/>
                <w:color w:val="FFFFFF" w:themeColor="background1"/>
                <w:sz w:val="18"/>
                <w:szCs w:val="18"/>
              </w:rPr>
            </w:pPr>
            <w:r w:rsidRPr="009B39AB">
              <w:rPr>
                <w:rFonts w:ascii="Nunito Sans" w:hAnsi="Nunito Sans" w:eastAsia="Arial" w:cs="Calibri"/>
                <w:bCs/>
                <w:color w:val="FFFFFF" w:themeColor="background1"/>
                <w:sz w:val="18"/>
                <w:szCs w:val="18"/>
              </w:rPr>
              <w:t>Arquitecto de Integración</w:t>
            </w:r>
          </w:p>
        </w:tc>
        <w:tc>
          <w:tcPr>
            <w:tcW w:w="2976" w:type="dxa"/>
            <w:tcBorders>
              <w:left w:val="single" w:color="FFFFFF" w:themeColor="background1" w:sz="4" w:space="0"/>
            </w:tcBorders>
            <w:vAlign w:val="center"/>
          </w:tcPr>
          <w:p w:rsidRPr="00DA4823" w:rsidR="005E3BD6" w:rsidP="00B4771C" w:rsidRDefault="005E3BD6" w14:paraId="4FEDC8CC"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Diseña flujos de integración y garantiza la coherencia técnica.</w:t>
            </w:r>
          </w:p>
        </w:tc>
        <w:tc>
          <w:tcPr>
            <w:tcW w:w="3828" w:type="dxa"/>
            <w:vAlign w:val="center"/>
          </w:tcPr>
          <w:p w:rsidRPr="00DA4823" w:rsidR="005E3BD6" w:rsidP="00B4771C" w:rsidRDefault="005E3BD6" w14:paraId="703D21A8"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Grupo TIC – MME</w:t>
            </w:r>
          </w:p>
        </w:tc>
      </w:tr>
      <w:tr w:rsidRPr="00DA4823" w:rsidR="005E3BD6" w:rsidTr="009B39AB" w14:paraId="15648606" w14:textId="77777777">
        <w:trPr>
          <w:trHeight w:val="285"/>
        </w:trPr>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B39AB" w:rsidR="005E3BD6" w:rsidP="00B4771C" w:rsidRDefault="005E3BD6" w14:paraId="03264FBD" w14:textId="77777777">
            <w:pPr>
              <w:spacing w:after="160" w:line="276" w:lineRule="auto"/>
              <w:jc w:val="center"/>
              <w:rPr>
                <w:rFonts w:ascii="Nunito Sans" w:hAnsi="Nunito Sans" w:eastAsia="Arial" w:cs="Calibri"/>
                <w:bCs/>
                <w:color w:val="FFFFFF" w:themeColor="background1"/>
                <w:sz w:val="18"/>
                <w:szCs w:val="18"/>
              </w:rPr>
            </w:pPr>
            <w:r w:rsidRPr="009B39AB">
              <w:rPr>
                <w:rFonts w:ascii="Nunito Sans" w:hAnsi="Nunito Sans" w:eastAsia="Arial" w:cs="Calibri"/>
                <w:bCs/>
                <w:color w:val="FFFFFF" w:themeColor="background1"/>
                <w:sz w:val="18"/>
                <w:szCs w:val="18"/>
              </w:rPr>
              <w:lastRenderedPageBreak/>
              <w:t>Equipo de Seguridad</w:t>
            </w:r>
          </w:p>
        </w:tc>
        <w:tc>
          <w:tcPr>
            <w:tcW w:w="2976" w:type="dxa"/>
            <w:tcBorders>
              <w:left w:val="single" w:color="FFFFFF" w:themeColor="background1" w:sz="4" w:space="0"/>
            </w:tcBorders>
            <w:vAlign w:val="center"/>
          </w:tcPr>
          <w:p w:rsidRPr="00DA4823" w:rsidR="005E3BD6" w:rsidP="00B4771C" w:rsidRDefault="005E3BD6" w14:paraId="6FCDAC65"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Implementa controles de autenticación, cifrado y auditoría.</w:t>
            </w:r>
          </w:p>
        </w:tc>
        <w:tc>
          <w:tcPr>
            <w:tcW w:w="3828" w:type="dxa"/>
            <w:vAlign w:val="center"/>
          </w:tcPr>
          <w:p w:rsidRPr="00DA4823" w:rsidR="005E3BD6" w:rsidP="00B4771C" w:rsidRDefault="005E3BD6" w14:paraId="405B9B60"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MME – Seguridad TIC</w:t>
            </w:r>
          </w:p>
        </w:tc>
      </w:tr>
      <w:tr w:rsidRPr="00DA4823" w:rsidR="005E3BD6" w:rsidTr="009B39AB" w14:paraId="0E41100F" w14:textId="77777777">
        <w:trPr>
          <w:trHeight w:val="285"/>
        </w:trPr>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9B39AB" w:rsidR="005E3BD6" w:rsidP="00B4771C" w:rsidRDefault="005E3BD6" w14:paraId="4C7646FB" w14:textId="77777777">
            <w:pPr>
              <w:spacing w:after="160" w:line="276" w:lineRule="auto"/>
              <w:jc w:val="center"/>
              <w:rPr>
                <w:rFonts w:ascii="Nunito Sans" w:hAnsi="Nunito Sans" w:eastAsia="Arial" w:cs="Calibri"/>
                <w:bCs/>
                <w:color w:val="FFFFFF" w:themeColor="background1"/>
                <w:sz w:val="18"/>
                <w:szCs w:val="18"/>
              </w:rPr>
            </w:pPr>
            <w:r w:rsidRPr="009B39AB">
              <w:rPr>
                <w:rFonts w:ascii="Nunito Sans" w:hAnsi="Nunito Sans" w:eastAsia="Arial" w:cs="Calibri"/>
                <w:bCs/>
                <w:color w:val="FFFFFF" w:themeColor="background1"/>
                <w:sz w:val="18"/>
                <w:szCs w:val="18"/>
              </w:rPr>
              <w:t>Data Steward de Integración</w:t>
            </w:r>
          </w:p>
        </w:tc>
        <w:tc>
          <w:tcPr>
            <w:tcW w:w="2976" w:type="dxa"/>
            <w:tcBorders>
              <w:left w:val="single" w:color="FFFFFF" w:themeColor="background1" w:sz="4" w:space="0"/>
            </w:tcBorders>
            <w:vAlign w:val="center"/>
          </w:tcPr>
          <w:p w:rsidRPr="00DA4823" w:rsidR="005E3BD6" w:rsidP="00B4771C" w:rsidRDefault="005E3BD6" w14:paraId="708DEADD"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Administra la calidad y trazabilidad de los datos expuestos.</w:t>
            </w:r>
          </w:p>
        </w:tc>
        <w:tc>
          <w:tcPr>
            <w:tcW w:w="3828" w:type="dxa"/>
            <w:vAlign w:val="center"/>
          </w:tcPr>
          <w:p w:rsidRPr="00DA4823" w:rsidR="005E3BD6" w:rsidP="00B4771C" w:rsidRDefault="005E3BD6" w14:paraId="0F781EC4"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Comité Sectorial de Datos</w:t>
            </w:r>
          </w:p>
        </w:tc>
      </w:tr>
    </w:tbl>
    <w:p w:rsidRPr="00EF5DE4" w:rsidR="005E3BD6" w:rsidP="005E3BD6" w:rsidRDefault="005E3BD6" w14:paraId="7111D48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54135161" w14:textId="77777777">
      <w:pPr>
        <w:spacing w:line="276" w:lineRule="auto"/>
        <w:jc w:val="both"/>
        <w:rPr>
          <w:rFonts w:ascii="Nunito Sans" w:hAnsi="Nunito Sans" w:eastAsia="Arial" w:cs="Calibri"/>
          <w:b/>
          <w:sz w:val="22"/>
          <w:szCs w:val="22"/>
          <w:lang w:val="es"/>
        </w:rPr>
      </w:pPr>
    </w:p>
    <w:p w:rsidRPr="00CA4194" w:rsidR="005E3BD6" w:rsidP="005E3BD6" w:rsidRDefault="005E3BD6" w14:paraId="0425C657"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Políticas de Integración</w:t>
      </w:r>
      <w:r w:rsidRPr="00CA4194">
        <w:rPr>
          <w:rFonts w:ascii="Nunito Sans" w:hAnsi="Nunito Sans" w:eastAsia="Arial" w:cs="Calibri"/>
          <w:sz w:val="22"/>
          <w:szCs w:val="22"/>
          <w:lang w:val="es-ES"/>
        </w:rPr>
        <w:t xml:space="preserve"> </w:t>
      </w:r>
    </w:p>
    <w:p w:rsidRPr="00CA4194" w:rsidR="005E3BD6" w:rsidRDefault="005E3BD6" w14:paraId="3836B1C0"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Control de acceso, auditoría y logging de servicios.</w:t>
      </w:r>
      <w:r w:rsidRPr="00CA4194">
        <w:rPr>
          <w:rFonts w:ascii="Nunito Sans" w:hAnsi="Nunito Sans" w:eastAsia="Arial" w:cs="Calibri"/>
          <w:sz w:val="22"/>
          <w:szCs w:val="22"/>
          <w:lang w:val="es-ES"/>
        </w:rPr>
        <w:t xml:space="preserve"> </w:t>
      </w:r>
    </w:p>
    <w:p w:rsidRPr="00CA4194" w:rsidR="005E3BD6" w:rsidRDefault="005E3BD6" w14:paraId="254DEACB"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Versionamiento y ciclo de vida de las APIs.</w:t>
      </w:r>
      <w:r w:rsidRPr="00CA4194">
        <w:rPr>
          <w:rFonts w:ascii="Nunito Sans" w:hAnsi="Nunito Sans" w:eastAsia="Arial" w:cs="Calibri"/>
          <w:sz w:val="22"/>
          <w:szCs w:val="22"/>
          <w:lang w:val="es-ES"/>
        </w:rPr>
        <w:t xml:space="preserve"> </w:t>
      </w:r>
    </w:p>
    <w:p w:rsidRPr="00CA4194" w:rsidR="005E3BD6" w:rsidRDefault="005E3BD6" w14:paraId="393531A2"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Mecanismos de autenticación (OAuth2 / API Keys).</w:t>
      </w:r>
      <w:r w:rsidRPr="00CA4194">
        <w:rPr>
          <w:rFonts w:ascii="Nunito Sans" w:hAnsi="Nunito Sans" w:eastAsia="Arial" w:cs="Calibri"/>
          <w:sz w:val="22"/>
          <w:szCs w:val="22"/>
          <w:lang w:val="es-ES"/>
        </w:rPr>
        <w:t xml:space="preserve"> </w:t>
      </w:r>
    </w:p>
    <w:p w:rsidRPr="00CA4194" w:rsidR="005E3BD6" w:rsidRDefault="005E3BD6" w14:paraId="48BDDD0E"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Revisión y deprecación controlada de versiones.</w:t>
      </w:r>
      <w:r w:rsidRPr="00CA4194">
        <w:rPr>
          <w:rFonts w:ascii="Nunito Sans" w:hAnsi="Nunito Sans" w:eastAsia="Arial" w:cs="Calibri"/>
          <w:sz w:val="22"/>
          <w:szCs w:val="22"/>
          <w:lang w:val="es-ES"/>
        </w:rPr>
        <w:t xml:space="preserve"> </w:t>
      </w:r>
    </w:p>
    <w:p w:rsidR="005E3BD6" w:rsidRDefault="005E3BD6" w14:paraId="36D64DAF"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Cumplimiento de SLA y métricas de desempeño.</w:t>
      </w:r>
      <w:r w:rsidRPr="00CA4194">
        <w:rPr>
          <w:rFonts w:ascii="Nunito Sans" w:hAnsi="Nunito Sans" w:eastAsia="Arial" w:cs="Calibri"/>
          <w:sz w:val="22"/>
          <w:szCs w:val="22"/>
          <w:lang w:val="es-ES"/>
        </w:rPr>
        <w:t xml:space="preserve"> </w:t>
      </w:r>
    </w:p>
    <w:p w:rsidRPr="00CA4194" w:rsidR="005E3BD6" w:rsidP="005E3BD6" w:rsidRDefault="005E3BD6" w14:paraId="566F061E" w14:textId="77777777">
      <w:pPr>
        <w:pStyle w:val="Prrafodelista"/>
        <w:spacing w:line="276" w:lineRule="auto"/>
        <w:ind w:left="720"/>
        <w:jc w:val="both"/>
        <w:rPr>
          <w:rFonts w:ascii="Nunito Sans" w:hAnsi="Nunito Sans" w:eastAsia="Arial" w:cs="Calibri"/>
          <w:sz w:val="22"/>
          <w:szCs w:val="22"/>
          <w:lang w:val="es-ES"/>
        </w:rPr>
      </w:pPr>
    </w:p>
    <w:p w:rsidRPr="00CA4194" w:rsidR="005E3BD6" w:rsidP="005E3BD6" w:rsidRDefault="005E3BD6" w14:paraId="7C4A9B0A"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Métricas Sectoriales de Interoperabilidad</w:t>
      </w:r>
      <w:r w:rsidRPr="00CA4194">
        <w:rPr>
          <w:rFonts w:ascii="Nunito Sans" w:hAnsi="Nunito Sans" w:eastAsia="Arial" w:cs="Calibri"/>
          <w:sz w:val="22"/>
          <w:szCs w:val="22"/>
          <w:lang w:val="es-ES"/>
        </w:rPr>
        <w:t xml:space="preserve"> </w:t>
      </w:r>
    </w:p>
    <w:p w:rsidRPr="00CA4194" w:rsidR="005E3BD6" w:rsidRDefault="005E3BD6" w14:paraId="552ACF49"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de sistemas integrados vs. total de sistemas sectoriales.</w:t>
      </w:r>
      <w:r w:rsidRPr="00CA4194">
        <w:rPr>
          <w:rFonts w:ascii="Nunito Sans" w:hAnsi="Nunito Sans" w:eastAsia="Arial" w:cs="Calibri"/>
          <w:sz w:val="22"/>
          <w:szCs w:val="22"/>
          <w:lang w:val="es-ES"/>
        </w:rPr>
        <w:t xml:space="preserve"> </w:t>
      </w:r>
    </w:p>
    <w:p w:rsidRPr="00CA4194" w:rsidR="005E3BD6" w:rsidRDefault="005E3BD6" w14:paraId="665EF8B6"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 de servicios reutilizados o consumidos por múltiples entidades.</w:t>
      </w:r>
      <w:r w:rsidRPr="00CA4194">
        <w:rPr>
          <w:rFonts w:ascii="Nunito Sans" w:hAnsi="Nunito Sans" w:eastAsia="Arial" w:cs="Calibri"/>
          <w:sz w:val="22"/>
          <w:szCs w:val="22"/>
          <w:lang w:val="es-ES"/>
        </w:rPr>
        <w:t xml:space="preserve"> </w:t>
      </w:r>
    </w:p>
    <w:p w:rsidRPr="00CA4194" w:rsidR="005E3BD6" w:rsidRDefault="005E3BD6" w14:paraId="64784C1C"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Reducción del tiempo promedio de integración (TTI).</w:t>
      </w:r>
      <w:r w:rsidRPr="00CA4194">
        <w:rPr>
          <w:rFonts w:ascii="Nunito Sans" w:hAnsi="Nunito Sans" w:eastAsia="Arial" w:cs="Calibri"/>
          <w:sz w:val="22"/>
          <w:szCs w:val="22"/>
          <w:lang w:val="es-ES"/>
        </w:rPr>
        <w:t xml:space="preserve"> </w:t>
      </w:r>
    </w:p>
    <w:p w:rsidRPr="00CA4194" w:rsidR="005E3BD6" w:rsidRDefault="005E3BD6" w14:paraId="760CC0E2"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Porcentaje de APIs documentadas y monitoreadas.</w:t>
      </w:r>
      <w:r w:rsidRPr="00CA4194">
        <w:rPr>
          <w:rFonts w:ascii="Nunito Sans" w:hAnsi="Nunito Sans" w:eastAsia="Arial" w:cs="Calibri"/>
          <w:sz w:val="22"/>
          <w:szCs w:val="22"/>
          <w:lang w:val="es-ES"/>
        </w:rPr>
        <w:t xml:space="preserve"> </w:t>
      </w:r>
    </w:p>
    <w:p w:rsidR="005E3BD6" w:rsidRDefault="005E3BD6" w14:paraId="6250A1D3"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sz w:val="22"/>
          <w:szCs w:val="22"/>
          <w:lang w:val="es"/>
        </w:rPr>
        <w:t>Niveles de cumplimiento en seguridad y disponibilidad.</w:t>
      </w:r>
      <w:r w:rsidRPr="00CA4194">
        <w:rPr>
          <w:rFonts w:ascii="Nunito Sans" w:hAnsi="Nunito Sans" w:eastAsia="Arial" w:cs="Calibri"/>
          <w:sz w:val="22"/>
          <w:szCs w:val="22"/>
          <w:lang w:val="es-ES"/>
        </w:rPr>
        <w:t xml:space="preserve"> </w:t>
      </w:r>
    </w:p>
    <w:p w:rsidRPr="00CA4194" w:rsidR="005E3BD6" w:rsidP="005E3BD6" w:rsidRDefault="005E3BD6" w14:paraId="4A5D0214" w14:textId="77777777">
      <w:pPr>
        <w:pStyle w:val="Prrafodelista"/>
        <w:spacing w:line="276" w:lineRule="auto"/>
        <w:ind w:left="720"/>
        <w:jc w:val="both"/>
        <w:rPr>
          <w:rFonts w:ascii="Nunito Sans" w:hAnsi="Nunito Sans" w:eastAsia="Arial" w:cs="Calibri"/>
          <w:sz w:val="22"/>
          <w:szCs w:val="22"/>
          <w:lang w:val="es-ES"/>
        </w:rPr>
      </w:pPr>
    </w:p>
    <w:p w:rsidRPr="00CA4194" w:rsidR="005E3BD6" w:rsidP="005E3BD6" w:rsidRDefault="005E3BD6" w14:paraId="6D259EB7" w14:textId="77777777">
      <w:pPr>
        <w:spacing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Niveles de Interoperabilidad y Adopción Progresiva</w:t>
      </w:r>
      <w:r w:rsidRPr="00CA4194">
        <w:rPr>
          <w:rFonts w:ascii="Nunito Sans" w:hAnsi="Nunito Sans" w:eastAsia="Arial" w:cs="Calibri"/>
          <w:sz w:val="22"/>
          <w:szCs w:val="22"/>
          <w:lang w:val="es-ES"/>
        </w:rPr>
        <w:t xml:space="preserve"> </w:t>
      </w:r>
    </w:p>
    <w:p w:rsidR="005E3BD6" w:rsidP="005E3BD6" w:rsidRDefault="005E3BD6" w14:paraId="5746D06F" w14:textId="77777777">
      <w:pPr>
        <w:spacing w:line="276" w:lineRule="auto"/>
        <w:jc w:val="both"/>
        <w:rPr>
          <w:rFonts w:ascii="Nunito Sans" w:hAnsi="Nunito Sans" w:eastAsia="Arial" w:cs="Calibri"/>
          <w:sz w:val="22"/>
          <w:szCs w:val="22"/>
          <w:lang w:val="es-ES"/>
        </w:rPr>
      </w:pPr>
      <w:r w:rsidRPr="00DA4823">
        <w:rPr>
          <w:rFonts w:ascii="Nunito Sans" w:hAnsi="Nunito Sans" w:eastAsia="Arial" w:cs="Calibri"/>
          <w:sz w:val="22"/>
          <w:szCs w:val="22"/>
          <w:lang w:val="es"/>
        </w:rPr>
        <w:t>Siguiendo la metodología del Modelo de Madurez de Interoperabilidad Sectorial (Guía MME – Complemento 11), se establecen tres niveles de adopción:</w:t>
      </w:r>
      <w:r w:rsidRPr="00DA4823">
        <w:rPr>
          <w:rFonts w:ascii="Nunito Sans" w:hAnsi="Nunito Sans" w:eastAsia="Arial" w:cs="Calibri"/>
          <w:sz w:val="22"/>
          <w:szCs w:val="22"/>
          <w:lang w:val="es-ES"/>
        </w:rPr>
        <w:t xml:space="preserve"> </w:t>
      </w:r>
    </w:p>
    <w:p w:rsidR="005E3BD6" w:rsidP="005E3BD6" w:rsidRDefault="005E3BD6" w14:paraId="52B71933" w14:textId="77777777">
      <w:pPr>
        <w:spacing w:line="276" w:lineRule="auto"/>
        <w:jc w:val="both"/>
        <w:rPr>
          <w:rFonts w:ascii="Nunito Sans" w:hAnsi="Nunito Sans" w:eastAsia="Arial" w:cs="Calibri"/>
          <w:sz w:val="22"/>
          <w:szCs w:val="22"/>
          <w:lang w:val="es-ES"/>
        </w:rPr>
      </w:pPr>
    </w:p>
    <w:p w:rsidRPr="00EB43A6" w:rsidR="005E3BD6" w:rsidP="005E3BD6" w:rsidRDefault="009B1FDD" w14:paraId="554EA26D" w14:textId="466EDECF">
      <w:pPr>
        <w:ind w:left="360" w:hanging="360"/>
        <w:jc w:val="center"/>
        <w:rPr>
          <w:rFonts w:ascii="Nunito Sans" w:hAnsi="Nunito Sans" w:cs="Calibri"/>
          <w:b/>
          <w:bCs/>
          <w:sz w:val="18"/>
          <w:szCs w:val="18"/>
        </w:rPr>
      </w:pPr>
      <w:bookmarkStart w:name="_Toc220664226" w:id="430"/>
      <w:r w:rsidRPr="009B1FDD">
        <w:rPr>
          <w:rFonts w:ascii="Nunito Sans" w:hAnsi="Nunito Sans" w:cs="Calibri"/>
          <w:b/>
          <w:bCs/>
          <w:sz w:val="18"/>
          <w:szCs w:val="18"/>
        </w:rPr>
        <w:t xml:space="preserve">Tabla </w:t>
      </w:r>
      <w:r w:rsidRPr="009B1FDD">
        <w:rPr>
          <w:rFonts w:ascii="Nunito Sans" w:hAnsi="Nunito Sans" w:cs="Calibri"/>
          <w:b/>
          <w:bCs/>
          <w:sz w:val="18"/>
          <w:szCs w:val="18"/>
        </w:rPr>
        <w:fldChar w:fldCharType="begin"/>
      </w:r>
      <w:r w:rsidRPr="009B1FDD">
        <w:rPr>
          <w:rFonts w:ascii="Nunito Sans" w:hAnsi="Nunito Sans" w:cs="Calibri"/>
          <w:b/>
          <w:bCs/>
          <w:sz w:val="18"/>
          <w:szCs w:val="18"/>
        </w:rPr>
        <w:instrText xml:space="preserve"> SEQ Tabla \* ARABIC </w:instrText>
      </w:r>
      <w:r w:rsidRPr="009B1FDD">
        <w:rPr>
          <w:rFonts w:ascii="Nunito Sans" w:hAnsi="Nunito Sans" w:cs="Calibri"/>
          <w:b/>
          <w:bCs/>
          <w:sz w:val="18"/>
          <w:szCs w:val="18"/>
        </w:rPr>
        <w:fldChar w:fldCharType="separate"/>
      </w:r>
      <w:r w:rsidR="00C57F7B">
        <w:rPr>
          <w:rFonts w:ascii="Nunito Sans" w:hAnsi="Nunito Sans" w:cs="Calibri"/>
          <w:b/>
          <w:bCs/>
          <w:noProof/>
          <w:sz w:val="18"/>
          <w:szCs w:val="18"/>
        </w:rPr>
        <w:t>55</w:t>
      </w:r>
      <w:r w:rsidRPr="009B1FD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Niveles de Interoperabilidad y Adopción Progresiva</w:t>
      </w:r>
      <w:r w:rsidR="005E3BD6">
        <w:rPr>
          <w:rFonts w:ascii="Nunito Sans" w:hAnsi="Nunito Sans" w:cs="Calibri"/>
          <w:b/>
          <w:bCs/>
          <w:sz w:val="18"/>
          <w:szCs w:val="18"/>
        </w:rPr>
        <w:t xml:space="preserve"> del Sector</w:t>
      </w:r>
      <w:bookmarkEnd w:id="430"/>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1242"/>
        <w:gridCol w:w="1787"/>
        <w:gridCol w:w="3074"/>
        <w:gridCol w:w="2385"/>
      </w:tblGrid>
      <w:tr w:rsidRPr="00DA4823" w:rsidR="005E3BD6" w:rsidTr="009B39AB" w14:paraId="6B81F338" w14:textId="77777777">
        <w:trPr>
          <w:trHeight w:val="340"/>
          <w:jc w:val="center"/>
        </w:trPr>
        <w:tc>
          <w:tcPr>
            <w:tcW w:w="12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44BA14D3"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Nivel</w:t>
            </w:r>
          </w:p>
        </w:tc>
        <w:tc>
          <w:tcPr>
            <w:tcW w:w="178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31BDCBB4"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Denominación</w:t>
            </w:r>
          </w:p>
        </w:tc>
        <w:tc>
          <w:tcPr>
            <w:tcW w:w="307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593C8531"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Características</w:t>
            </w:r>
          </w:p>
        </w:tc>
        <w:tc>
          <w:tcPr>
            <w:tcW w:w="23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DA4823" w:rsidR="005E3BD6" w:rsidP="00B4771C" w:rsidRDefault="005E3BD6" w14:paraId="01CE899D" w14:textId="77777777">
            <w:pPr>
              <w:spacing w:after="160" w:line="276" w:lineRule="auto"/>
              <w:jc w:val="center"/>
              <w:rPr>
                <w:rFonts w:ascii="Nunito Sans" w:hAnsi="Nunito Sans" w:eastAsia="Arial" w:cs="Calibri"/>
                <w:color w:val="FFFFFF" w:themeColor="background1"/>
                <w:sz w:val="18"/>
                <w:szCs w:val="18"/>
              </w:rPr>
            </w:pPr>
            <w:r w:rsidRPr="00DA4823">
              <w:rPr>
                <w:rFonts w:ascii="Nunito Sans" w:hAnsi="Nunito Sans" w:eastAsia="Arial" w:cs="Calibri"/>
                <w:b/>
                <w:color w:val="FFFFFF" w:themeColor="background1"/>
                <w:sz w:val="18"/>
                <w:szCs w:val="18"/>
              </w:rPr>
              <w:t>Resultado Esperado</w:t>
            </w:r>
          </w:p>
        </w:tc>
      </w:tr>
      <w:tr w:rsidRPr="00DA4823" w:rsidR="005E3BD6" w:rsidTr="009B39AB" w14:paraId="4EF7C0F8" w14:textId="77777777">
        <w:trPr>
          <w:trHeight w:val="797"/>
          <w:jc w:val="center"/>
        </w:trPr>
        <w:tc>
          <w:tcPr>
            <w:tcW w:w="1242" w:type="dxa"/>
            <w:tcBorders>
              <w:top w:val="single" w:color="FFFFFF" w:themeColor="background1" w:sz="4" w:space="0"/>
            </w:tcBorders>
            <w:vAlign w:val="center"/>
          </w:tcPr>
          <w:p w:rsidRPr="00DA4823" w:rsidR="005E3BD6" w:rsidP="00B4771C" w:rsidRDefault="005E3BD6" w14:paraId="735CAB78"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b/>
                <w:sz w:val="18"/>
                <w:szCs w:val="18"/>
              </w:rPr>
              <w:t>Nivel 1 Básico</w:t>
            </w:r>
          </w:p>
        </w:tc>
        <w:tc>
          <w:tcPr>
            <w:tcW w:w="1787" w:type="dxa"/>
            <w:tcBorders>
              <w:top w:val="single" w:color="FFFFFF" w:themeColor="background1" w:sz="4" w:space="0"/>
            </w:tcBorders>
            <w:vAlign w:val="center"/>
          </w:tcPr>
          <w:p w:rsidRPr="00DA4823" w:rsidR="005E3BD6" w:rsidP="00B4771C" w:rsidRDefault="005E3BD6" w14:paraId="452B22BD"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Interoperabilidad inicial</w:t>
            </w:r>
          </w:p>
        </w:tc>
        <w:tc>
          <w:tcPr>
            <w:tcW w:w="3074" w:type="dxa"/>
            <w:tcBorders>
              <w:top w:val="single" w:color="FFFFFF" w:themeColor="background1" w:sz="4" w:space="0"/>
            </w:tcBorders>
            <w:vAlign w:val="center"/>
          </w:tcPr>
          <w:p w:rsidRPr="00DA4823" w:rsidR="005E3BD6" w:rsidP="00B4771C" w:rsidRDefault="005E3BD6" w14:paraId="22E08826"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Consumo de servicios de dominios maestros y datos estadísticos básicos.</w:t>
            </w:r>
          </w:p>
        </w:tc>
        <w:tc>
          <w:tcPr>
            <w:tcW w:w="2385" w:type="dxa"/>
            <w:tcBorders>
              <w:top w:val="single" w:color="FFFFFF" w:themeColor="background1" w:sz="4" w:space="0"/>
            </w:tcBorders>
            <w:vAlign w:val="center"/>
          </w:tcPr>
          <w:p w:rsidRPr="00DA4823" w:rsidR="005E3BD6" w:rsidP="00B4771C" w:rsidRDefault="005E3BD6" w14:paraId="1AD3EB54"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Integración mínima de datos y catálogos comunes.</w:t>
            </w:r>
          </w:p>
        </w:tc>
      </w:tr>
      <w:tr w:rsidRPr="00DA4823" w:rsidR="005E3BD6" w:rsidTr="00B4771C" w14:paraId="33359237" w14:textId="77777777">
        <w:trPr>
          <w:trHeight w:val="340"/>
          <w:jc w:val="center"/>
        </w:trPr>
        <w:tc>
          <w:tcPr>
            <w:tcW w:w="1242" w:type="dxa"/>
            <w:vAlign w:val="center"/>
          </w:tcPr>
          <w:p w:rsidRPr="00DA4823" w:rsidR="005E3BD6" w:rsidP="00B4771C" w:rsidRDefault="005E3BD6" w14:paraId="11B2C090" w14:textId="4664FF9F">
            <w:pPr>
              <w:spacing w:after="160" w:line="276" w:lineRule="auto"/>
              <w:jc w:val="center"/>
              <w:rPr>
                <w:rFonts w:ascii="Nunito Sans" w:hAnsi="Nunito Sans" w:eastAsia="Arial" w:cs="Calibri"/>
                <w:sz w:val="18"/>
                <w:szCs w:val="18"/>
              </w:rPr>
            </w:pPr>
            <w:r w:rsidRPr="00DA4823">
              <w:rPr>
                <w:rFonts w:ascii="Nunito Sans" w:hAnsi="Nunito Sans" w:eastAsia="Arial" w:cs="Calibri"/>
                <w:b/>
                <w:sz w:val="18"/>
                <w:szCs w:val="18"/>
              </w:rPr>
              <w:t>Nivel 2 Avanzado</w:t>
            </w:r>
          </w:p>
        </w:tc>
        <w:tc>
          <w:tcPr>
            <w:tcW w:w="1787" w:type="dxa"/>
            <w:vAlign w:val="center"/>
          </w:tcPr>
          <w:p w:rsidRPr="00DA4823" w:rsidR="005E3BD6" w:rsidP="00B4771C" w:rsidRDefault="005E3BD6" w14:paraId="11921F52"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Integración operativa</w:t>
            </w:r>
          </w:p>
        </w:tc>
        <w:tc>
          <w:tcPr>
            <w:tcW w:w="3074" w:type="dxa"/>
            <w:vAlign w:val="center"/>
          </w:tcPr>
          <w:p w:rsidRPr="00DA4823" w:rsidR="005E3BD6" w:rsidP="00B4771C" w:rsidRDefault="005E3BD6" w14:paraId="2DC83973"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Uso de APIs sectoriales, automatización ETL, eventos en tiempo real.</w:t>
            </w:r>
          </w:p>
        </w:tc>
        <w:tc>
          <w:tcPr>
            <w:tcW w:w="2385" w:type="dxa"/>
            <w:vAlign w:val="center"/>
          </w:tcPr>
          <w:p w:rsidRPr="00DA4823" w:rsidR="005E3BD6" w:rsidP="00B4771C" w:rsidRDefault="005E3BD6" w14:paraId="7550AE24"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Comunicación bidireccional entre entidades.</w:t>
            </w:r>
          </w:p>
        </w:tc>
      </w:tr>
      <w:tr w:rsidRPr="00DA4823" w:rsidR="005E3BD6" w:rsidTr="00B4771C" w14:paraId="4BE1A5B8" w14:textId="77777777">
        <w:trPr>
          <w:trHeight w:val="340"/>
          <w:jc w:val="center"/>
        </w:trPr>
        <w:tc>
          <w:tcPr>
            <w:tcW w:w="1242" w:type="dxa"/>
            <w:vAlign w:val="center"/>
          </w:tcPr>
          <w:p w:rsidRPr="00DA4823" w:rsidR="005E3BD6" w:rsidP="00B4771C" w:rsidRDefault="005E3BD6" w14:paraId="29371AA1"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b/>
                <w:sz w:val="18"/>
                <w:szCs w:val="18"/>
              </w:rPr>
              <w:t>Nivel 3 Inteligente</w:t>
            </w:r>
          </w:p>
        </w:tc>
        <w:tc>
          <w:tcPr>
            <w:tcW w:w="1787" w:type="dxa"/>
            <w:vAlign w:val="center"/>
          </w:tcPr>
          <w:p w:rsidRPr="00DA4823" w:rsidR="005E3BD6" w:rsidP="00B4771C" w:rsidRDefault="005E3BD6" w14:paraId="42055360"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Integración analítica</w:t>
            </w:r>
          </w:p>
        </w:tc>
        <w:tc>
          <w:tcPr>
            <w:tcW w:w="3074" w:type="dxa"/>
            <w:vAlign w:val="center"/>
          </w:tcPr>
          <w:p w:rsidRPr="00DA4823" w:rsidR="005E3BD6" w:rsidP="00B4771C" w:rsidRDefault="005E3BD6" w14:paraId="615C6F40"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Incorporación de analítica, IA y MLOps en los flujos de interoperabilidad.</w:t>
            </w:r>
          </w:p>
        </w:tc>
        <w:tc>
          <w:tcPr>
            <w:tcW w:w="2385" w:type="dxa"/>
            <w:vAlign w:val="center"/>
          </w:tcPr>
          <w:p w:rsidRPr="00DA4823" w:rsidR="005E3BD6" w:rsidP="00B4771C" w:rsidRDefault="005E3BD6" w14:paraId="3224E13D" w14:textId="77777777">
            <w:pPr>
              <w:spacing w:after="160" w:line="276" w:lineRule="auto"/>
              <w:jc w:val="center"/>
              <w:rPr>
                <w:rFonts w:ascii="Nunito Sans" w:hAnsi="Nunito Sans" w:eastAsia="Arial" w:cs="Calibri"/>
                <w:sz w:val="18"/>
                <w:szCs w:val="18"/>
              </w:rPr>
            </w:pPr>
            <w:r w:rsidRPr="00DA4823">
              <w:rPr>
                <w:rFonts w:ascii="Nunito Sans" w:hAnsi="Nunito Sans" w:eastAsia="Arial" w:cs="Calibri"/>
                <w:sz w:val="18"/>
                <w:szCs w:val="18"/>
              </w:rPr>
              <w:t>Ecosistema de datos e inteligencia sectorial consolidado.</w:t>
            </w:r>
          </w:p>
        </w:tc>
      </w:tr>
    </w:tbl>
    <w:p w:rsidR="005E3BD6" w:rsidP="005E3BD6" w:rsidRDefault="005E3BD6" w14:paraId="2A9F6567" w14:textId="77777777">
      <w:pPr>
        <w:pStyle w:val="Default"/>
        <w:spacing w:line="360" w:lineRule="auto"/>
        <w:jc w:val="center"/>
        <w:rPr>
          <w:rFonts w:ascii="Nunito Sans" w:hAnsi="Nunito Sans" w:eastAsia="CIDFont+F9" w:cs="Calibri"/>
          <w:color w:val="000000" w:themeColor="text1"/>
          <w:sz w:val="18"/>
          <w:szCs w:val="18"/>
        </w:rPr>
      </w:pPr>
      <w:r w:rsidRPr="007E3FC8">
        <w:rPr>
          <w:rFonts w:ascii="Nunito Sans" w:hAnsi="Nunito Sans" w:eastAsia="CIDFont+F9" w:cs="Calibri"/>
          <w:color w:val="000000" w:themeColor="text1"/>
          <w:sz w:val="18"/>
          <w:szCs w:val="18"/>
        </w:rPr>
        <w:lastRenderedPageBreak/>
        <w:t>Fuente: Elaboración propia</w:t>
      </w:r>
    </w:p>
    <w:p w:rsidRPr="000A3312" w:rsidR="005E3BD6" w:rsidP="005E3BD6" w:rsidRDefault="005E3BD6" w14:paraId="4001E6ED" w14:textId="77777777">
      <w:pPr>
        <w:pStyle w:val="Default"/>
        <w:spacing w:line="360" w:lineRule="auto"/>
        <w:jc w:val="center"/>
        <w:rPr>
          <w:rFonts w:ascii="Nunito Sans" w:hAnsi="Nunito Sans" w:cs="Calibri"/>
        </w:rPr>
      </w:pPr>
    </w:p>
    <w:p w:rsidRPr="00CA4194" w:rsidR="005E3BD6" w:rsidP="005E3BD6" w:rsidRDefault="005E3BD6" w14:paraId="2404E904"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sz w:val="22"/>
          <w:szCs w:val="22"/>
          <w:lang w:val="es"/>
        </w:rPr>
        <w:t xml:space="preserve">Cada entidad avanzará según su madurez tecnológica y su capacidad de adopción, con acompañamiento técnico del </w:t>
      </w:r>
      <w:r w:rsidRPr="00CA4194">
        <w:rPr>
          <w:rFonts w:ascii="Nunito Sans" w:hAnsi="Nunito Sans" w:eastAsia="Arial" w:cs="Calibri"/>
          <w:b/>
          <w:sz w:val="22"/>
          <w:szCs w:val="22"/>
          <w:lang w:val="es"/>
        </w:rPr>
        <w:t>Grupo TIC del MME</w:t>
      </w:r>
      <w:r w:rsidRPr="00CA4194">
        <w:rPr>
          <w:rFonts w:ascii="Nunito Sans" w:hAnsi="Nunito Sans" w:eastAsia="Arial" w:cs="Calibri"/>
          <w:sz w:val="22"/>
          <w:szCs w:val="22"/>
          <w:lang w:val="es"/>
        </w:rPr>
        <w:t>.</w:t>
      </w:r>
      <w:r w:rsidRPr="00CA4194">
        <w:rPr>
          <w:rFonts w:ascii="Nunito Sans" w:hAnsi="Nunito Sans" w:eastAsia="Arial" w:cs="Calibri"/>
          <w:sz w:val="22"/>
          <w:szCs w:val="22"/>
          <w:lang w:val="es-ES"/>
        </w:rPr>
        <w:t xml:space="preserve"> </w:t>
      </w:r>
    </w:p>
    <w:p w:rsidRPr="00CA4194" w:rsidR="005E3BD6" w:rsidP="005E3BD6" w:rsidRDefault="005E3BD6" w14:paraId="6B6C0CE7" w14:textId="77777777">
      <w:pPr>
        <w:spacing w:after="160" w:line="276" w:lineRule="auto"/>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Beneficios Esperados</w:t>
      </w:r>
      <w:r w:rsidRPr="00CA4194">
        <w:rPr>
          <w:rFonts w:ascii="Nunito Sans" w:hAnsi="Nunito Sans" w:eastAsia="Arial" w:cs="Calibri"/>
          <w:sz w:val="22"/>
          <w:szCs w:val="22"/>
          <w:lang w:val="es-ES"/>
        </w:rPr>
        <w:t xml:space="preserve"> </w:t>
      </w:r>
    </w:p>
    <w:p w:rsidRPr="00CA4194" w:rsidR="005E3BD6" w:rsidRDefault="005E3BD6" w14:paraId="2B37DA9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Eficiencia y coherencia</w:t>
      </w:r>
      <w:r w:rsidRPr="00CA4194">
        <w:rPr>
          <w:rFonts w:ascii="Nunito Sans" w:hAnsi="Nunito Sans" w:eastAsia="Arial" w:cs="Calibri"/>
          <w:sz w:val="22"/>
          <w:szCs w:val="22"/>
          <w:lang w:val="es"/>
        </w:rPr>
        <w:t xml:space="preserve"> en los procesos de intercambio de información.</w:t>
      </w:r>
      <w:r w:rsidRPr="00CA4194">
        <w:rPr>
          <w:rFonts w:ascii="Nunito Sans" w:hAnsi="Nunito Sans" w:eastAsia="Arial" w:cs="Calibri"/>
          <w:sz w:val="22"/>
          <w:szCs w:val="22"/>
          <w:lang w:val="es-ES"/>
        </w:rPr>
        <w:t xml:space="preserve"> </w:t>
      </w:r>
    </w:p>
    <w:p w:rsidRPr="00CA4194" w:rsidR="005E3BD6" w:rsidRDefault="005E3BD6" w14:paraId="18C91F88"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Reducción de silos</w:t>
      </w:r>
      <w:r w:rsidRPr="00CA4194">
        <w:rPr>
          <w:rFonts w:ascii="Nunito Sans" w:hAnsi="Nunito Sans" w:eastAsia="Arial" w:cs="Calibri"/>
          <w:sz w:val="22"/>
          <w:szCs w:val="22"/>
          <w:lang w:val="es"/>
        </w:rPr>
        <w:t xml:space="preserve"> y duplicidad de sistemas.</w:t>
      </w:r>
      <w:r w:rsidRPr="00CA4194">
        <w:rPr>
          <w:rFonts w:ascii="Nunito Sans" w:hAnsi="Nunito Sans" w:eastAsia="Arial" w:cs="Calibri"/>
          <w:sz w:val="22"/>
          <w:szCs w:val="22"/>
          <w:lang w:val="es-ES"/>
        </w:rPr>
        <w:t xml:space="preserve"> </w:t>
      </w:r>
    </w:p>
    <w:p w:rsidRPr="00CA4194" w:rsidR="005E3BD6" w:rsidRDefault="005E3BD6" w14:paraId="76CB6DFC"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Reutilización de servicios y datos</w:t>
      </w:r>
      <w:r w:rsidRPr="00CA4194">
        <w:rPr>
          <w:rFonts w:ascii="Nunito Sans" w:hAnsi="Nunito Sans" w:eastAsia="Arial" w:cs="Calibri"/>
          <w:sz w:val="22"/>
          <w:szCs w:val="22"/>
          <w:lang w:val="es"/>
        </w:rPr>
        <w:t>, promoviendo economías de escala.</w:t>
      </w:r>
      <w:r w:rsidRPr="00CA4194">
        <w:rPr>
          <w:rFonts w:ascii="Nunito Sans" w:hAnsi="Nunito Sans" w:eastAsia="Arial" w:cs="Calibri"/>
          <w:sz w:val="22"/>
          <w:szCs w:val="22"/>
          <w:lang w:val="es-ES"/>
        </w:rPr>
        <w:t xml:space="preserve"> </w:t>
      </w:r>
    </w:p>
    <w:p w:rsidR="005E3BD6" w:rsidRDefault="005E3BD6" w14:paraId="7547449F"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CA4194">
        <w:rPr>
          <w:rFonts w:ascii="Nunito Sans" w:hAnsi="Nunito Sans" w:eastAsia="Arial" w:cs="Calibri"/>
          <w:b/>
          <w:sz w:val="22"/>
          <w:szCs w:val="22"/>
          <w:lang w:val="es"/>
        </w:rPr>
        <w:t>Integración en tiempo real</w:t>
      </w:r>
      <w:r w:rsidRPr="00CA4194">
        <w:rPr>
          <w:rFonts w:ascii="Nunito Sans" w:hAnsi="Nunito Sans" w:eastAsia="Arial" w:cs="Calibri"/>
          <w:sz w:val="22"/>
          <w:szCs w:val="22"/>
          <w:lang w:val="es"/>
        </w:rPr>
        <w:t xml:space="preserve"> con el ecosistema analítico, IA y MLOps.</w:t>
      </w:r>
      <w:r w:rsidRPr="00CA4194">
        <w:rPr>
          <w:rFonts w:ascii="Nunito Sans" w:hAnsi="Nunito Sans" w:eastAsia="Arial" w:cs="Calibri"/>
          <w:sz w:val="22"/>
          <w:szCs w:val="22"/>
          <w:lang w:val="es-ES"/>
        </w:rPr>
        <w:t xml:space="preserve"> </w:t>
      </w:r>
    </w:p>
    <w:p w:rsidRPr="00DA4823" w:rsidR="005E3BD6" w:rsidRDefault="005E3BD6" w14:paraId="4A206D24" w14:textId="77777777">
      <w:pPr>
        <w:pStyle w:val="Prrafodelista"/>
        <w:numPr>
          <w:ilvl w:val="0"/>
          <w:numId w:val="17"/>
        </w:numPr>
        <w:spacing w:line="276" w:lineRule="auto"/>
        <w:ind w:left="720"/>
        <w:jc w:val="both"/>
        <w:rPr>
          <w:rFonts w:ascii="Nunito Sans" w:hAnsi="Nunito Sans" w:eastAsia="Arial" w:cs="Calibri"/>
          <w:sz w:val="22"/>
          <w:szCs w:val="22"/>
          <w:lang w:val="es-ES"/>
        </w:rPr>
      </w:pPr>
      <w:r w:rsidRPr="00DA4823">
        <w:rPr>
          <w:rFonts w:ascii="Nunito Sans" w:hAnsi="Nunito Sans" w:eastAsia="Arial" w:cs="Calibri"/>
          <w:b/>
          <w:bCs/>
          <w:sz w:val="22"/>
          <w:szCs w:val="22"/>
          <w:lang w:val="es"/>
        </w:rPr>
        <w:t>Mayor transparencia y trazabilidad</w:t>
      </w:r>
      <w:r w:rsidRPr="00DA4823">
        <w:rPr>
          <w:rFonts w:ascii="Nunito Sans" w:hAnsi="Nunito Sans" w:eastAsia="Arial" w:cs="Calibri"/>
          <w:sz w:val="22"/>
          <w:szCs w:val="22"/>
          <w:lang w:val="es"/>
        </w:rPr>
        <w:t xml:space="preserve"> en la gestión de la información sectorial.</w:t>
      </w:r>
      <w:r w:rsidRPr="00DA4823">
        <w:rPr>
          <w:rFonts w:ascii="Nunito Sans" w:hAnsi="Nunito Sans" w:eastAsia="Arial" w:cs="Calibri"/>
          <w:sz w:val="22"/>
          <w:szCs w:val="22"/>
          <w:lang w:val="es-ES"/>
        </w:rPr>
        <w:t xml:space="preserve"> </w:t>
      </w:r>
    </w:p>
    <w:p w:rsidR="005E3BD6" w:rsidP="005E3BD6" w:rsidRDefault="005E3BD6" w14:paraId="5907CEC6" w14:textId="77777777">
      <w:pPr>
        <w:pStyle w:val="Prrafodelista"/>
        <w:spacing w:line="276" w:lineRule="auto"/>
        <w:ind w:left="360"/>
        <w:jc w:val="both"/>
        <w:rPr>
          <w:rFonts w:ascii="Nunito Sans" w:hAnsi="Nunito Sans" w:eastAsia="Arial" w:cs="Calibri"/>
          <w:sz w:val="22"/>
          <w:szCs w:val="22"/>
          <w:lang w:val="es-ES"/>
        </w:rPr>
      </w:pPr>
    </w:p>
    <w:p w:rsidRPr="00CA4194" w:rsidR="005E3BD6" w:rsidRDefault="1F325162" w14:paraId="1B9473D3" w14:textId="2CD69070">
      <w:pPr>
        <w:pStyle w:val="Ttulo2"/>
        <w:numPr>
          <w:ilvl w:val="1"/>
          <w:numId w:val="22"/>
        </w:numPr>
      </w:pPr>
      <w:bookmarkStart w:name="_Toc1549482883" w:id="431"/>
      <w:bookmarkStart w:name="_Toc1722012562" w:id="432"/>
      <w:bookmarkStart w:name="_Toc234234514" w:id="433"/>
      <w:r>
        <w:t xml:space="preserve">Situación </w:t>
      </w:r>
      <w:r w:rsidR="6281AC88">
        <w:t>O</w:t>
      </w:r>
      <w:r>
        <w:t>bjetivo (TO – BE) Servicios e infraestructura tecnológica</w:t>
      </w:r>
      <w:bookmarkEnd w:id="431"/>
      <w:bookmarkEnd w:id="432"/>
      <w:bookmarkEnd w:id="433"/>
    </w:p>
    <w:p w:rsidRPr="00CA4194" w:rsidR="005E3BD6" w:rsidP="005E3BD6" w:rsidRDefault="005E3BD6" w14:paraId="292C1CBA"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La infraestructura y los servicios de Tecnologías de la Información del sector minero-energético evolucionarán hacia un modelo resiliente, escalable, eficiente y sostenible, capaz de soportar de manera confiable las capacidades digitales requeridas para la planeación, regulación, fiscalización y operación del sector, en coherencia con los objetivos de la Transición Energética Justa, las directrices del Plan Nacional de Desarrollo y los lineamientos definidos por el Ministerio de Tecnologías de la Información y las Comunicaciones.</w:t>
      </w:r>
    </w:p>
    <w:p w:rsidRPr="00CA4194" w:rsidR="005E3BD6" w:rsidP="005E3BD6" w:rsidRDefault="005E3BD6" w14:paraId="1C56D274"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9B39AB" w:rsidR="4E60D266" w:rsidP="4E60D266" w:rsidRDefault="1F325162" w14:paraId="724D793E" w14:textId="1504A576">
      <w:pPr>
        <w:jc w:val="both"/>
      </w:pPr>
      <w:r w:rsidRPr="4E60D266">
        <w:rPr>
          <w:rFonts w:ascii="Nunito Sans" w:hAnsi="Nunito Sans" w:cs="Calibri" w:eastAsiaTheme="minorEastAsia"/>
          <w:sz w:val="22"/>
          <w:szCs w:val="22"/>
          <w:lang w:val="es-ES"/>
        </w:rPr>
        <w:t>En la situación deseada, la infraestructura dejará de gestionarse exclusivamente desde una lógica aislada por entidad para avanzar hacia un marco sectorial de lineamientos, estándares y mecanismos de optimización, que preserve la autonomía operativa, pero promueva esquemas comunes de diseño, operación, continuidad y adquisición de capacidades tecnológicas. En este contexto, se tendrá en cuenta la política gubernamental de “Cloud First”, la cual impulsa la adopción prioritaria de servicios de computación en la nube en el sector público, siempre que las condiciones normativas,</w:t>
      </w:r>
      <w:r w:rsidRPr="4E60D266" w:rsidR="2F3EC3CA">
        <w:rPr>
          <w:rFonts w:ascii="Nunito Sans" w:hAnsi="Nunito Sans" w:cs="Calibri" w:eastAsiaTheme="minorEastAsia"/>
          <w:sz w:val="22"/>
          <w:szCs w:val="22"/>
          <w:lang w:val="es-ES"/>
        </w:rPr>
        <w:t xml:space="preserve"> presupuestales,</w:t>
      </w:r>
      <w:r w:rsidRPr="4E60D266">
        <w:rPr>
          <w:rFonts w:ascii="Nunito Sans" w:hAnsi="Nunito Sans" w:cs="Calibri" w:eastAsiaTheme="minorEastAsia"/>
          <w:sz w:val="22"/>
          <w:szCs w:val="22"/>
          <w:lang w:val="es-ES"/>
        </w:rPr>
        <w:t xml:space="preserve"> de seguridad y de criticidad de la información lo permitan</w:t>
      </w:r>
      <w:r w:rsidRPr="4E60D266" w:rsidR="3A68CD81">
        <w:rPr>
          <w:rFonts w:ascii="Nunito Sans" w:hAnsi="Nunito Sans" w:cs="Calibri" w:eastAsiaTheme="minorEastAsia"/>
          <w:sz w:val="22"/>
          <w:szCs w:val="22"/>
          <w:lang w:val="es-ES"/>
        </w:rPr>
        <w:t xml:space="preserve"> y ameriten</w:t>
      </w:r>
      <w:r w:rsidRPr="4E60D266">
        <w:rPr>
          <w:rFonts w:ascii="Nunito Sans" w:hAnsi="Nunito Sans" w:cs="Calibri" w:eastAsiaTheme="minorEastAsia"/>
          <w:sz w:val="22"/>
          <w:szCs w:val="22"/>
          <w:lang w:val="es-ES"/>
        </w:rPr>
        <w:t>.</w:t>
      </w:r>
    </w:p>
    <w:p w:rsidRPr="00CA4194" w:rsidR="005E3BD6" w:rsidP="005E3BD6" w:rsidRDefault="005E3BD6" w14:paraId="782D8AF9"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06397B5B"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Bajo este enfoque, el sector adoptará una estrategia de infraestructura híbrida, que combine el uso de nube pública, nube privada y nube soberana, de acuerdo con la clasificación de la información, los requerimientos de disponibilidad, desempeño y residencia de datos, y las necesidades específicas de cada entidad. Las cargas de trabajo orientadas al ciudadano, la analítica escalable y los servicios de consulta se priorizarán bajo esquemas de nube, en alineación con la política Cloud First, mientras que los sistemas misionales críticos y la información sensible </w:t>
      </w:r>
      <w:r w:rsidRPr="0E79E4E6">
        <w:rPr>
          <w:rFonts w:ascii="Nunito Sans" w:hAnsi="Nunito Sans" w:cs="Calibri" w:eastAsiaTheme="minorEastAsia"/>
          <w:sz w:val="22"/>
          <w:szCs w:val="22"/>
          <w:lang w:val="es-ES"/>
        </w:rPr>
        <w:lastRenderedPageBreak/>
        <w:t>se mantendrán en entornos controlados que garanticen confidencialidad, integridad y disponibilidad.</w:t>
      </w:r>
    </w:p>
    <w:p w:rsidRPr="00CA4194" w:rsidR="005E3BD6" w:rsidP="005E3BD6" w:rsidRDefault="005E3BD6" w14:paraId="663E0023"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739833C0"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Para soportar la operación en territorios con limitaciones de conectividad, especialmente en Zonas No Interconectadas (ZNI), se fortalecerán capacidades de computación de borde (Edge Computing) y el uso de dispositivos IoT, permitiendo el procesamiento de información cerca de la fuente, reduciendo la latencia y la dependencia de enlaces satelitales, y fortaleciendo la continuidad operativa en contextos territoriales complejos.</w:t>
      </w:r>
    </w:p>
    <w:p w:rsidRPr="00CA4194" w:rsidR="005E3BD6" w:rsidP="005E3BD6" w:rsidRDefault="005E3BD6" w14:paraId="31064250"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582AD0C0"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La infraestructura sectorial incorporará principios de alta disponibilidad, continuidad operativa y recuperación ante desastres, mediante el fortalecimiento de capacidades de respaldo, replicación, monitoreo y automatización. Se establecerán lineamientos comunes para la definición, homologación y prueba periódica de planes de continuidad (BCP) y recuperación ante desastres (DRP), asegurando criterios homogéneos de RTO y RPO para los servicios críticos del sector.</w:t>
      </w:r>
    </w:p>
    <w:p w:rsidRPr="00CA4194" w:rsidR="005E3BD6" w:rsidP="005E3BD6" w:rsidRDefault="005E3BD6" w14:paraId="7D973FD8"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2E794977"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De manera complementaria, el sector avanzará hacia esquemas de compras y contratación tecnológica unificadas o articuladas, orientadas a maximizar el valor de la inversión pública en infraestructura y servicios de TI. Se promoverá la negociación conjunta y el uso de contratos marco sectoriales para servicios de nube, licenciamiento, conectividad, plataformas de monitoreo, respaldo y gestión, reduciendo costos, evitando duplicidades y mejorando la sostenibilidad financiera del ecosistema tecnológico sectorial.</w:t>
      </w:r>
    </w:p>
    <w:p w:rsidRPr="00CA4194" w:rsidR="005E3BD6" w:rsidP="005E3BD6" w:rsidRDefault="005E3BD6" w14:paraId="7E0427C7"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0076FD6D"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En coherencia con los objetivos de sostenibilidad y descarbonización, la infraestructura de TI se consolidará bajo lineamientos de TI Verde (Green IT), promoviendo el uso eficiente de recursos energéticos, la modernización de centros de datos y la contratación de proveedores que acrediten prácticas de eficiencia energética y uso de fuentes renovables, en línea con los compromisos ambientales del sector.</w:t>
      </w:r>
    </w:p>
    <w:p w:rsidRPr="00CA4194" w:rsidR="005E3BD6" w:rsidP="005E3BD6" w:rsidRDefault="005E3BD6" w14:paraId="6FE4E316"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3AE8AE71"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Asimismo, se fortalecerán servicios transversales de gestión de infraestructura, tales como monitoreo centralizado, gestión de capacidad, gestión de incidentes y niveles de servicio, con el fin de anticipar fallas, mejorar la operación y garantizar la calidad de los servicios tecnológicos que soportan los sistemas de información, la interoperabilidad y las capacidades analíticas del sector.</w:t>
      </w:r>
    </w:p>
    <w:p w:rsidRPr="00CA4194" w:rsidR="005E3BD6" w:rsidP="005E3BD6" w:rsidRDefault="005E3BD6" w14:paraId="0B78F634"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 xml:space="preserve"> </w:t>
      </w:r>
    </w:p>
    <w:p w:rsidRPr="00CA4194" w:rsidR="005E3BD6" w:rsidP="005E3BD6" w:rsidRDefault="005E3BD6" w14:paraId="3A89D181" w14:textId="77777777">
      <w:pPr>
        <w:jc w:val="both"/>
        <w:rPr>
          <w:rFonts w:ascii="Nunito Sans" w:hAnsi="Nunito Sans" w:cs="Calibri" w:eastAsiaTheme="minorEastAsia"/>
          <w:sz w:val="22"/>
          <w:szCs w:val="22"/>
          <w:lang w:val="es-ES"/>
        </w:rPr>
      </w:pPr>
      <w:r w:rsidRPr="0E79E4E6">
        <w:rPr>
          <w:rFonts w:ascii="Nunito Sans" w:hAnsi="Nunito Sans" w:cs="Calibri" w:eastAsiaTheme="minorEastAsia"/>
          <w:sz w:val="22"/>
          <w:szCs w:val="22"/>
          <w:lang w:val="es-ES"/>
        </w:rPr>
        <w:t>Este dominio constituye el soporte técnico fundamental del ecosistema digital sectorial, habilitando de manera segura y sostenible la operación de los sistemas de información, la interoperabilidad interinstitucional, la analítica avanzada y los mecanismos de seguridad definidos para la protección de la información y la continuidad de los servicios del sector minero-energético.</w:t>
      </w:r>
    </w:p>
    <w:p w:rsidR="005E3BD6" w:rsidP="005E3BD6" w:rsidRDefault="005E3BD6" w14:paraId="54370692" w14:textId="77777777">
      <w:pPr>
        <w:jc w:val="both"/>
        <w:rPr>
          <w:rFonts w:ascii="Nunito Sans" w:hAnsi="Nunito Sans" w:cs="Calibri" w:eastAsiaTheme="minorEastAsia"/>
          <w:sz w:val="22"/>
          <w:szCs w:val="22"/>
          <w:lang w:val="es-ES"/>
        </w:rPr>
      </w:pPr>
    </w:p>
    <w:p w:rsidRPr="00CA4194" w:rsidR="005E3BD6" w:rsidRDefault="1F325162" w14:paraId="5E03FE88" w14:textId="03E1D8C0">
      <w:pPr>
        <w:pStyle w:val="Ttulo2"/>
        <w:numPr>
          <w:ilvl w:val="1"/>
          <w:numId w:val="22"/>
        </w:numPr>
      </w:pPr>
      <w:bookmarkStart w:name="_Toc2088081911" w:id="434"/>
      <w:bookmarkStart w:name="_Toc234234515" w:id="435"/>
      <w:r>
        <w:lastRenderedPageBreak/>
        <w:t xml:space="preserve">Situación </w:t>
      </w:r>
      <w:r w:rsidR="6281AC88">
        <w:t>O</w:t>
      </w:r>
      <w:r>
        <w:t>bjetivo (TO – BE) Seguridad y Privacidad de la Información.</w:t>
      </w:r>
      <w:bookmarkEnd w:id="434"/>
      <w:bookmarkEnd w:id="435"/>
    </w:p>
    <w:p w:rsidRPr="00CA4194" w:rsidR="005E3BD6" w:rsidP="005E3BD6" w:rsidRDefault="005E3BD6" w14:paraId="5A488C09" w14:textId="77777777">
      <w:pPr>
        <w:jc w:val="both"/>
        <w:rPr>
          <w:rFonts w:ascii="Nunito Sans" w:hAnsi="Nunito Sans" w:eastAsia="Arial" w:cs="Calibri"/>
          <w:sz w:val="22"/>
          <w:szCs w:val="22"/>
        </w:rPr>
      </w:pPr>
      <w:r w:rsidRPr="00CA4194">
        <w:rPr>
          <w:rFonts w:ascii="Nunito Sans" w:hAnsi="Nunito Sans" w:eastAsia="Arial" w:cs="Calibri"/>
          <w:sz w:val="22"/>
          <w:szCs w:val="22"/>
        </w:rPr>
        <w:t>El modelo objetivo de seguridad y privacidad del sector minero-energético evolucionará hacia un esquema cooperativo y articulado que fortalezca la supervisión, la respuesta a riesgos tecnológicos y la resiliencia digital, integrando capacidades comunes para la protección de información estratégica, datos personales y operación crítica sectorial. La orientación normativa estará fundamentada en el MSPI, el Modelo de Arquitectura Empresarial, las normas ISO/IEC 27001, 27002, 27701 y el marco jurídico de protección de datos personales establecido en la Ley 1581 de 2012, asegurando alineación con estándares nacionales e internacionales.</w:t>
      </w:r>
    </w:p>
    <w:p w:rsidRPr="00CA4194" w:rsidR="005E3BD6" w:rsidP="005E3BD6" w:rsidRDefault="005E3BD6" w14:paraId="2C310CF0" w14:textId="77777777">
      <w:pPr>
        <w:jc w:val="both"/>
        <w:rPr>
          <w:rFonts w:ascii="Nunito Sans" w:hAnsi="Nunito Sans" w:eastAsia="Arial" w:cs="Calibri"/>
          <w:sz w:val="22"/>
          <w:szCs w:val="22"/>
        </w:rPr>
      </w:pPr>
    </w:p>
    <w:p w:rsidRPr="00CA4194" w:rsidR="005E3BD6" w:rsidP="005E3BD6" w:rsidRDefault="1F325162" w14:paraId="70CA1A97" w14:textId="1D765229">
      <w:pPr>
        <w:jc w:val="both"/>
        <w:rPr>
          <w:rFonts w:ascii="Nunito Sans" w:hAnsi="Nunito Sans" w:eastAsia="Arial" w:cs="Calibri"/>
          <w:sz w:val="22"/>
          <w:szCs w:val="22"/>
        </w:rPr>
      </w:pPr>
      <w:r w:rsidRPr="4E60D266">
        <w:rPr>
          <w:rFonts w:ascii="Nunito Sans" w:hAnsi="Nunito Sans" w:eastAsia="Arial" w:cs="Calibri"/>
          <w:sz w:val="22"/>
          <w:szCs w:val="22"/>
        </w:rPr>
        <w:t>Este modelo será impulsado por el Ministerio de Minas y Energía como entidad orientadora, y ejecutado de manera progresiva a través de capacidades compartidas y el proyecto P.SEC00</w:t>
      </w:r>
      <w:r w:rsidRPr="4E60D266" w:rsidR="7F475ADD">
        <w:rPr>
          <w:rFonts w:ascii="Nunito Sans" w:hAnsi="Nunito Sans" w:eastAsia="Arial" w:cs="Calibri"/>
          <w:sz w:val="22"/>
          <w:szCs w:val="22"/>
        </w:rPr>
        <w:t>6</w:t>
      </w:r>
      <w:r w:rsidRPr="4E60D266">
        <w:rPr>
          <w:rFonts w:ascii="Nunito Sans" w:hAnsi="Nunito Sans" w:eastAsia="Arial" w:cs="Calibri"/>
          <w:sz w:val="22"/>
          <w:szCs w:val="22"/>
        </w:rPr>
        <w:t xml:space="preserve"> – Centro de Monitoreo Sectorial. El sector migrará de modelos aislados hacia una coordinación técnica conjunta soportada en este Centro, permitiendo el intercambio estructurado de información de riesgos, consolidación sectorial de alertas, y soporte especializado ante incidentes, respetando la autonomía de TI de cada entidad.</w:t>
      </w:r>
    </w:p>
    <w:p w:rsidRPr="00CA4194" w:rsidR="005E3BD6" w:rsidP="005E3BD6" w:rsidRDefault="005E3BD6" w14:paraId="146B1708" w14:textId="77777777">
      <w:pPr>
        <w:jc w:val="both"/>
        <w:rPr>
          <w:rFonts w:ascii="Nunito Sans" w:hAnsi="Nunito Sans" w:eastAsia="Arial" w:cs="Calibri"/>
          <w:sz w:val="22"/>
          <w:szCs w:val="22"/>
        </w:rPr>
      </w:pPr>
    </w:p>
    <w:p w:rsidRPr="00CA4194" w:rsidR="005E3BD6" w:rsidP="005E3BD6" w:rsidRDefault="005E3BD6" w14:paraId="6B5F5144" w14:textId="77777777">
      <w:pPr>
        <w:jc w:val="both"/>
        <w:rPr>
          <w:rFonts w:ascii="Nunito Sans" w:hAnsi="Nunito Sans" w:eastAsia="Arial" w:cs="Calibri"/>
          <w:sz w:val="22"/>
          <w:szCs w:val="22"/>
        </w:rPr>
      </w:pPr>
      <w:r w:rsidRPr="00CA4194">
        <w:rPr>
          <w:rFonts w:ascii="Nunito Sans" w:hAnsi="Nunito Sans" w:eastAsia="Arial" w:cs="Calibri"/>
          <w:sz w:val="22"/>
          <w:szCs w:val="22"/>
        </w:rPr>
        <w:t>El Centro de Monitoreo Sectorial se convertirá en la infraestructura orientadora para la seguridad digital del sector, contando con una sala principal de monitoreo, salas especializadas por sub–sector, salas de crisis para eventos de alto impacto, mesa de ayuda sectorial para incidentes, y áreas integradas de CSIRT + NOC + SOC + análisis de amenazas, además de un laboratorio forense digital y un data center principal y alterno que garanticen soberanía y continuidad.</w:t>
      </w:r>
    </w:p>
    <w:p w:rsidRPr="00CA4194" w:rsidR="005E3BD6" w:rsidP="005E3BD6" w:rsidRDefault="005E3BD6" w14:paraId="42BD82DB" w14:textId="77777777">
      <w:pPr>
        <w:jc w:val="both"/>
        <w:rPr>
          <w:rFonts w:ascii="Nunito Sans" w:hAnsi="Nunito Sans" w:eastAsia="Arial" w:cs="Calibri"/>
          <w:sz w:val="22"/>
          <w:szCs w:val="22"/>
        </w:rPr>
      </w:pPr>
    </w:p>
    <w:p w:rsidRPr="00CA4194" w:rsidR="005E3BD6" w:rsidP="005E3BD6" w:rsidRDefault="005E3BD6" w14:paraId="7B51EDC9" w14:textId="77777777">
      <w:pPr>
        <w:jc w:val="both"/>
        <w:rPr>
          <w:rFonts w:ascii="Nunito Sans" w:hAnsi="Nunito Sans" w:eastAsia="Arial" w:cs="Calibri"/>
          <w:sz w:val="22"/>
          <w:szCs w:val="22"/>
        </w:rPr>
      </w:pPr>
      <w:r w:rsidRPr="00CA4194">
        <w:rPr>
          <w:rFonts w:ascii="Nunito Sans" w:hAnsi="Nunito Sans" w:eastAsia="Arial" w:cs="Calibri"/>
          <w:sz w:val="22"/>
          <w:szCs w:val="22"/>
        </w:rPr>
        <w:t>En una fase inicial de 48 meses de implementación del proyecto P.SEC005, se establecerá un CSIRT Joven con un alcance inicial de coordinación y análisis. Este equipo evolucionará gradualmente hacia un modelo híbrido de capacidades compartidas, expandiendo sus capacidades de monitoreo, análisis de amenazas, análisis forense y recuperación ante desastres sectorial.</w:t>
      </w:r>
    </w:p>
    <w:p w:rsidRPr="00CA4194" w:rsidR="005E3BD6" w:rsidP="005E3BD6" w:rsidRDefault="005E3BD6" w14:paraId="111C3D3F" w14:textId="77777777">
      <w:pPr>
        <w:jc w:val="both"/>
        <w:rPr>
          <w:rFonts w:ascii="Nunito Sans" w:hAnsi="Nunito Sans" w:eastAsia="Arial" w:cs="Calibri"/>
          <w:sz w:val="22"/>
          <w:szCs w:val="22"/>
        </w:rPr>
      </w:pPr>
    </w:p>
    <w:p w:rsidRPr="00CA4194" w:rsidR="005E3BD6" w:rsidP="005E3BD6" w:rsidRDefault="005E3BD6" w14:paraId="03664BDE" w14:textId="77777777">
      <w:pPr>
        <w:jc w:val="both"/>
        <w:rPr>
          <w:rFonts w:ascii="Nunito Sans" w:hAnsi="Nunito Sans" w:eastAsia="Arial" w:cs="Calibri"/>
          <w:sz w:val="22"/>
          <w:szCs w:val="22"/>
        </w:rPr>
      </w:pPr>
      <w:r w:rsidRPr="00CA4194">
        <w:rPr>
          <w:rFonts w:ascii="Nunito Sans" w:hAnsi="Nunito Sans" w:eastAsia="Arial" w:cs="Calibri"/>
          <w:sz w:val="22"/>
          <w:szCs w:val="22"/>
        </w:rPr>
        <w:t>El modelo futuro de protección sectorial de datos sensibles y personales garantizará estándares técnicos mínimos obligatorios en cifrado de datos, trazabilidad de incidentes de privacidad, mecanismos progresivos de anonimización y retención segura, y controles de prevención de fuga de información (DLP), contribuyendo al cumplimiento normativo y fortaleciendo la confianza digital del sector.</w:t>
      </w:r>
    </w:p>
    <w:p w:rsidRPr="00CA4194" w:rsidR="005E3BD6" w:rsidP="005E3BD6" w:rsidRDefault="005E3BD6" w14:paraId="06793D0C" w14:textId="77777777">
      <w:pPr>
        <w:jc w:val="both"/>
        <w:rPr>
          <w:rFonts w:ascii="Nunito Sans" w:hAnsi="Nunito Sans" w:eastAsia="Arial" w:cs="Calibri"/>
          <w:sz w:val="22"/>
          <w:szCs w:val="22"/>
        </w:rPr>
      </w:pPr>
    </w:p>
    <w:p w:rsidRPr="00CA4194" w:rsidR="005E3BD6" w:rsidP="005E3BD6" w:rsidRDefault="005E3BD6" w14:paraId="7427AE14" w14:textId="77777777">
      <w:pPr>
        <w:jc w:val="both"/>
        <w:rPr>
          <w:rFonts w:ascii="Nunito Sans" w:hAnsi="Nunito Sans" w:eastAsia="Arial" w:cs="Calibri"/>
          <w:sz w:val="22"/>
          <w:szCs w:val="22"/>
        </w:rPr>
      </w:pPr>
      <w:r w:rsidRPr="00CA4194">
        <w:rPr>
          <w:rFonts w:ascii="Nunito Sans" w:hAnsi="Nunito Sans" w:eastAsia="Arial" w:cs="Calibri"/>
          <w:sz w:val="22"/>
          <w:szCs w:val="22"/>
        </w:rPr>
        <w:t xml:space="preserve">Finalmente, la continuidad digital del sector se asegurará mediante la adopción de criterios homogéneos para análisis de impacto, continuidad de negocio, recuperación ante desastres y métricas RTO/RPO. Además, se realizarán pruebas coordinadas entre entidades para la </w:t>
      </w:r>
      <w:r w:rsidRPr="00CA4194">
        <w:rPr>
          <w:rFonts w:ascii="Nunito Sans" w:hAnsi="Nunito Sans" w:eastAsia="Arial" w:cs="Calibri"/>
          <w:sz w:val="22"/>
          <w:szCs w:val="22"/>
        </w:rPr>
        <w:lastRenderedPageBreak/>
        <w:t>recuperación de operaciones críticas, con capacidad de activar las salas de crisis del Centro cuando se requiera.</w:t>
      </w:r>
    </w:p>
    <w:p w:rsidRPr="00CA4194" w:rsidR="005E3BD6" w:rsidP="005E3BD6" w:rsidRDefault="005E3BD6" w14:paraId="314E225D" w14:textId="77777777">
      <w:pPr>
        <w:rPr>
          <w:rFonts w:ascii="Nunito Sans" w:hAnsi="Nunito Sans" w:eastAsia="Arial" w:cs="Calibri"/>
          <w:sz w:val="22"/>
          <w:szCs w:val="22"/>
        </w:rPr>
      </w:pPr>
    </w:p>
    <w:p w:rsidR="005E3BD6" w:rsidP="005E3BD6" w:rsidRDefault="1F325162" w14:paraId="1D890F3F" w14:textId="0E2D7A01">
      <w:pPr>
        <w:rPr>
          <w:rFonts w:ascii="Nunito Sans" w:hAnsi="Nunito Sans" w:eastAsia="Arial" w:cs="Calibri"/>
          <w:b/>
          <w:bCs/>
          <w:sz w:val="22"/>
          <w:szCs w:val="22"/>
        </w:rPr>
      </w:pPr>
      <w:bookmarkStart w:name="_Toc722369534" w:id="436"/>
      <w:r w:rsidRPr="4E60D266">
        <w:rPr>
          <w:rFonts w:ascii="Nunito Sans" w:hAnsi="Nunito Sans" w:eastAsia="Arial" w:cs="Calibri"/>
          <w:b/>
          <w:bCs/>
          <w:sz w:val="22"/>
          <w:szCs w:val="22"/>
        </w:rPr>
        <w:t>Capacidades Objetivo Asociadas al Proyecto P.SEC00</w:t>
      </w:r>
      <w:r w:rsidRPr="4E60D266" w:rsidR="4BB870E1">
        <w:rPr>
          <w:rFonts w:ascii="Nunito Sans" w:hAnsi="Nunito Sans" w:eastAsia="Arial" w:cs="Calibri"/>
          <w:b/>
          <w:bCs/>
          <w:sz w:val="22"/>
          <w:szCs w:val="22"/>
        </w:rPr>
        <w:t>6</w:t>
      </w:r>
      <w:bookmarkEnd w:id="436"/>
    </w:p>
    <w:p w:rsidR="005E3BD6" w:rsidP="005E3BD6" w:rsidRDefault="005E3BD6" w14:paraId="2E1AA5FA" w14:textId="77777777">
      <w:pPr>
        <w:rPr>
          <w:rFonts w:ascii="Nunito Sans" w:hAnsi="Nunito Sans" w:eastAsia="Arial" w:cs="Calibri"/>
          <w:b/>
          <w:bCs/>
          <w:sz w:val="22"/>
          <w:szCs w:val="22"/>
        </w:rPr>
      </w:pPr>
    </w:p>
    <w:p w:rsidRPr="00EB43A6" w:rsidR="005E3BD6" w:rsidP="005E3BD6" w:rsidRDefault="2FA0F96C" w14:paraId="4F5E233D" w14:textId="7177F1B6">
      <w:pPr>
        <w:ind w:left="360" w:hanging="360"/>
        <w:jc w:val="center"/>
        <w:rPr>
          <w:rFonts w:ascii="Nunito Sans" w:hAnsi="Nunito Sans" w:cs="Calibri"/>
          <w:b/>
          <w:bCs/>
          <w:sz w:val="18"/>
          <w:szCs w:val="18"/>
        </w:rPr>
      </w:pPr>
      <w:bookmarkStart w:name="_Toc220664227" w:id="437"/>
      <w:r w:rsidRPr="4E60D266">
        <w:rPr>
          <w:rFonts w:ascii="Nunito Sans" w:hAnsi="Nunito Sans" w:cs="Calibri"/>
          <w:b/>
          <w:bCs/>
          <w:sz w:val="18"/>
          <w:szCs w:val="18"/>
        </w:rPr>
        <w:t xml:space="preserve">Tabla </w:t>
      </w:r>
      <w:r w:rsidRPr="4E60D266" w:rsidR="00E64F81">
        <w:rPr>
          <w:rFonts w:ascii="Nunito Sans" w:hAnsi="Nunito Sans" w:cs="Calibri"/>
          <w:b/>
          <w:bCs/>
          <w:sz w:val="18"/>
          <w:szCs w:val="18"/>
        </w:rPr>
        <w:fldChar w:fldCharType="begin"/>
      </w:r>
      <w:r w:rsidRPr="4E60D266" w:rsidR="00E64F81">
        <w:rPr>
          <w:rFonts w:ascii="Nunito Sans" w:hAnsi="Nunito Sans" w:cs="Calibri"/>
          <w:b/>
          <w:bCs/>
          <w:sz w:val="18"/>
          <w:szCs w:val="18"/>
        </w:rPr>
        <w:instrText xml:space="preserve"> SEQ Tabla \* ARABIC </w:instrText>
      </w:r>
      <w:r w:rsidRPr="4E60D266" w:rsidR="00E64F81">
        <w:rPr>
          <w:rFonts w:ascii="Nunito Sans" w:hAnsi="Nunito Sans" w:cs="Calibri"/>
          <w:b/>
          <w:bCs/>
          <w:sz w:val="18"/>
          <w:szCs w:val="18"/>
        </w:rPr>
        <w:fldChar w:fldCharType="separate"/>
      </w:r>
      <w:r w:rsidRPr="4E60D266" w:rsidR="337D899C">
        <w:rPr>
          <w:rFonts w:ascii="Nunito Sans" w:hAnsi="Nunito Sans" w:cs="Calibri"/>
          <w:b/>
          <w:bCs/>
          <w:noProof/>
          <w:sz w:val="18"/>
          <w:szCs w:val="18"/>
        </w:rPr>
        <w:t>56</w:t>
      </w:r>
      <w:r w:rsidRPr="4E60D266" w:rsidR="00E64F81">
        <w:rPr>
          <w:rFonts w:ascii="Nunito Sans" w:hAnsi="Nunito Sans" w:cs="Calibri"/>
          <w:b/>
          <w:bCs/>
          <w:sz w:val="18"/>
          <w:szCs w:val="18"/>
        </w:rPr>
        <w:fldChar w:fldCharType="end"/>
      </w:r>
      <w:r w:rsidRPr="4E60D266" w:rsidR="1F325162">
        <w:rPr>
          <w:rFonts w:ascii="Nunito Sans" w:hAnsi="Nunito Sans" w:cs="Calibri"/>
          <w:b/>
          <w:bCs/>
          <w:sz w:val="18"/>
          <w:szCs w:val="18"/>
        </w:rPr>
        <w:t>: Capacidades Objetivo Asociadas al Proyecto P.SEC00</w:t>
      </w:r>
      <w:r w:rsidRPr="4E60D266" w:rsidR="2E96323A">
        <w:rPr>
          <w:rFonts w:ascii="Nunito Sans" w:hAnsi="Nunito Sans" w:cs="Calibri"/>
          <w:b/>
          <w:bCs/>
          <w:sz w:val="18"/>
          <w:szCs w:val="18"/>
        </w:rPr>
        <w:t>6</w:t>
      </w:r>
      <w:bookmarkEnd w:id="437"/>
    </w:p>
    <w:tbl>
      <w:tblPr>
        <w:tblStyle w:val="Tablaconcuadrcula"/>
        <w:tblW w:w="8499"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690"/>
        <w:gridCol w:w="5809"/>
      </w:tblGrid>
      <w:tr w:rsidRPr="00DA4823" w:rsidR="005E3BD6" w:rsidTr="00BB4186" w14:paraId="55945994" w14:textId="77777777">
        <w:trPr>
          <w:trHeight w:val="451"/>
          <w:jc w:val="center"/>
        </w:trPr>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697AB692"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CAPACIDAD SECTORIAL</w:t>
            </w:r>
          </w:p>
        </w:tc>
        <w:tc>
          <w:tcPr>
            <w:tcW w:w="0" w:type="auto"/>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23BAEFF5"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META DEL TO-BE</w:t>
            </w:r>
          </w:p>
        </w:tc>
      </w:tr>
      <w:tr w:rsidRPr="00DA4823" w:rsidR="005E3BD6" w:rsidTr="00BB4186" w14:paraId="1745030B" w14:textId="77777777">
        <w:trPr>
          <w:trHeight w:val="373"/>
          <w:jc w:val="center"/>
        </w:trPr>
        <w:tc>
          <w:tcPr>
            <w:tcW w:w="0" w:type="auto"/>
            <w:tcBorders>
              <w:top w:val="single" w:color="FFFFFF" w:themeColor="background1" w:sz="4" w:space="0"/>
            </w:tcBorders>
            <w:vAlign w:val="center"/>
            <w:hideMark/>
          </w:tcPr>
          <w:p w:rsidRPr="00DA4823" w:rsidR="005E3BD6" w:rsidP="00B4771C" w:rsidRDefault="005E3BD6" w14:paraId="373D58DC" w14:textId="77777777">
            <w:pPr>
              <w:jc w:val="center"/>
              <w:rPr>
                <w:rFonts w:ascii="Nunito Sans" w:hAnsi="Nunito Sans" w:eastAsia="Arial" w:cs="Calibri"/>
                <w:sz w:val="18"/>
                <w:szCs w:val="18"/>
              </w:rPr>
            </w:pPr>
            <w:r w:rsidRPr="00DA4823">
              <w:rPr>
                <w:rFonts w:ascii="Nunito Sans" w:hAnsi="Nunito Sans" w:eastAsia="Arial" w:cs="Calibri"/>
                <w:sz w:val="18"/>
                <w:szCs w:val="18"/>
              </w:rPr>
              <w:t>Coordinación de seguridad</w:t>
            </w:r>
          </w:p>
        </w:tc>
        <w:tc>
          <w:tcPr>
            <w:tcW w:w="0" w:type="auto"/>
            <w:tcBorders>
              <w:top w:val="single" w:color="FFFFFF" w:themeColor="background1" w:sz="4" w:space="0"/>
            </w:tcBorders>
            <w:vAlign w:val="center"/>
            <w:hideMark/>
          </w:tcPr>
          <w:p w:rsidRPr="00DA4823" w:rsidR="005E3BD6" w:rsidP="00B4771C" w:rsidRDefault="005E3BD6" w14:paraId="4786BE72" w14:textId="77777777">
            <w:pPr>
              <w:jc w:val="center"/>
              <w:rPr>
                <w:rFonts w:ascii="Nunito Sans" w:hAnsi="Nunito Sans" w:eastAsia="Arial" w:cs="Calibri"/>
                <w:sz w:val="18"/>
                <w:szCs w:val="18"/>
              </w:rPr>
            </w:pPr>
            <w:r w:rsidRPr="00DA4823">
              <w:rPr>
                <w:rFonts w:ascii="Nunito Sans" w:hAnsi="Nunito Sans" w:eastAsia="Arial" w:cs="Calibri"/>
                <w:sz w:val="18"/>
                <w:szCs w:val="18"/>
              </w:rPr>
              <w:t>Centro de Monitoreo como ente orientador sectorial</w:t>
            </w:r>
          </w:p>
        </w:tc>
      </w:tr>
      <w:tr w:rsidRPr="00DA4823" w:rsidR="005E3BD6" w:rsidTr="00B4771C" w14:paraId="398D732E" w14:textId="77777777">
        <w:trPr>
          <w:trHeight w:val="344"/>
          <w:jc w:val="center"/>
        </w:trPr>
        <w:tc>
          <w:tcPr>
            <w:tcW w:w="0" w:type="auto"/>
            <w:vAlign w:val="center"/>
            <w:hideMark/>
          </w:tcPr>
          <w:p w:rsidRPr="00DA4823" w:rsidR="005E3BD6" w:rsidP="00B4771C" w:rsidRDefault="005E3BD6" w14:paraId="4D92787D" w14:textId="77777777">
            <w:pPr>
              <w:jc w:val="center"/>
              <w:rPr>
                <w:rFonts w:ascii="Nunito Sans" w:hAnsi="Nunito Sans" w:eastAsia="Arial" w:cs="Calibri"/>
                <w:sz w:val="18"/>
                <w:szCs w:val="18"/>
              </w:rPr>
            </w:pPr>
            <w:r w:rsidRPr="00DA4823">
              <w:rPr>
                <w:rFonts w:ascii="Nunito Sans" w:hAnsi="Nunito Sans" w:eastAsia="Arial" w:cs="Calibri"/>
                <w:sz w:val="18"/>
                <w:szCs w:val="18"/>
              </w:rPr>
              <w:t>Monitoreo</w:t>
            </w:r>
          </w:p>
        </w:tc>
        <w:tc>
          <w:tcPr>
            <w:tcW w:w="0" w:type="auto"/>
            <w:vAlign w:val="center"/>
            <w:hideMark/>
          </w:tcPr>
          <w:p w:rsidRPr="00DA4823" w:rsidR="005E3BD6" w:rsidP="00B4771C" w:rsidRDefault="005E3BD6" w14:paraId="072535CB" w14:textId="77777777">
            <w:pPr>
              <w:jc w:val="center"/>
              <w:rPr>
                <w:rFonts w:ascii="Nunito Sans" w:hAnsi="Nunito Sans" w:eastAsia="Arial" w:cs="Calibri"/>
                <w:sz w:val="18"/>
                <w:szCs w:val="18"/>
              </w:rPr>
            </w:pPr>
            <w:r w:rsidRPr="00DA4823">
              <w:rPr>
                <w:rFonts w:ascii="Nunito Sans" w:hAnsi="Nunito Sans" w:eastAsia="Arial" w:cs="Calibri"/>
                <w:sz w:val="18"/>
                <w:szCs w:val="18"/>
              </w:rPr>
              <w:t>NOC + SOC sectorial progresivo</w:t>
            </w:r>
          </w:p>
        </w:tc>
      </w:tr>
      <w:tr w:rsidRPr="00DA4823" w:rsidR="005E3BD6" w:rsidTr="00B4771C" w14:paraId="2682E804" w14:textId="77777777">
        <w:trPr>
          <w:trHeight w:val="373"/>
          <w:jc w:val="center"/>
        </w:trPr>
        <w:tc>
          <w:tcPr>
            <w:tcW w:w="0" w:type="auto"/>
            <w:vAlign w:val="center"/>
            <w:hideMark/>
          </w:tcPr>
          <w:p w:rsidRPr="00DA4823" w:rsidR="005E3BD6" w:rsidP="00B4771C" w:rsidRDefault="005E3BD6" w14:paraId="02887BAA" w14:textId="77777777">
            <w:pPr>
              <w:jc w:val="center"/>
              <w:rPr>
                <w:rFonts w:ascii="Nunito Sans" w:hAnsi="Nunito Sans" w:eastAsia="Arial" w:cs="Calibri"/>
                <w:sz w:val="18"/>
                <w:szCs w:val="18"/>
              </w:rPr>
            </w:pPr>
            <w:r w:rsidRPr="00DA4823">
              <w:rPr>
                <w:rFonts w:ascii="Nunito Sans" w:hAnsi="Nunito Sans" w:eastAsia="Arial" w:cs="Calibri"/>
                <w:sz w:val="18"/>
                <w:szCs w:val="18"/>
              </w:rPr>
              <w:t>Respuesta a incidentes</w:t>
            </w:r>
          </w:p>
        </w:tc>
        <w:tc>
          <w:tcPr>
            <w:tcW w:w="0" w:type="auto"/>
            <w:vAlign w:val="center"/>
            <w:hideMark/>
          </w:tcPr>
          <w:p w:rsidRPr="00DA4823" w:rsidR="005E3BD6" w:rsidP="00B4771C" w:rsidRDefault="005E3BD6" w14:paraId="48FCD4F7" w14:textId="77777777">
            <w:pPr>
              <w:jc w:val="center"/>
              <w:rPr>
                <w:rFonts w:ascii="Nunito Sans" w:hAnsi="Nunito Sans" w:eastAsia="Arial" w:cs="Calibri"/>
                <w:sz w:val="18"/>
                <w:szCs w:val="18"/>
              </w:rPr>
            </w:pPr>
            <w:r w:rsidRPr="00DA4823">
              <w:rPr>
                <w:rFonts w:ascii="Nunito Sans" w:hAnsi="Nunito Sans" w:eastAsia="Arial" w:cs="Calibri"/>
                <w:sz w:val="18"/>
                <w:szCs w:val="18"/>
              </w:rPr>
              <w:t>CSIRT sectorial en maduración (48 meses)</w:t>
            </w:r>
          </w:p>
        </w:tc>
      </w:tr>
      <w:tr w:rsidRPr="00DA4823" w:rsidR="005E3BD6" w:rsidTr="00B4771C" w14:paraId="745FA152" w14:textId="77777777">
        <w:trPr>
          <w:trHeight w:val="344"/>
          <w:jc w:val="center"/>
        </w:trPr>
        <w:tc>
          <w:tcPr>
            <w:tcW w:w="0" w:type="auto"/>
            <w:vAlign w:val="center"/>
            <w:hideMark/>
          </w:tcPr>
          <w:p w:rsidRPr="00DA4823" w:rsidR="005E3BD6" w:rsidP="00B4771C" w:rsidRDefault="005E3BD6" w14:paraId="070BBB98" w14:textId="77777777">
            <w:pPr>
              <w:jc w:val="center"/>
              <w:rPr>
                <w:rFonts w:ascii="Nunito Sans" w:hAnsi="Nunito Sans" w:eastAsia="Arial" w:cs="Calibri"/>
                <w:sz w:val="18"/>
                <w:szCs w:val="18"/>
              </w:rPr>
            </w:pPr>
            <w:r w:rsidRPr="00DA4823">
              <w:rPr>
                <w:rFonts w:ascii="Nunito Sans" w:hAnsi="Nunito Sans" w:eastAsia="Arial" w:cs="Calibri"/>
                <w:sz w:val="18"/>
                <w:szCs w:val="18"/>
              </w:rPr>
              <w:t>Forense digital</w:t>
            </w:r>
          </w:p>
        </w:tc>
        <w:tc>
          <w:tcPr>
            <w:tcW w:w="0" w:type="auto"/>
            <w:vAlign w:val="center"/>
            <w:hideMark/>
          </w:tcPr>
          <w:p w:rsidRPr="00DA4823" w:rsidR="005E3BD6" w:rsidP="00B4771C" w:rsidRDefault="005E3BD6" w14:paraId="68287D66" w14:textId="77777777">
            <w:pPr>
              <w:jc w:val="center"/>
              <w:rPr>
                <w:rFonts w:ascii="Nunito Sans" w:hAnsi="Nunito Sans" w:eastAsia="Arial" w:cs="Calibri"/>
                <w:sz w:val="18"/>
                <w:szCs w:val="18"/>
              </w:rPr>
            </w:pPr>
            <w:r w:rsidRPr="00DA4823">
              <w:rPr>
                <w:rFonts w:ascii="Nunito Sans" w:hAnsi="Nunito Sans" w:eastAsia="Arial" w:cs="Calibri"/>
                <w:sz w:val="18"/>
                <w:szCs w:val="18"/>
              </w:rPr>
              <w:t>Laboratorio compartido con cadena de custodia sectorial</w:t>
            </w:r>
          </w:p>
        </w:tc>
      </w:tr>
      <w:tr w:rsidRPr="00DA4823" w:rsidR="005E3BD6" w:rsidTr="00B4771C" w14:paraId="7A567910" w14:textId="77777777">
        <w:trPr>
          <w:trHeight w:val="373"/>
          <w:jc w:val="center"/>
        </w:trPr>
        <w:tc>
          <w:tcPr>
            <w:tcW w:w="0" w:type="auto"/>
            <w:vAlign w:val="center"/>
            <w:hideMark/>
          </w:tcPr>
          <w:p w:rsidRPr="00DA4823" w:rsidR="005E3BD6" w:rsidP="00B4771C" w:rsidRDefault="005E3BD6" w14:paraId="13BCBCE1" w14:textId="77777777">
            <w:pPr>
              <w:jc w:val="center"/>
              <w:rPr>
                <w:rFonts w:ascii="Nunito Sans" w:hAnsi="Nunito Sans" w:eastAsia="Arial" w:cs="Calibri"/>
                <w:sz w:val="18"/>
                <w:szCs w:val="18"/>
              </w:rPr>
            </w:pPr>
            <w:r w:rsidRPr="00DA4823">
              <w:rPr>
                <w:rFonts w:ascii="Nunito Sans" w:hAnsi="Nunito Sans" w:eastAsia="Arial" w:cs="Calibri"/>
                <w:sz w:val="18"/>
                <w:szCs w:val="18"/>
              </w:rPr>
              <w:t>Continuidad</w:t>
            </w:r>
          </w:p>
        </w:tc>
        <w:tc>
          <w:tcPr>
            <w:tcW w:w="0" w:type="auto"/>
            <w:vAlign w:val="center"/>
            <w:hideMark/>
          </w:tcPr>
          <w:p w:rsidRPr="00DA4823" w:rsidR="005E3BD6" w:rsidP="00B4771C" w:rsidRDefault="005E3BD6" w14:paraId="4AA6C167" w14:textId="77777777">
            <w:pPr>
              <w:jc w:val="center"/>
              <w:rPr>
                <w:rFonts w:ascii="Nunito Sans" w:hAnsi="Nunito Sans" w:eastAsia="Arial" w:cs="Calibri"/>
                <w:sz w:val="18"/>
                <w:szCs w:val="18"/>
              </w:rPr>
            </w:pPr>
            <w:r w:rsidRPr="00DA4823">
              <w:rPr>
                <w:rFonts w:ascii="Nunito Sans" w:hAnsi="Nunito Sans" w:eastAsia="Arial" w:cs="Calibri"/>
                <w:sz w:val="18"/>
                <w:szCs w:val="18"/>
              </w:rPr>
              <w:t>CDA/DRP sectorial con data center primario + alterno</w:t>
            </w:r>
          </w:p>
        </w:tc>
      </w:tr>
      <w:tr w:rsidRPr="00DA4823" w:rsidR="005E3BD6" w:rsidTr="00B4771C" w14:paraId="55FC4DA7" w14:textId="77777777">
        <w:trPr>
          <w:trHeight w:val="344"/>
          <w:jc w:val="center"/>
        </w:trPr>
        <w:tc>
          <w:tcPr>
            <w:tcW w:w="0" w:type="auto"/>
            <w:vAlign w:val="center"/>
            <w:hideMark/>
          </w:tcPr>
          <w:p w:rsidRPr="00DA4823" w:rsidR="005E3BD6" w:rsidP="00B4771C" w:rsidRDefault="005E3BD6" w14:paraId="626F4330" w14:textId="77777777">
            <w:pPr>
              <w:jc w:val="center"/>
              <w:rPr>
                <w:rFonts w:ascii="Nunito Sans" w:hAnsi="Nunito Sans" w:eastAsia="Arial" w:cs="Calibri"/>
                <w:sz w:val="18"/>
                <w:szCs w:val="18"/>
              </w:rPr>
            </w:pPr>
            <w:r w:rsidRPr="00DA4823">
              <w:rPr>
                <w:rFonts w:ascii="Nunito Sans" w:hAnsi="Nunito Sans" w:eastAsia="Arial" w:cs="Calibri"/>
                <w:sz w:val="18"/>
                <w:szCs w:val="18"/>
              </w:rPr>
              <w:t>Protección de datos</w:t>
            </w:r>
          </w:p>
        </w:tc>
        <w:tc>
          <w:tcPr>
            <w:tcW w:w="0" w:type="auto"/>
            <w:vAlign w:val="center"/>
            <w:hideMark/>
          </w:tcPr>
          <w:p w:rsidRPr="00DA4823" w:rsidR="005E3BD6" w:rsidP="00B4771C" w:rsidRDefault="005E3BD6" w14:paraId="61716353" w14:textId="77777777">
            <w:pPr>
              <w:jc w:val="center"/>
              <w:rPr>
                <w:rFonts w:ascii="Nunito Sans" w:hAnsi="Nunito Sans" w:eastAsia="Arial" w:cs="Calibri"/>
                <w:sz w:val="18"/>
                <w:szCs w:val="18"/>
              </w:rPr>
            </w:pPr>
            <w:r w:rsidRPr="00DA4823">
              <w:rPr>
                <w:rFonts w:ascii="Nunito Sans" w:hAnsi="Nunito Sans" w:eastAsia="Arial" w:cs="Calibri"/>
                <w:sz w:val="18"/>
                <w:szCs w:val="18"/>
              </w:rPr>
              <w:t>Estándares técnicos obligatorios coordinados</w:t>
            </w:r>
          </w:p>
        </w:tc>
      </w:tr>
      <w:tr w:rsidRPr="00DA4823" w:rsidR="005E3BD6" w:rsidTr="00B4771C" w14:paraId="3D9BE2D4" w14:textId="77777777">
        <w:trPr>
          <w:trHeight w:val="373"/>
          <w:jc w:val="center"/>
        </w:trPr>
        <w:tc>
          <w:tcPr>
            <w:tcW w:w="0" w:type="auto"/>
            <w:vAlign w:val="center"/>
            <w:hideMark/>
          </w:tcPr>
          <w:p w:rsidRPr="00DA4823" w:rsidR="005E3BD6" w:rsidP="00B4771C" w:rsidRDefault="005E3BD6" w14:paraId="4B3BEC17" w14:textId="77777777">
            <w:pPr>
              <w:jc w:val="center"/>
              <w:rPr>
                <w:rFonts w:ascii="Nunito Sans" w:hAnsi="Nunito Sans" w:eastAsia="Arial" w:cs="Calibri"/>
                <w:sz w:val="18"/>
                <w:szCs w:val="18"/>
              </w:rPr>
            </w:pPr>
            <w:r w:rsidRPr="00DA4823">
              <w:rPr>
                <w:rFonts w:ascii="Nunito Sans" w:hAnsi="Nunito Sans" w:eastAsia="Arial" w:cs="Calibri"/>
                <w:sz w:val="18"/>
                <w:szCs w:val="18"/>
              </w:rPr>
              <w:t>Supervisión a proveedores</w:t>
            </w:r>
          </w:p>
        </w:tc>
        <w:tc>
          <w:tcPr>
            <w:tcW w:w="0" w:type="auto"/>
            <w:vAlign w:val="center"/>
            <w:hideMark/>
          </w:tcPr>
          <w:p w:rsidRPr="00DA4823" w:rsidR="005E3BD6" w:rsidP="00B4771C" w:rsidRDefault="005E3BD6" w14:paraId="54DD01D3" w14:textId="77777777">
            <w:pPr>
              <w:jc w:val="center"/>
              <w:rPr>
                <w:rFonts w:ascii="Nunito Sans" w:hAnsi="Nunito Sans" w:eastAsia="Arial" w:cs="Calibri"/>
                <w:sz w:val="18"/>
                <w:szCs w:val="18"/>
              </w:rPr>
            </w:pPr>
            <w:r w:rsidRPr="00DA4823">
              <w:rPr>
                <w:rFonts w:ascii="Nunito Sans" w:hAnsi="Nunito Sans" w:eastAsia="Arial" w:cs="Calibri"/>
                <w:sz w:val="18"/>
                <w:szCs w:val="18"/>
              </w:rPr>
              <w:t>Auditoría y lineamientos sectoriales de contratación</w:t>
            </w:r>
          </w:p>
        </w:tc>
      </w:tr>
      <w:tr w:rsidRPr="00DA4823" w:rsidR="005E3BD6" w:rsidTr="00B4771C" w14:paraId="72EC9B27" w14:textId="77777777">
        <w:trPr>
          <w:trHeight w:val="344"/>
          <w:jc w:val="center"/>
        </w:trPr>
        <w:tc>
          <w:tcPr>
            <w:tcW w:w="0" w:type="auto"/>
            <w:vAlign w:val="center"/>
            <w:hideMark/>
          </w:tcPr>
          <w:p w:rsidRPr="00DA4823" w:rsidR="005E3BD6" w:rsidP="00B4771C" w:rsidRDefault="005E3BD6" w14:paraId="2059BD6D" w14:textId="77777777">
            <w:pPr>
              <w:jc w:val="center"/>
              <w:rPr>
                <w:rFonts w:ascii="Nunito Sans" w:hAnsi="Nunito Sans" w:eastAsia="Arial" w:cs="Calibri"/>
                <w:sz w:val="18"/>
                <w:szCs w:val="18"/>
              </w:rPr>
            </w:pPr>
            <w:r w:rsidRPr="00DA4823">
              <w:rPr>
                <w:rFonts w:ascii="Nunito Sans" w:hAnsi="Nunito Sans" w:eastAsia="Arial" w:cs="Calibri"/>
                <w:sz w:val="18"/>
                <w:szCs w:val="18"/>
              </w:rPr>
              <w:t>Seguridad de aplicaciones</w:t>
            </w:r>
          </w:p>
        </w:tc>
        <w:tc>
          <w:tcPr>
            <w:tcW w:w="0" w:type="auto"/>
            <w:vAlign w:val="center"/>
            <w:hideMark/>
          </w:tcPr>
          <w:p w:rsidRPr="00DA4823" w:rsidR="005E3BD6" w:rsidP="00B4771C" w:rsidRDefault="005E3BD6" w14:paraId="2DC4D358" w14:textId="77777777">
            <w:pPr>
              <w:jc w:val="center"/>
              <w:rPr>
                <w:rFonts w:ascii="Nunito Sans" w:hAnsi="Nunito Sans" w:eastAsia="Arial" w:cs="Calibri"/>
                <w:sz w:val="18"/>
                <w:szCs w:val="18"/>
              </w:rPr>
            </w:pPr>
            <w:r w:rsidRPr="00DA4823">
              <w:rPr>
                <w:rFonts w:ascii="Nunito Sans" w:hAnsi="Nunito Sans" w:eastAsia="Arial" w:cs="Calibri"/>
                <w:sz w:val="18"/>
                <w:szCs w:val="18"/>
              </w:rPr>
              <w:t>Estándares transversales DevSecOps y pruebas SAST/DAST</w:t>
            </w:r>
          </w:p>
        </w:tc>
      </w:tr>
    </w:tbl>
    <w:p w:rsidRPr="000A3312" w:rsidR="005E3BD6" w:rsidP="005E3BD6" w:rsidRDefault="005E3BD6" w14:paraId="7A090C3E"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4827A813" w14:textId="77777777">
      <w:pPr>
        <w:pStyle w:val="Prrafodelista"/>
        <w:spacing w:before="319" w:after="319"/>
        <w:jc w:val="both"/>
        <w:rPr>
          <w:rFonts w:ascii="Nunito Sans" w:hAnsi="Nunito Sans" w:eastAsia="Arial" w:cs="Calibri"/>
          <w:b/>
          <w:bCs/>
          <w:sz w:val="22"/>
          <w:szCs w:val="22"/>
        </w:rPr>
      </w:pPr>
      <w:r w:rsidRPr="0E79E4E6">
        <w:rPr>
          <w:rFonts w:ascii="Nunito Sans" w:hAnsi="Nunito Sans" w:eastAsia="Arial" w:cs="Calibri"/>
          <w:b/>
          <w:bCs/>
          <w:sz w:val="22"/>
          <w:szCs w:val="22"/>
        </w:rPr>
        <w:t>Seguridad y Privacidad: Ciberdefensa de Infraestructura Crítica</w:t>
      </w:r>
    </w:p>
    <w:p w:rsidR="005E3BD6" w:rsidP="005E3BD6" w:rsidRDefault="005E3BD6" w14:paraId="3467BCFE" w14:textId="77777777">
      <w:pPr>
        <w:pStyle w:val="Prrafodelista"/>
        <w:spacing w:before="240" w:after="240"/>
        <w:jc w:val="both"/>
        <w:rPr>
          <w:rFonts w:ascii="Nunito Sans" w:hAnsi="Nunito Sans" w:eastAsia="Arial" w:cs="Calibri"/>
          <w:sz w:val="22"/>
          <w:szCs w:val="22"/>
        </w:rPr>
      </w:pPr>
      <w:r w:rsidRPr="0E79E4E6">
        <w:rPr>
          <w:rFonts w:ascii="Nunito Sans" w:hAnsi="Nunito Sans" w:eastAsia="Arial" w:cs="Calibri"/>
          <w:sz w:val="22"/>
          <w:szCs w:val="22"/>
        </w:rPr>
        <w:t xml:space="preserve">Entendiendo que el sector energético es un objetivo de alto valor para ciberataques, el modelo TO-BE establece la creación del </w:t>
      </w:r>
      <w:r w:rsidRPr="0E79E4E6">
        <w:rPr>
          <w:rFonts w:ascii="Nunito Sans" w:hAnsi="Nunito Sans" w:eastAsia="Arial" w:cs="Calibri"/>
          <w:b/>
          <w:bCs/>
          <w:sz w:val="22"/>
          <w:szCs w:val="22"/>
        </w:rPr>
        <w:t>CSIRT Sectorial Minero-Energético</w:t>
      </w:r>
      <w:r w:rsidRPr="0E79E4E6">
        <w:rPr>
          <w:rFonts w:ascii="Nunito Sans" w:hAnsi="Nunito Sans" w:eastAsia="Arial" w:cs="Calibri"/>
          <w:sz w:val="22"/>
          <w:szCs w:val="22"/>
        </w:rPr>
        <w:t>.</w:t>
      </w:r>
    </w:p>
    <w:p w:rsidR="005E3BD6" w:rsidP="005E3BD6" w:rsidRDefault="005E3BD6" w14:paraId="0ACA18D2" w14:textId="77777777">
      <w:pPr>
        <w:pStyle w:val="Prrafodelista"/>
        <w:spacing w:before="240" w:after="240"/>
        <w:jc w:val="both"/>
        <w:rPr>
          <w:rFonts w:ascii="Nunito Sans" w:hAnsi="Nunito Sans" w:eastAsia="Arial" w:cs="Calibri"/>
          <w:sz w:val="22"/>
          <w:szCs w:val="22"/>
        </w:rPr>
      </w:pPr>
    </w:p>
    <w:p w:rsidR="005E3BD6" w:rsidP="005E3BD6" w:rsidRDefault="005E3BD6" w14:paraId="0626DAC7" w14:textId="77777777">
      <w:pPr>
        <w:pStyle w:val="Prrafodelista"/>
        <w:spacing w:before="240" w:after="240"/>
        <w:jc w:val="both"/>
        <w:rPr>
          <w:rFonts w:ascii="Nunito Sans" w:hAnsi="Nunito Sans" w:eastAsia="Arial" w:cs="Calibri"/>
          <w:sz w:val="22"/>
          <w:szCs w:val="22"/>
        </w:rPr>
      </w:pPr>
      <w:r w:rsidRPr="0E79E4E6">
        <w:rPr>
          <w:rFonts w:ascii="Nunito Sans" w:hAnsi="Nunito Sans" w:eastAsia="Arial" w:cs="Calibri"/>
          <w:b/>
          <w:bCs/>
          <w:sz w:val="22"/>
          <w:szCs w:val="22"/>
        </w:rPr>
        <w:t>Seguridad Convergente (IT/OT):</w:t>
      </w:r>
      <w:r w:rsidRPr="0E79E4E6">
        <w:rPr>
          <w:rFonts w:ascii="Nunito Sans" w:hAnsi="Nunito Sans" w:eastAsia="Arial" w:cs="Calibri"/>
          <w:sz w:val="22"/>
          <w:szCs w:val="22"/>
        </w:rPr>
        <w:t xml:space="preserve"> Se implementarán capacidades de monitoreo no solo para las redes administrativas (IT), sino específicamente para las redes de operación industrial (OT/SCADA) que controlan la generación y transporte de energía.</w:t>
      </w:r>
    </w:p>
    <w:p w:rsidR="005E3BD6" w:rsidP="005E3BD6" w:rsidRDefault="005E3BD6" w14:paraId="1BA3B766" w14:textId="77777777">
      <w:pPr>
        <w:pStyle w:val="Prrafodelista"/>
        <w:spacing w:before="240" w:after="240"/>
        <w:jc w:val="both"/>
        <w:rPr>
          <w:rFonts w:ascii="Nunito Sans" w:hAnsi="Nunito Sans" w:eastAsia="Arial" w:cs="Calibri"/>
          <w:sz w:val="22"/>
          <w:szCs w:val="22"/>
        </w:rPr>
      </w:pPr>
    </w:p>
    <w:p w:rsidR="005E3BD6" w:rsidP="005E3BD6" w:rsidRDefault="005E3BD6" w14:paraId="72BF72E2" w14:textId="77777777">
      <w:pPr>
        <w:pStyle w:val="Prrafodelista"/>
        <w:spacing w:before="240" w:after="240"/>
        <w:jc w:val="both"/>
        <w:rPr>
          <w:rFonts w:ascii="Nunito Sans" w:hAnsi="Nunito Sans" w:eastAsia="Arial" w:cs="Calibri"/>
          <w:sz w:val="22"/>
          <w:szCs w:val="22"/>
        </w:rPr>
      </w:pPr>
      <w:r w:rsidRPr="0E79E4E6">
        <w:rPr>
          <w:rFonts w:ascii="Nunito Sans" w:hAnsi="Nunito Sans" w:eastAsia="Arial" w:cs="Calibri"/>
          <w:b/>
          <w:bCs/>
          <w:sz w:val="22"/>
          <w:szCs w:val="22"/>
        </w:rPr>
        <w:t>Confianza Digital:</w:t>
      </w:r>
      <w:r w:rsidRPr="0E79E4E6">
        <w:rPr>
          <w:rFonts w:ascii="Nunito Sans" w:hAnsi="Nunito Sans" w:eastAsia="Arial" w:cs="Calibri"/>
          <w:sz w:val="22"/>
          <w:szCs w:val="22"/>
        </w:rPr>
        <w:t xml:space="preserve"> Implementación masiva de Servicios de Confianza y Seguridad Digital para garantizar la autenticidad de los títulos mineros y certificados energéticos mediante firmas digitales y, donde aplique, inmutabilidad vía Blockchain.</w:t>
      </w:r>
    </w:p>
    <w:p w:rsidRPr="00CA4194" w:rsidR="005E3BD6" w:rsidRDefault="1F325162" w14:paraId="35A73619" w14:textId="1B937320">
      <w:pPr>
        <w:pStyle w:val="Ttulo2"/>
        <w:numPr>
          <w:ilvl w:val="1"/>
          <w:numId w:val="22"/>
        </w:numPr>
        <w:rPr>
          <w:rFonts w:cs="Calibri" w:eastAsiaTheme="minorEastAsia"/>
          <w:sz w:val="22"/>
          <w:szCs w:val="22"/>
        </w:rPr>
      </w:pPr>
      <w:bookmarkStart w:name="_Toc1483330097" w:id="438"/>
      <w:bookmarkStart w:name="_Toc234234516" w:id="439"/>
      <w:r>
        <w:t xml:space="preserve">Situación </w:t>
      </w:r>
      <w:r w:rsidR="6281AC88">
        <w:t>O</w:t>
      </w:r>
      <w:r>
        <w:t xml:space="preserve">bjetivo (TO – BE) </w:t>
      </w:r>
      <w:r w:rsidR="6281AC88">
        <w:t>Transformación Digital</w:t>
      </w:r>
      <w:bookmarkEnd w:id="438"/>
      <w:bookmarkEnd w:id="439"/>
    </w:p>
    <w:p w:rsidRPr="00CA4194" w:rsidR="005E3BD6" w:rsidP="005E3BD6" w:rsidRDefault="005E3BD6" w14:paraId="6AD3296F" w14:textId="77777777">
      <w:pPr>
        <w:jc w:val="both"/>
        <w:rPr>
          <w:rFonts w:ascii="Nunito Sans" w:hAnsi="Nunito Sans" w:cs="Calibri"/>
          <w:sz w:val="22"/>
          <w:szCs w:val="22"/>
          <w:lang w:val="es-ES"/>
        </w:rPr>
      </w:pPr>
      <w:r w:rsidRPr="761B0734">
        <w:rPr>
          <w:rFonts w:ascii="Nunito Sans" w:hAnsi="Nunito Sans" w:cs="Calibri"/>
          <w:sz w:val="22"/>
          <w:szCs w:val="22"/>
          <w:lang w:val="es-ES"/>
        </w:rPr>
        <w:t>La transformación digital del sector minero-energético para el periodo 2025–2030 se fundamentará en el enfoque de Innovación de Propósito, entendido como la adopción de tecnologías emergentes no como un fin en sí mismo, sino como un habilitador estratégico indispensable para acelerar la Transición Energética Justa, avanzar en la descarbonización y fortalecer la eficiencia y efectividad en la fiscalización minera y energética.</w:t>
      </w:r>
    </w:p>
    <w:p w:rsidRPr="00CA4194" w:rsidR="005E3BD6" w:rsidP="005E3BD6" w:rsidRDefault="005E3BD6" w14:paraId="41E964AF" w14:textId="77777777">
      <w:pPr>
        <w:jc w:val="both"/>
      </w:pPr>
      <w:r w:rsidRPr="761B0734">
        <w:rPr>
          <w:rFonts w:ascii="Nunito Sans" w:hAnsi="Nunito Sans" w:cs="Calibri"/>
          <w:sz w:val="22"/>
          <w:szCs w:val="22"/>
          <w:lang w:val="es-ES"/>
        </w:rPr>
        <w:t xml:space="preserve"> </w:t>
      </w:r>
    </w:p>
    <w:p w:rsidRPr="00CA4194" w:rsidR="005E3BD6" w:rsidP="005E3BD6" w:rsidRDefault="005E3BD6" w14:paraId="31C87401" w14:textId="77777777">
      <w:pPr>
        <w:jc w:val="both"/>
      </w:pPr>
      <w:r w:rsidRPr="761B0734">
        <w:rPr>
          <w:rFonts w:ascii="Nunito Sans" w:hAnsi="Nunito Sans" w:cs="Calibri"/>
          <w:sz w:val="22"/>
          <w:szCs w:val="22"/>
          <w:lang w:val="es-ES"/>
        </w:rPr>
        <w:t xml:space="preserve">En el escenario deseado, el sector evolucionará desde iniciativas aisladas de digitalización hacia un Modelo Sectorial de Innovación Abierta, en el cual el Ministerio de Minas y Energía lidera la </w:t>
      </w:r>
      <w:r w:rsidRPr="761B0734">
        <w:rPr>
          <w:rFonts w:ascii="Nunito Sans" w:hAnsi="Nunito Sans" w:cs="Calibri"/>
          <w:sz w:val="22"/>
          <w:szCs w:val="22"/>
          <w:lang w:val="es-ES"/>
        </w:rPr>
        <w:lastRenderedPageBreak/>
        <w:t>orientación estratégica, y las entidades adscritas, junto con la academia, el sector productivo y el ecosistema emprendedor, participan de manera articulada en la experimentación, adopción y escalamiento de soluciones digitales con impacto sectorial. Este modelo permitirá cerrar brechas tecnológicas, acelerar la maduración de capacidades digitales y generar valor público de forma sostenible.</w:t>
      </w:r>
    </w:p>
    <w:p w:rsidRPr="00CA4194" w:rsidR="005E3BD6" w:rsidP="005E3BD6" w:rsidRDefault="005E3BD6" w14:paraId="72170973" w14:textId="77777777">
      <w:pPr>
        <w:jc w:val="both"/>
      </w:pPr>
      <w:r w:rsidRPr="761B0734">
        <w:rPr>
          <w:rFonts w:ascii="Nunito Sans" w:hAnsi="Nunito Sans" w:cs="Calibri"/>
          <w:sz w:val="22"/>
          <w:szCs w:val="22"/>
          <w:lang w:val="es-ES"/>
        </w:rPr>
        <w:t xml:space="preserve"> </w:t>
      </w:r>
    </w:p>
    <w:p w:rsidRPr="00CA4194" w:rsidR="005E3BD6" w:rsidP="005E3BD6" w:rsidRDefault="005E3BD6" w14:paraId="78D27EBB" w14:textId="77777777">
      <w:pPr>
        <w:jc w:val="both"/>
      </w:pPr>
      <w:r w:rsidRPr="761B0734">
        <w:rPr>
          <w:rFonts w:ascii="Nunito Sans" w:hAnsi="Nunito Sans" w:cs="Calibri"/>
          <w:sz w:val="22"/>
          <w:szCs w:val="22"/>
          <w:lang w:val="es-ES"/>
        </w:rPr>
        <w:t>La transformación digital se estructurará alrededor de cuatro frentes tecnológicos prioritarios, seleccionados por su capacidad de impacto directo en los objetivos misionales del sector.</w:t>
      </w:r>
    </w:p>
    <w:p w:rsidRPr="00CA4194" w:rsidR="005E3BD6" w:rsidP="005E3BD6" w:rsidRDefault="005E3BD6" w14:paraId="3E54B2D0" w14:textId="77777777">
      <w:pPr>
        <w:jc w:val="both"/>
      </w:pPr>
      <w:r w:rsidRPr="761B0734">
        <w:rPr>
          <w:rFonts w:ascii="Nunito Sans" w:hAnsi="Nunito Sans" w:cs="Calibri"/>
          <w:sz w:val="22"/>
          <w:szCs w:val="22"/>
          <w:lang w:val="es-ES"/>
        </w:rPr>
        <w:t xml:space="preserve"> </w:t>
      </w:r>
    </w:p>
    <w:p w:rsidRPr="00DA4823" w:rsidR="005E3BD6" w:rsidP="005E3BD6" w:rsidRDefault="005E3BD6" w14:paraId="525C982C" w14:textId="77777777">
      <w:pPr>
        <w:jc w:val="both"/>
        <w:rPr>
          <w:rFonts w:ascii="Nunito Sans" w:hAnsi="Nunito Sans" w:cs="Calibri"/>
          <w:b/>
          <w:bCs/>
          <w:sz w:val="22"/>
          <w:szCs w:val="22"/>
          <w:lang w:val="es-ES"/>
        </w:rPr>
      </w:pPr>
      <w:r w:rsidRPr="761B0734">
        <w:rPr>
          <w:rFonts w:ascii="Nunito Sans" w:hAnsi="Nunito Sans" w:cs="Calibri"/>
          <w:b/>
          <w:bCs/>
          <w:sz w:val="22"/>
          <w:szCs w:val="22"/>
          <w:lang w:val="es-ES"/>
        </w:rPr>
        <w:t>Inteligencia Artificial para la predicción y la fiscalización</w:t>
      </w:r>
    </w:p>
    <w:p w:rsidRPr="00CA4194" w:rsidR="005E3BD6" w:rsidP="005E3BD6" w:rsidRDefault="005E3BD6" w14:paraId="4546BC2E" w14:textId="77777777">
      <w:pPr>
        <w:jc w:val="both"/>
      </w:pPr>
      <w:r w:rsidRPr="761B0734">
        <w:rPr>
          <w:rFonts w:ascii="Nunito Sans" w:hAnsi="Nunito Sans" w:cs="Calibri"/>
          <w:sz w:val="22"/>
          <w:szCs w:val="22"/>
          <w:lang w:val="es-ES"/>
        </w:rPr>
        <w:t>El sector avanzará desde un uso predominantemente descriptivo de la información hacia modelos predictivos y prescriptivos, que permitan anticipar escenarios, optimizar decisiones y fortalecer las capacidades de control y seguimiento. En el ámbito de la planeación energética, la UPME incorporará algoritmos de Machine Learning para modelar escenarios complejos de demanda y generación distribuida, integrando variables climáticas en tiempo real que permitan predecir el comportamiento de fuentes renovables no convencionales.</w:t>
      </w:r>
    </w:p>
    <w:p w:rsidRPr="00CA4194" w:rsidR="005E3BD6" w:rsidP="005E3BD6" w:rsidRDefault="005E3BD6" w14:paraId="45AE15A4" w14:textId="77777777">
      <w:pPr>
        <w:jc w:val="both"/>
      </w:pPr>
      <w:r w:rsidRPr="761B0734">
        <w:rPr>
          <w:rFonts w:ascii="Nunito Sans" w:hAnsi="Nunito Sans" w:cs="Calibri"/>
          <w:sz w:val="22"/>
          <w:szCs w:val="22"/>
          <w:lang w:val="es-ES"/>
        </w:rPr>
        <w:t xml:space="preserve"> </w:t>
      </w:r>
    </w:p>
    <w:p w:rsidRPr="00CA4194" w:rsidR="005E3BD6" w:rsidP="005E3BD6" w:rsidRDefault="005E3BD6" w14:paraId="428101C1" w14:textId="77777777">
      <w:pPr>
        <w:jc w:val="both"/>
      </w:pPr>
      <w:r w:rsidRPr="761B0734">
        <w:rPr>
          <w:rFonts w:ascii="Nunito Sans" w:hAnsi="Nunito Sans" w:cs="Calibri"/>
          <w:sz w:val="22"/>
          <w:szCs w:val="22"/>
          <w:lang w:val="es-ES"/>
        </w:rPr>
        <w:t>En materia de fiscalización, entidades como la ANH y la ANM adoptarán técnicas de visión por computador sobre imágenes satelitales y otras fuentes geoespaciales, orientadas a la detección temprana de actividades mineras no autorizadas o cambios irregulares en la infraestructura de hidrocarburos, generando alertas automáticas para la acción oportuna de las autoridades competentes.</w:t>
      </w:r>
    </w:p>
    <w:p w:rsidRPr="00CA4194" w:rsidR="005E3BD6" w:rsidP="005E3BD6" w:rsidRDefault="005E3BD6" w14:paraId="6A2D2666" w14:textId="77777777">
      <w:pPr>
        <w:jc w:val="both"/>
      </w:pPr>
      <w:r w:rsidRPr="761B0734">
        <w:rPr>
          <w:rFonts w:ascii="Nunito Sans" w:hAnsi="Nunito Sans" w:cs="Calibri"/>
          <w:sz w:val="22"/>
          <w:szCs w:val="22"/>
          <w:lang w:val="es-ES"/>
        </w:rPr>
        <w:t xml:space="preserve"> </w:t>
      </w:r>
    </w:p>
    <w:p w:rsidRPr="00CA4194" w:rsidR="005E3BD6" w:rsidP="005E3BD6" w:rsidRDefault="005E3BD6" w14:paraId="6126F65D" w14:textId="77777777">
      <w:pPr>
        <w:jc w:val="both"/>
      </w:pPr>
      <w:r w:rsidRPr="761B0734">
        <w:rPr>
          <w:rFonts w:ascii="Nunito Sans" w:hAnsi="Nunito Sans" w:cs="Calibri"/>
          <w:sz w:val="22"/>
          <w:szCs w:val="22"/>
          <w:lang w:val="es-ES"/>
        </w:rPr>
        <w:t>Adicionalmente, se desplegarán asistentes normativos basados en modelos de lenguaje (GenAI), entrenados con la regulación histórica del sector, que apoyen a la CREG y al Ministerio en la atención jurídica y técnica a ciudadanos y empresas, mejorando tiempos de respuesta y consistencia regulatoria.</w:t>
      </w:r>
    </w:p>
    <w:p w:rsidRPr="00CA4194" w:rsidR="005E3BD6" w:rsidP="005E3BD6" w:rsidRDefault="005E3BD6" w14:paraId="2EC6296D" w14:textId="77777777">
      <w:pPr>
        <w:jc w:val="both"/>
      </w:pPr>
      <w:r w:rsidRPr="761B0734">
        <w:rPr>
          <w:rFonts w:ascii="Nunito Sans" w:hAnsi="Nunito Sans" w:cs="Calibri"/>
          <w:sz w:val="22"/>
          <w:szCs w:val="22"/>
          <w:lang w:val="es-ES"/>
        </w:rPr>
        <w:t xml:space="preserve"> </w:t>
      </w:r>
    </w:p>
    <w:p w:rsidRPr="00DA4823" w:rsidR="005E3BD6" w:rsidP="005E3BD6" w:rsidRDefault="005E3BD6" w14:paraId="032FF3B2" w14:textId="77777777">
      <w:pPr>
        <w:jc w:val="both"/>
        <w:rPr>
          <w:rFonts w:ascii="Nunito Sans" w:hAnsi="Nunito Sans" w:cs="Calibri"/>
          <w:b/>
          <w:bCs/>
          <w:sz w:val="22"/>
          <w:szCs w:val="22"/>
          <w:lang w:val="es-ES"/>
        </w:rPr>
      </w:pPr>
      <w:r w:rsidRPr="761B0734">
        <w:rPr>
          <w:rFonts w:ascii="Nunito Sans" w:hAnsi="Nunito Sans" w:cs="Calibri"/>
          <w:b/>
          <w:bCs/>
          <w:sz w:val="22"/>
          <w:szCs w:val="22"/>
          <w:lang w:val="es-ES"/>
        </w:rPr>
        <w:t>Blockchain y Web3 para trazabilidad y confianza</w:t>
      </w:r>
    </w:p>
    <w:p w:rsidRPr="00CA4194" w:rsidR="005E3BD6" w:rsidP="005E3BD6" w:rsidRDefault="005E3BD6" w14:paraId="61A4B6DF" w14:textId="77777777">
      <w:pPr>
        <w:jc w:val="both"/>
      </w:pPr>
      <w:r w:rsidRPr="761B0734">
        <w:rPr>
          <w:rFonts w:ascii="Nunito Sans" w:hAnsi="Nunito Sans" w:cs="Calibri"/>
          <w:sz w:val="22"/>
          <w:szCs w:val="22"/>
          <w:lang w:val="es-ES"/>
        </w:rPr>
        <w:t>Con el propósito de fortalecer la transparencia, la confianza y la trazabilidad en un sector estratégico para el país, se adoptarán tecnologías de Blockchain y Web3 como mecanismos de registro inmutable y verificación distribuida. Estas tecnologías permitirán certificar el origen de minerales estratégicos, tales como cobre y litio, asegurando la trazabilidad de la cadena de suministro desde la extracción hasta la exportación, e impulsando esquemas de certificación de “Mineral Verde”.</w:t>
      </w:r>
    </w:p>
    <w:p w:rsidRPr="00CA4194" w:rsidR="005E3BD6" w:rsidP="005E3BD6" w:rsidRDefault="005E3BD6" w14:paraId="07088699" w14:textId="77777777">
      <w:pPr>
        <w:jc w:val="both"/>
      </w:pPr>
      <w:r w:rsidRPr="761B0734">
        <w:rPr>
          <w:rFonts w:ascii="Nunito Sans" w:hAnsi="Nunito Sans" w:cs="Calibri"/>
          <w:sz w:val="22"/>
          <w:szCs w:val="22"/>
          <w:lang w:val="es-ES"/>
        </w:rPr>
        <w:t xml:space="preserve"> </w:t>
      </w:r>
    </w:p>
    <w:p w:rsidRPr="00CA4194" w:rsidR="005E3BD6" w:rsidP="005E3BD6" w:rsidRDefault="005E3BD6" w14:paraId="6D20502E" w14:textId="77777777">
      <w:pPr>
        <w:jc w:val="both"/>
      </w:pPr>
      <w:r w:rsidRPr="761B0734">
        <w:rPr>
          <w:rFonts w:ascii="Nunito Sans" w:hAnsi="Nunito Sans" w:cs="Calibri"/>
          <w:sz w:val="22"/>
          <w:szCs w:val="22"/>
          <w:lang w:val="es-ES"/>
        </w:rPr>
        <w:t>En el ámbito energético, se habilitarán capacidades tecnológicas para la transacción de energía entre pares (P2P), facilitando que las comunidades energéticas puedan intercambiar excedentes de generación de forma segura y automatizada mediante contratos inteligentes, reduciendo intermediaciones y fortaleciendo la descentralización del sistema eléctrico.</w:t>
      </w:r>
    </w:p>
    <w:p w:rsidRPr="00CA4194" w:rsidR="005E3BD6" w:rsidP="005E3BD6" w:rsidRDefault="005E3BD6" w14:paraId="0BB0E22F" w14:textId="77777777">
      <w:pPr>
        <w:jc w:val="both"/>
      </w:pPr>
      <w:r w:rsidRPr="761B0734">
        <w:rPr>
          <w:rFonts w:ascii="Nunito Sans" w:hAnsi="Nunito Sans" w:cs="Calibri"/>
          <w:sz w:val="22"/>
          <w:szCs w:val="22"/>
          <w:lang w:val="es-ES"/>
        </w:rPr>
        <w:t xml:space="preserve"> </w:t>
      </w:r>
    </w:p>
    <w:p w:rsidRPr="00DA4823" w:rsidR="005E3BD6" w:rsidP="005E3BD6" w:rsidRDefault="005E3BD6" w14:paraId="1BE1E717" w14:textId="77777777">
      <w:pPr>
        <w:jc w:val="both"/>
        <w:rPr>
          <w:rFonts w:ascii="Nunito Sans" w:hAnsi="Nunito Sans" w:cs="Calibri"/>
          <w:b/>
          <w:bCs/>
          <w:sz w:val="22"/>
          <w:szCs w:val="22"/>
          <w:lang w:val="es-ES"/>
        </w:rPr>
      </w:pPr>
      <w:r w:rsidRPr="761B0734">
        <w:rPr>
          <w:rFonts w:ascii="Nunito Sans" w:hAnsi="Nunito Sans" w:cs="Calibri"/>
          <w:b/>
          <w:bCs/>
          <w:sz w:val="22"/>
          <w:szCs w:val="22"/>
          <w:lang w:val="es-ES"/>
        </w:rPr>
        <w:t>Internet de las Cosas (IoT) y Computación de Borde</w:t>
      </w:r>
    </w:p>
    <w:p w:rsidRPr="00CA4194" w:rsidR="005E3BD6" w:rsidP="005E3BD6" w:rsidRDefault="005E3BD6" w14:paraId="446B11CE" w14:textId="77777777">
      <w:pPr>
        <w:jc w:val="both"/>
      </w:pPr>
      <w:r w:rsidRPr="761B0734">
        <w:rPr>
          <w:rFonts w:ascii="Nunito Sans" w:hAnsi="Nunito Sans" w:cs="Calibri"/>
          <w:sz w:val="22"/>
          <w:szCs w:val="22"/>
          <w:lang w:val="es-ES"/>
        </w:rPr>
        <w:lastRenderedPageBreak/>
        <w:t>Para gestionar un sistema energético cada vez más distribuido, la inteligencia digital se desplazará hacia el borde de la red. El sector promoverá la masificación de la medición avanzada (AMI) y la instalación de sensores en redes de distribución, con capacidades de procesamiento local (Edge Computing) que permitan equilibrar cargas, detectar fallos y tomar decisiones operativas sin depender exclusivamente de la conectividad con infraestructuras centrales en la nube.</w:t>
      </w:r>
    </w:p>
    <w:p w:rsidRPr="00CA4194" w:rsidR="005E3BD6" w:rsidP="005E3BD6" w:rsidRDefault="005E3BD6" w14:paraId="5A96EB5E" w14:textId="77777777">
      <w:pPr>
        <w:jc w:val="both"/>
      </w:pPr>
      <w:r w:rsidRPr="761B0734">
        <w:rPr>
          <w:rFonts w:ascii="Nunito Sans" w:hAnsi="Nunito Sans" w:cs="Calibri"/>
          <w:sz w:val="22"/>
          <w:szCs w:val="22"/>
          <w:lang w:val="es-ES"/>
        </w:rPr>
        <w:t xml:space="preserve"> </w:t>
      </w:r>
    </w:p>
    <w:p w:rsidRPr="00CA4194" w:rsidR="005E3BD6" w:rsidP="005E3BD6" w:rsidRDefault="005E3BD6" w14:paraId="6AD065B0" w14:textId="53F15F9D">
      <w:pPr>
        <w:jc w:val="both"/>
      </w:pPr>
      <w:r w:rsidRPr="761B0734">
        <w:rPr>
          <w:rFonts w:ascii="Nunito Sans" w:hAnsi="Nunito Sans" w:cs="Calibri"/>
          <w:sz w:val="22"/>
          <w:szCs w:val="22"/>
          <w:lang w:val="es-ES"/>
        </w:rPr>
        <w:t xml:space="preserve">En el caso de las Zonas No Interconectadas, el IPSE fortalecerá el uso de telemetría en tiempo real para el monitoreo y control de soluciones energéticas, garantizando la sostenibilidad operativa de paneles solares, </w:t>
      </w:r>
      <w:r w:rsidRPr="761B0734" w:rsidR="00B2451D">
        <w:rPr>
          <w:rFonts w:ascii="Nunito Sans" w:hAnsi="Nunito Sans" w:cs="Calibri"/>
          <w:sz w:val="22"/>
          <w:szCs w:val="22"/>
          <w:lang w:val="es-ES"/>
        </w:rPr>
        <w:t>micro centrales</w:t>
      </w:r>
      <w:r w:rsidRPr="761B0734">
        <w:rPr>
          <w:rFonts w:ascii="Nunito Sans" w:hAnsi="Nunito Sans" w:cs="Calibri"/>
          <w:sz w:val="22"/>
          <w:szCs w:val="22"/>
          <w:lang w:val="es-ES"/>
        </w:rPr>
        <w:t xml:space="preserve"> y otras tecnologías instaladas en territorios apartados, y mejorando la gestión de mantenimiento y continuidad del servicio.</w:t>
      </w:r>
    </w:p>
    <w:p w:rsidRPr="00CA4194" w:rsidR="005E3BD6" w:rsidP="005E3BD6" w:rsidRDefault="005E3BD6" w14:paraId="57DA0A65" w14:textId="77777777">
      <w:pPr>
        <w:jc w:val="both"/>
      </w:pPr>
      <w:r w:rsidRPr="761B0734">
        <w:rPr>
          <w:rFonts w:ascii="Nunito Sans" w:hAnsi="Nunito Sans" w:cs="Calibri"/>
          <w:sz w:val="22"/>
          <w:szCs w:val="22"/>
          <w:lang w:val="es-ES"/>
        </w:rPr>
        <w:t xml:space="preserve"> </w:t>
      </w:r>
    </w:p>
    <w:p w:rsidRPr="00DA4823" w:rsidR="005E3BD6" w:rsidP="005E3BD6" w:rsidRDefault="005E3BD6" w14:paraId="62CDAF76" w14:textId="77777777">
      <w:pPr>
        <w:jc w:val="both"/>
        <w:rPr>
          <w:rFonts w:ascii="Nunito Sans" w:hAnsi="Nunito Sans" w:cs="Calibri"/>
          <w:b/>
          <w:bCs/>
          <w:sz w:val="22"/>
          <w:szCs w:val="22"/>
          <w:lang w:val="es-ES"/>
        </w:rPr>
      </w:pPr>
      <w:r w:rsidRPr="761B0734">
        <w:rPr>
          <w:rFonts w:ascii="Nunito Sans" w:hAnsi="Nunito Sans" w:cs="Calibri"/>
          <w:b/>
          <w:bCs/>
          <w:sz w:val="22"/>
          <w:szCs w:val="22"/>
          <w:lang w:val="es-ES"/>
        </w:rPr>
        <w:t>Gemelos Digitales (Digital Twins)</w:t>
      </w:r>
    </w:p>
    <w:p w:rsidRPr="00CA4194" w:rsidR="005E3BD6" w:rsidP="005E3BD6" w:rsidRDefault="005E3BD6" w14:paraId="07D13BDB" w14:textId="77777777">
      <w:pPr>
        <w:jc w:val="both"/>
      </w:pPr>
      <w:r w:rsidRPr="761B0734">
        <w:rPr>
          <w:rFonts w:ascii="Nunito Sans" w:hAnsi="Nunito Sans" w:cs="Calibri"/>
          <w:sz w:val="22"/>
          <w:szCs w:val="22"/>
          <w:lang w:val="es-ES"/>
        </w:rPr>
        <w:t>El sector incorporará progresivamente el uso de gemelos digitales como herramienta para la planeación, simulación y evaluación de decisiones de alto impacto. Se desarrollarán réplicas virtuales de activos físicos e infraestructuras energéticas y mineras, que permitan simular escenarios de expansión de red, explotación de recursos o implementación de nuevos proyectos antes de su ejecución física, evaluando de manera anticipada impactos ambientales, sociales y operativos, y optimizando los procesos de licenciamiento y toma de decisiones.</w:t>
      </w:r>
    </w:p>
    <w:p w:rsidRPr="00CA4194" w:rsidR="005E3BD6" w:rsidP="005E3BD6" w:rsidRDefault="005E3BD6" w14:paraId="00F1E8F3" w14:textId="77777777">
      <w:pPr>
        <w:jc w:val="both"/>
      </w:pPr>
      <w:r w:rsidRPr="761B0734">
        <w:rPr>
          <w:rFonts w:ascii="Nunito Sans" w:hAnsi="Nunito Sans" w:cs="Calibri"/>
          <w:sz w:val="22"/>
          <w:szCs w:val="22"/>
          <w:lang w:val="es-ES"/>
        </w:rPr>
        <w:t xml:space="preserve"> </w:t>
      </w:r>
    </w:p>
    <w:p w:rsidRPr="00DA4823" w:rsidR="005E3BD6" w:rsidP="005E3BD6" w:rsidRDefault="005E3BD6" w14:paraId="5B826215" w14:textId="77777777">
      <w:pPr>
        <w:jc w:val="both"/>
        <w:rPr>
          <w:rFonts w:ascii="Nunito Sans" w:hAnsi="Nunito Sans" w:cs="Calibri"/>
          <w:b/>
          <w:bCs/>
          <w:sz w:val="22"/>
          <w:szCs w:val="22"/>
          <w:lang w:val="es-ES"/>
        </w:rPr>
      </w:pPr>
      <w:r w:rsidRPr="761B0734">
        <w:rPr>
          <w:rFonts w:ascii="Nunito Sans" w:hAnsi="Nunito Sans" w:cs="Calibri"/>
          <w:b/>
          <w:bCs/>
          <w:sz w:val="22"/>
          <w:szCs w:val="22"/>
          <w:lang w:val="es-ES"/>
        </w:rPr>
        <w:t>Mecanismo de aceleración: Sandbox Regulatorio Sectorial</w:t>
      </w:r>
    </w:p>
    <w:p w:rsidRPr="00CA4194" w:rsidR="005E3BD6" w:rsidP="005E3BD6" w:rsidRDefault="005E3BD6" w14:paraId="33F99520" w14:textId="77777777">
      <w:pPr>
        <w:jc w:val="both"/>
      </w:pPr>
      <w:r w:rsidRPr="761B0734">
        <w:rPr>
          <w:rFonts w:ascii="Nunito Sans" w:hAnsi="Nunito Sans" w:cs="Calibri"/>
          <w:sz w:val="22"/>
          <w:szCs w:val="22"/>
          <w:lang w:val="es-ES"/>
        </w:rPr>
        <w:t>Reconociendo que la evolución tecnológica suele superar el ritmo de la regulación, el Ministerio de Minas y Energía, en coordinación con la CREG, habilitará un Sandbox Regulatorio de Innovación Sectorial. Este mecanismo permitirá la creación de entornos controlados donde startups, empresas del sector y entidades públicas puedan probar nuevas tecnologías y modelos de negocio como la comercialización de energía mediante tokens u otras soluciones digitales bajo flexibilidades normativas temporales.</w:t>
      </w:r>
    </w:p>
    <w:p w:rsidRPr="00CA4194" w:rsidR="005E3BD6" w:rsidP="005E3BD6" w:rsidRDefault="005E3BD6" w14:paraId="08DAB53C" w14:textId="77777777">
      <w:pPr>
        <w:jc w:val="both"/>
      </w:pPr>
      <w:r w:rsidRPr="761B0734">
        <w:rPr>
          <w:rFonts w:ascii="Nunito Sans" w:hAnsi="Nunito Sans" w:cs="Calibri"/>
          <w:sz w:val="22"/>
          <w:szCs w:val="22"/>
          <w:lang w:val="es-ES"/>
        </w:rPr>
        <w:t xml:space="preserve"> </w:t>
      </w:r>
    </w:p>
    <w:p w:rsidR="005E3BD6" w:rsidP="005E3BD6" w:rsidRDefault="005E3BD6" w14:paraId="496772A6" w14:textId="77777777">
      <w:pPr>
        <w:jc w:val="both"/>
        <w:rPr>
          <w:rFonts w:ascii="Nunito Sans" w:hAnsi="Nunito Sans" w:cs="Calibri"/>
          <w:sz w:val="22"/>
          <w:szCs w:val="22"/>
          <w:lang w:val="es-ES"/>
        </w:rPr>
      </w:pPr>
      <w:r w:rsidRPr="761B0734">
        <w:rPr>
          <w:rFonts w:ascii="Nunito Sans" w:hAnsi="Nunito Sans" w:cs="Calibri"/>
          <w:sz w:val="22"/>
          <w:szCs w:val="22"/>
          <w:lang w:val="es-ES"/>
        </w:rPr>
        <w:t>El resultado esperado de este mecanismo será la validación de hipótesis tecnológicas en entornos reales, la generación de evidencia empírica y el ajuste progresivo de la regulación antes de la masificación de las soluciones, reduciendo riesgos y acelerando la adopción de innovaciones con impacto positivo para el sector y la ciudadanía.</w:t>
      </w:r>
    </w:p>
    <w:p w:rsidR="005E3BD6" w:rsidP="005E3BD6" w:rsidRDefault="005E3BD6" w14:paraId="20A61875" w14:textId="77777777">
      <w:pPr>
        <w:jc w:val="both"/>
        <w:rPr>
          <w:rFonts w:ascii="Nunito Sans" w:hAnsi="Nunito Sans" w:cs="Calibri"/>
          <w:sz w:val="22"/>
          <w:szCs w:val="22"/>
          <w:lang w:val="es-ES"/>
        </w:rPr>
      </w:pPr>
    </w:p>
    <w:p w:rsidR="005E3BD6" w:rsidRDefault="00265D18" w14:paraId="49A6F8B1" w14:textId="3B4555C2">
      <w:pPr>
        <w:pStyle w:val="Ttulo1"/>
        <w:numPr>
          <w:ilvl w:val="0"/>
          <w:numId w:val="25"/>
        </w:numPr>
        <w:jc w:val="center"/>
        <w:rPr>
          <w:lang w:val="es-ES"/>
        </w:rPr>
      </w:pPr>
      <w:bookmarkStart w:name="_Toc275297611" w:id="440"/>
      <w:r>
        <w:rPr>
          <w:lang w:val="es-ES"/>
        </w:rPr>
        <w:t xml:space="preserve"> </w:t>
      </w:r>
      <w:bookmarkStart w:name="_Toc234234517" w:id="441"/>
      <w:r w:rsidRPr="00157D4C" w:rsidR="00133BF0">
        <w:rPr>
          <w:lang w:val="es-ES"/>
        </w:rPr>
        <w:t>IDENTIFICACIÓN Y ANÁLISIS DE BRECHAS</w:t>
      </w:r>
      <w:bookmarkEnd w:id="440"/>
      <w:bookmarkEnd w:id="441"/>
    </w:p>
    <w:p w:rsidRPr="00264137" w:rsidR="00264137" w:rsidP="00264137" w:rsidRDefault="00264137" w14:paraId="3E72DC1F" w14:textId="77777777">
      <w:pPr>
        <w:rPr>
          <w:lang w:val="es-ES"/>
        </w:rPr>
      </w:pPr>
    </w:p>
    <w:p w:rsidRPr="00A4531F" w:rsidR="00A4531F" w:rsidRDefault="00A4531F" w14:paraId="3DE6A4C2" w14:textId="77777777">
      <w:pPr>
        <w:pStyle w:val="Prrafodelista"/>
        <w:keepNext/>
        <w:keepLines/>
        <w:numPr>
          <w:ilvl w:val="0"/>
          <w:numId w:val="22"/>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407549" w:id="442"/>
      <w:bookmarkStart w:name="_Toc220407783" w:id="443"/>
      <w:bookmarkStart w:name="_Toc220408041" w:id="444"/>
      <w:bookmarkStart w:name="_Toc220614526" w:id="445"/>
      <w:bookmarkStart w:name="_Toc220664352" w:id="446"/>
      <w:bookmarkStart w:name="_Toc234231888" w:id="447"/>
      <w:bookmarkStart w:name="_Toc234232130" w:id="448"/>
      <w:bookmarkStart w:name="_Toc234232251" w:id="449"/>
      <w:bookmarkStart w:name="_Toc234232372" w:id="450"/>
      <w:bookmarkStart w:name="_Toc234233423" w:id="451"/>
      <w:bookmarkStart w:name="_Toc234233544" w:id="452"/>
      <w:bookmarkStart w:name="_Toc234233666" w:id="453"/>
      <w:bookmarkStart w:name="_Toc234233788" w:id="454"/>
      <w:bookmarkStart w:name="_Toc234233910" w:id="455"/>
      <w:bookmarkStart w:name="_Toc234234031" w:id="456"/>
      <w:bookmarkStart w:name="_Toc234234154" w:id="457"/>
      <w:bookmarkStart w:name="_Toc234234276" w:id="458"/>
      <w:bookmarkStart w:name="_Toc234234397" w:id="459"/>
      <w:bookmarkStart w:name="_Toc234234518" w:id="460"/>
      <w:bookmarkStart w:name="_Toc634856240" w:id="46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rsidRPr="009E44F5" w:rsidR="005E3BD6" w:rsidRDefault="005E3BD6" w14:paraId="259F7658" w14:textId="422FBE64">
      <w:pPr>
        <w:pStyle w:val="Ttulo2"/>
        <w:numPr>
          <w:ilvl w:val="1"/>
          <w:numId w:val="22"/>
        </w:numPr>
        <w:rPr>
          <w:rFonts w:cs="Calibri"/>
          <w:lang w:val="es-CO"/>
        </w:rPr>
      </w:pPr>
      <w:bookmarkStart w:name="_Toc234234519" w:id="462"/>
      <w:r w:rsidRPr="0E79E4E6">
        <w:t xml:space="preserve">Identificación de brechas para </w:t>
      </w:r>
      <w:r w:rsidR="00F95861">
        <w:t>A</w:t>
      </w:r>
      <w:r w:rsidRPr="0E79E4E6">
        <w:t xml:space="preserve">rquitectura </w:t>
      </w:r>
      <w:r w:rsidR="00F95861">
        <w:t>S</w:t>
      </w:r>
      <w:r w:rsidRPr="0E79E4E6">
        <w:t xml:space="preserve">ectorial- </w:t>
      </w:r>
      <w:r w:rsidR="00F95861">
        <w:t>I</w:t>
      </w:r>
      <w:r w:rsidRPr="0E79E4E6">
        <w:t>nstitucional</w:t>
      </w:r>
      <w:bookmarkEnd w:id="462"/>
      <w:r w:rsidRPr="009E44F5">
        <w:rPr>
          <w:rFonts w:cs="Calibri"/>
          <w:lang w:val="es-CO"/>
        </w:rPr>
        <w:tab/>
      </w:r>
      <w:bookmarkEnd w:id="461"/>
    </w:p>
    <w:p w:rsidRPr="00EB43A6" w:rsidR="005E3BD6" w:rsidP="005E3BD6" w:rsidRDefault="00B013CD" w14:paraId="718BD1DA" w14:textId="29B04E3A">
      <w:pPr>
        <w:ind w:left="360" w:hanging="360"/>
        <w:jc w:val="center"/>
        <w:rPr>
          <w:rFonts w:ascii="Nunito Sans" w:hAnsi="Nunito Sans" w:cs="Calibri"/>
          <w:b/>
          <w:bCs/>
          <w:sz w:val="18"/>
          <w:szCs w:val="18"/>
        </w:rPr>
      </w:pPr>
      <w:bookmarkStart w:name="_Toc220664228" w:id="463"/>
      <w:r w:rsidRPr="00B013CD">
        <w:rPr>
          <w:rFonts w:ascii="Nunito Sans" w:hAnsi="Nunito Sans" w:cs="Calibri"/>
          <w:b/>
          <w:bCs/>
          <w:sz w:val="18"/>
          <w:szCs w:val="18"/>
        </w:rPr>
        <w:t xml:space="preserve">Tabla </w:t>
      </w:r>
      <w:r w:rsidRPr="00B013CD">
        <w:rPr>
          <w:rFonts w:ascii="Nunito Sans" w:hAnsi="Nunito Sans" w:cs="Calibri"/>
          <w:b/>
          <w:bCs/>
          <w:sz w:val="18"/>
          <w:szCs w:val="18"/>
        </w:rPr>
        <w:fldChar w:fldCharType="begin"/>
      </w:r>
      <w:r w:rsidRPr="00B013CD">
        <w:rPr>
          <w:rFonts w:ascii="Nunito Sans" w:hAnsi="Nunito Sans" w:cs="Calibri"/>
          <w:b/>
          <w:bCs/>
          <w:sz w:val="18"/>
          <w:szCs w:val="18"/>
        </w:rPr>
        <w:instrText xml:space="preserve"> SEQ Tabla \* ARABIC </w:instrText>
      </w:r>
      <w:r w:rsidRPr="00B013CD">
        <w:rPr>
          <w:rFonts w:ascii="Nunito Sans" w:hAnsi="Nunito Sans" w:cs="Calibri"/>
          <w:b/>
          <w:bCs/>
          <w:sz w:val="18"/>
          <w:szCs w:val="18"/>
        </w:rPr>
        <w:fldChar w:fldCharType="separate"/>
      </w:r>
      <w:r w:rsidR="00C57F7B">
        <w:rPr>
          <w:rFonts w:ascii="Nunito Sans" w:hAnsi="Nunito Sans" w:cs="Calibri"/>
          <w:b/>
          <w:bCs/>
          <w:noProof/>
          <w:sz w:val="18"/>
          <w:szCs w:val="18"/>
        </w:rPr>
        <w:t>57</w:t>
      </w:r>
      <w:r w:rsidRPr="00B013C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Brechas de Arquitectura Sectorial</w:t>
      </w:r>
      <w:bookmarkEnd w:id="463"/>
    </w:p>
    <w:tbl>
      <w:tblPr>
        <w:tblW w:w="9231" w:type="dxa"/>
        <w:jc w:val="right"/>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421"/>
        <w:gridCol w:w="729"/>
        <w:gridCol w:w="1924"/>
        <w:gridCol w:w="1795"/>
        <w:gridCol w:w="1925"/>
        <w:gridCol w:w="2437"/>
      </w:tblGrid>
      <w:tr w:rsidRPr="00DA4823" w:rsidR="005E3BD6" w:rsidTr="00BB4186" w14:paraId="44E86AE6" w14:textId="77777777">
        <w:trPr>
          <w:cantSplit/>
          <w:trHeight w:val="1240"/>
          <w:tblHeader/>
          <w:jc w:val="right"/>
        </w:trPr>
        <w:tc>
          <w:tcPr>
            <w:tcW w:w="42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noWrap/>
            <w:vAlign w:val="center"/>
            <w:hideMark/>
          </w:tcPr>
          <w:p w:rsidRPr="00DA4823" w:rsidR="005E3BD6" w:rsidP="00B4771C" w:rsidRDefault="005E3BD6" w14:paraId="1BFE87C4" w14:textId="77777777">
            <w:pPr>
              <w:jc w:val="center"/>
              <w:rPr>
                <w:rFonts w:ascii="Nunito Sans" w:hAnsi="Nunito Sans" w:eastAsia="Arial" w:cs="Calibri"/>
                <w:b/>
                <w:bCs/>
                <w:color w:val="FFFFFF" w:themeColor="background1"/>
                <w:sz w:val="18"/>
                <w:szCs w:val="18"/>
              </w:rPr>
            </w:pPr>
            <w:bookmarkStart w:name="_Hlk213961652" w:id="464"/>
            <w:r w:rsidRPr="00DA4823">
              <w:rPr>
                <w:rFonts w:ascii="Nunito Sans" w:hAnsi="Nunito Sans" w:eastAsia="Arial" w:cs="Calibri"/>
                <w:b/>
                <w:bCs/>
                <w:color w:val="FFFFFF" w:themeColor="background1"/>
                <w:sz w:val="18"/>
                <w:szCs w:val="18"/>
              </w:rPr>
              <w:lastRenderedPageBreak/>
              <w:t>ID</w:t>
            </w:r>
          </w:p>
        </w:tc>
        <w:tc>
          <w:tcPr>
            <w:tcW w:w="72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DA4823" w:rsidR="005E3BD6" w:rsidP="00B4771C" w:rsidRDefault="005E3BD6" w14:paraId="0EAB2F84" w14:textId="77777777">
            <w:pPr>
              <w:ind w:left="113" w:right="113"/>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DOMINIO / LÍNEA</w:t>
            </w:r>
          </w:p>
        </w:tc>
        <w:tc>
          <w:tcPr>
            <w:tcW w:w="192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584A8F1A"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ESTADO AS-IS</w:t>
            </w:r>
          </w:p>
        </w:tc>
        <w:tc>
          <w:tcPr>
            <w:tcW w:w="179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3F60C278"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ESTADO TO-BE</w:t>
            </w:r>
          </w:p>
        </w:tc>
        <w:tc>
          <w:tcPr>
            <w:tcW w:w="192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7E115041"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DESCRIPCIÓN DE LA BRECHA</w:t>
            </w:r>
          </w:p>
        </w:tc>
        <w:tc>
          <w:tcPr>
            <w:tcW w:w="243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7940C592"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ACCIÓN PROPUESTA</w:t>
            </w:r>
          </w:p>
        </w:tc>
      </w:tr>
      <w:bookmarkEnd w:id="464"/>
      <w:tr w:rsidRPr="00DA4823" w:rsidR="005E3BD6" w:rsidTr="00BB4186" w14:paraId="15ACA228" w14:textId="77777777">
        <w:trPr>
          <w:cantSplit/>
          <w:trHeight w:val="1164"/>
          <w:jc w:val="right"/>
        </w:trPr>
        <w:tc>
          <w:tcPr>
            <w:tcW w:w="421" w:type="dxa"/>
            <w:tcBorders>
              <w:top w:val="single" w:color="FFFFFF" w:themeColor="background1" w:sz="4" w:space="0"/>
            </w:tcBorders>
            <w:noWrap/>
            <w:textDirection w:val="btLr"/>
            <w:vAlign w:val="center"/>
            <w:hideMark/>
          </w:tcPr>
          <w:p w:rsidRPr="00DA4823" w:rsidR="005E3BD6" w:rsidP="00B4771C" w:rsidRDefault="005E3BD6" w14:paraId="2359D2F2"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SEC_01</w:t>
            </w:r>
          </w:p>
        </w:tc>
        <w:tc>
          <w:tcPr>
            <w:tcW w:w="729" w:type="dxa"/>
            <w:tcBorders>
              <w:top w:val="single" w:color="FFFFFF" w:themeColor="background1" w:sz="4" w:space="0"/>
            </w:tcBorders>
            <w:noWrap/>
            <w:textDirection w:val="btLr"/>
            <w:vAlign w:val="center"/>
            <w:hideMark/>
          </w:tcPr>
          <w:p w:rsidRPr="00DA4823" w:rsidR="005E3BD6" w:rsidP="00B4771C" w:rsidRDefault="005E3BD6" w14:paraId="47FE5C24"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Institucional / Negocio</w:t>
            </w:r>
          </w:p>
        </w:tc>
        <w:tc>
          <w:tcPr>
            <w:tcW w:w="1924" w:type="dxa"/>
            <w:tcBorders>
              <w:top w:val="single" w:color="FFFFFF" w:themeColor="background1" w:sz="4" w:space="0"/>
            </w:tcBorders>
            <w:noWrap/>
            <w:vAlign w:val="center"/>
            <w:hideMark/>
          </w:tcPr>
          <w:p w:rsidRPr="00DA4823" w:rsidR="005E3BD6" w:rsidP="00B4771C" w:rsidRDefault="005E3BD6" w14:paraId="04219CD6" w14:textId="77777777">
            <w:pPr>
              <w:jc w:val="center"/>
              <w:rPr>
                <w:rFonts w:ascii="Nunito Sans" w:hAnsi="Nunito Sans" w:eastAsia="Arial" w:cs="Calibri"/>
                <w:sz w:val="18"/>
                <w:szCs w:val="18"/>
                <w:lang w:val="es-ES"/>
              </w:rPr>
            </w:pPr>
            <w:r w:rsidRPr="00DA4823">
              <w:rPr>
                <w:rFonts w:ascii="Nunito Sans" w:hAnsi="Nunito Sans" w:eastAsia="Arial" w:cs="Calibri"/>
                <w:sz w:val="18"/>
                <w:szCs w:val="18"/>
                <w:lang w:val="es-ES"/>
              </w:rPr>
              <w:t>Los trámites y servicios del sector minero-energético se gestionan en portales y plataformas independientes, lo que genera dispersión, duplicidad de procesos y dificultades para el ciudadano en el acceso a la información y servicios.</w:t>
            </w:r>
          </w:p>
        </w:tc>
        <w:tc>
          <w:tcPr>
            <w:tcW w:w="1795" w:type="dxa"/>
            <w:tcBorders>
              <w:top w:val="single" w:color="FFFFFF" w:themeColor="background1" w:sz="4" w:space="0"/>
            </w:tcBorders>
            <w:noWrap/>
            <w:vAlign w:val="center"/>
            <w:hideMark/>
          </w:tcPr>
          <w:p w:rsidRPr="00DA4823" w:rsidR="005E3BD6" w:rsidP="00B4771C" w:rsidRDefault="005E3BD6" w14:paraId="188A635C" w14:textId="77777777">
            <w:pPr>
              <w:spacing w:before="240" w:after="240"/>
              <w:jc w:val="center"/>
              <w:rPr>
                <w:rFonts w:ascii="Nunito Sans" w:hAnsi="Nunito Sans" w:eastAsia="Arial" w:cs="Calibri"/>
                <w:sz w:val="18"/>
                <w:szCs w:val="18"/>
              </w:rPr>
            </w:pPr>
            <w:r w:rsidRPr="00DA4823">
              <w:rPr>
                <w:rFonts w:ascii="Nunito Sans" w:hAnsi="Nunito Sans" w:eastAsia="Arial" w:cs="Calibri"/>
                <w:sz w:val="18"/>
                <w:szCs w:val="18"/>
              </w:rPr>
              <w:t>Contar con una ventanilla única sectorial digital, integrada y estandarizada, que centralice trámites, servicios e información en un solo punto de acceso, facilitando la interoperabilidad entre entidades y mejorando la experiencia del usuario</w:t>
            </w:r>
          </w:p>
        </w:tc>
        <w:tc>
          <w:tcPr>
            <w:tcW w:w="1925" w:type="dxa"/>
            <w:tcBorders>
              <w:top w:val="single" w:color="FFFFFF" w:themeColor="background1" w:sz="4" w:space="0"/>
            </w:tcBorders>
            <w:noWrap/>
            <w:vAlign w:val="center"/>
            <w:hideMark/>
          </w:tcPr>
          <w:p w:rsidRPr="00DA4823" w:rsidR="005E3BD6" w:rsidP="00B4771C" w:rsidRDefault="005E3BD6" w14:paraId="10127AF2" w14:textId="77777777">
            <w:pPr>
              <w:spacing w:before="240" w:after="240"/>
              <w:jc w:val="center"/>
              <w:rPr>
                <w:rFonts w:ascii="Nunito Sans" w:hAnsi="Nunito Sans" w:eastAsia="Arial" w:cs="Calibri"/>
                <w:sz w:val="18"/>
                <w:szCs w:val="18"/>
              </w:rPr>
            </w:pPr>
            <w:r w:rsidRPr="00DA4823">
              <w:rPr>
                <w:rFonts w:ascii="Nunito Sans" w:hAnsi="Nunito Sans" w:eastAsia="Arial" w:cs="Calibri"/>
                <w:sz w:val="18"/>
                <w:szCs w:val="18"/>
              </w:rPr>
              <w:t>Inexistencia de una ventanilla única que articule los servicios digitales del sector. Esto limita la transparencia, la eficiencia y la facilidad de acceso para ciudadanos y empresas, además de dificultar la integración de procesos interinstitucionales.</w:t>
            </w:r>
          </w:p>
          <w:p w:rsidRPr="00DA4823" w:rsidR="005E3BD6" w:rsidP="00B4771C" w:rsidRDefault="005E3BD6" w14:paraId="30034412" w14:textId="77777777">
            <w:pPr>
              <w:jc w:val="center"/>
              <w:rPr>
                <w:rFonts w:ascii="Nunito Sans" w:hAnsi="Nunito Sans" w:eastAsia="Arial" w:cs="Calibri"/>
                <w:color w:val="000000"/>
                <w:sz w:val="18"/>
                <w:szCs w:val="18"/>
              </w:rPr>
            </w:pPr>
          </w:p>
        </w:tc>
        <w:tc>
          <w:tcPr>
            <w:tcW w:w="2437" w:type="dxa"/>
            <w:tcBorders>
              <w:top w:val="single" w:color="FFFFFF" w:themeColor="background1" w:sz="4" w:space="0"/>
            </w:tcBorders>
            <w:noWrap/>
            <w:vAlign w:val="center"/>
            <w:hideMark/>
          </w:tcPr>
          <w:p w:rsidRPr="00DA4823" w:rsidR="005E3BD6" w:rsidP="00B4771C" w:rsidRDefault="005E3BD6" w14:paraId="08573C30" w14:textId="77777777">
            <w:pPr>
              <w:spacing w:before="240" w:after="240"/>
              <w:jc w:val="center"/>
              <w:rPr>
                <w:rFonts w:ascii="Nunito Sans" w:hAnsi="Nunito Sans" w:eastAsia="Arial" w:cs="Calibri"/>
                <w:sz w:val="18"/>
                <w:szCs w:val="18"/>
              </w:rPr>
            </w:pPr>
            <w:r w:rsidRPr="00DA4823">
              <w:rPr>
                <w:rFonts w:ascii="Nunito Sans" w:hAnsi="Nunito Sans" w:eastAsia="Arial" w:cs="Calibri"/>
                <w:sz w:val="18"/>
                <w:szCs w:val="18"/>
              </w:rPr>
              <w:t>Diseñar e implementar una ventanilla única sectorial digital, soportada en arquitecturas empresariales, que permita la integración de trámites y servicios en línea, garantice la interoperabilidad entre entidades y ofrezca al ciudadano una experiencia simplificada y eficiente</w:t>
            </w:r>
          </w:p>
        </w:tc>
      </w:tr>
      <w:tr w:rsidRPr="00DA4823" w:rsidR="005E3BD6" w:rsidTr="00647D2C" w14:paraId="636141D2" w14:textId="77777777">
        <w:trPr>
          <w:cantSplit/>
          <w:trHeight w:val="1164"/>
          <w:jc w:val="right"/>
        </w:trPr>
        <w:tc>
          <w:tcPr>
            <w:tcW w:w="421" w:type="dxa"/>
            <w:noWrap/>
            <w:textDirection w:val="btLr"/>
            <w:vAlign w:val="center"/>
            <w:hideMark/>
          </w:tcPr>
          <w:p w:rsidRPr="00DA4823" w:rsidR="005E3BD6" w:rsidP="00B4771C" w:rsidRDefault="005E3BD6" w14:paraId="1AD58C29"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SEC_02</w:t>
            </w:r>
          </w:p>
        </w:tc>
        <w:tc>
          <w:tcPr>
            <w:tcW w:w="729" w:type="dxa"/>
            <w:noWrap/>
            <w:textDirection w:val="btLr"/>
            <w:vAlign w:val="center"/>
            <w:hideMark/>
          </w:tcPr>
          <w:p w:rsidRPr="00DA4823" w:rsidR="005E3BD6" w:rsidP="00B4771C" w:rsidRDefault="005E3BD6" w14:paraId="0D6EBA25"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Institucional / Negocio</w:t>
            </w:r>
          </w:p>
        </w:tc>
        <w:tc>
          <w:tcPr>
            <w:tcW w:w="1924" w:type="dxa"/>
            <w:noWrap/>
            <w:vAlign w:val="center"/>
            <w:hideMark/>
          </w:tcPr>
          <w:p w:rsidRPr="00DA4823" w:rsidR="005E3BD6" w:rsidP="00B4771C" w:rsidRDefault="005E3BD6" w14:paraId="6BE7C839" w14:textId="77777777">
            <w:pPr>
              <w:jc w:val="center"/>
              <w:rPr>
                <w:rFonts w:ascii="Nunito Sans" w:hAnsi="Nunito Sans" w:eastAsia="Arial" w:cs="Calibri"/>
                <w:sz w:val="18"/>
                <w:szCs w:val="18"/>
              </w:rPr>
            </w:pPr>
            <w:r w:rsidRPr="00DA4823">
              <w:rPr>
                <w:rFonts w:ascii="Nunito Sans" w:hAnsi="Nunito Sans" w:eastAsia="Arial" w:cs="Calibri"/>
                <w:sz w:val="18"/>
                <w:szCs w:val="18"/>
              </w:rPr>
              <w:t>La información sectorial se encuentra dispersa, con baja disponibilidad, actualización irregular y falta de estandarización, lo que limita la integración entre entidades y afecta la calidad de la toma de decisiones.</w:t>
            </w:r>
          </w:p>
        </w:tc>
        <w:tc>
          <w:tcPr>
            <w:tcW w:w="1795" w:type="dxa"/>
            <w:noWrap/>
            <w:vAlign w:val="center"/>
            <w:hideMark/>
          </w:tcPr>
          <w:p w:rsidRPr="00DA4823" w:rsidR="005E3BD6" w:rsidP="00B4771C" w:rsidRDefault="005E3BD6" w14:paraId="35F9280C" w14:textId="77777777">
            <w:pPr>
              <w:jc w:val="center"/>
              <w:rPr>
                <w:rFonts w:ascii="Nunito Sans" w:hAnsi="Nunito Sans" w:eastAsia="Arial" w:cs="Calibri"/>
                <w:sz w:val="18"/>
                <w:szCs w:val="18"/>
              </w:rPr>
            </w:pPr>
            <w:r w:rsidRPr="00DA4823">
              <w:rPr>
                <w:rFonts w:ascii="Nunito Sans" w:hAnsi="Nunito Sans" w:eastAsia="Arial" w:cs="Calibri"/>
                <w:sz w:val="18"/>
                <w:szCs w:val="18"/>
              </w:rPr>
              <w:t>Contar con un ecosistema de datos sectorial consolidado, actualizado y estandarizado, soportado en datalakes y bodegas de datos interoperables que faciliten la integración y el análisis avanzado.</w:t>
            </w:r>
          </w:p>
        </w:tc>
        <w:tc>
          <w:tcPr>
            <w:tcW w:w="1925" w:type="dxa"/>
            <w:noWrap/>
            <w:vAlign w:val="center"/>
            <w:hideMark/>
          </w:tcPr>
          <w:p w:rsidRPr="00DA4823" w:rsidR="005E3BD6" w:rsidP="00B4771C" w:rsidRDefault="005E3BD6" w14:paraId="32821938" w14:textId="77777777">
            <w:pPr>
              <w:jc w:val="center"/>
              <w:rPr>
                <w:rFonts w:ascii="Nunito Sans" w:hAnsi="Nunito Sans" w:eastAsia="Arial" w:cs="Calibri"/>
                <w:sz w:val="18"/>
                <w:szCs w:val="18"/>
              </w:rPr>
            </w:pPr>
            <w:r w:rsidRPr="00DA4823">
              <w:rPr>
                <w:rFonts w:ascii="Nunito Sans" w:hAnsi="Nunito Sans" w:eastAsia="Arial" w:cs="Calibri"/>
                <w:sz w:val="18"/>
                <w:szCs w:val="18"/>
              </w:rPr>
              <w:t>La brecha radica en la deficiente gestión de la información y calidad de datos, que genera inconsistencias y dificulta la interoperabilidad. Esto impide aprovechar plenamente el potencial de la analítica avanzada y reduce la confianza en los datos para la formulación de políticas y decisiones estratégicas.</w:t>
            </w:r>
          </w:p>
        </w:tc>
        <w:tc>
          <w:tcPr>
            <w:tcW w:w="2437" w:type="dxa"/>
            <w:noWrap/>
            <w:vAlign w:val="center"/>
            <w:hideMark/>
          </w:tcPr>
          <w:p w:rsidRPr="00DA4823" w:rsidR="005E3BD6" w:rsidP="00B4771C" w:rsidRDefault="005E3BD6" w14:paraId="440E5069" w14:textId="77777777">
            <w:pPr>
              <w:spacing w:before="240" w:after="240"/>
              <w:jc w:val="center"/>
              <w:rPr>
                <w:rFonts w:ascii="Nunito Sans" w:hAnsi="Nunito Sans" w:eastAsia="Arial" w:cs="Calibri"/>
                <w:sz w:val="18"/>
                <w:szCs w:val="18"/>
              </w:rPr>
            </w:pPr>
            <w:r w:rsidRPr="00DA4823">
              <w:rPr>
                <w:rFonts w:ascii="Nunito Sans" w:hAnsi="Nunito Sans" w:eastAsia="Arial" w:cs="Calibri"/>
                <w:sz w:val="18"/>
                <w:szCs w:val="18"/>
              </w:rPr>
              <w:t>Implementar un programa sectorial de gestión de datos que contemple la creación de datalakes y bodegas de datos unificadas, con el fin de consolidar, estandarizar y actualizar la información del sector, facilitando su integración entre entidades y potenciando el uso de analítica avanzada para una toma de decisiones más eficiente y confiable</w:t>
            </w:r>
          </w:p>
          <w:p w:rsidRPr="00DA4823" w:rsidR="005E3BD6" w:rsidP="00B4771C" w:rsidRDefault="005E3BD6" w14:paraId="742FA887" w14:textId="77777777">
            <w:pPr>
              <w:jc w:val="center"/>
              <w:rPr>
                <w:rFonts w:ascii="Nunito Sans" w:hAnsi="Nunito Sans" w:eastAsia="Arial" w:cs="Calibri"/>
                <w:sz w:val="18"/>
                <w:szCs w:val="18"/>
              </w:rPr>
            </w:pPr>
          </w:p>
        </w:tc>
      </w:tr>
      <w:tr w:rsidRPr="00DA4823" w:rsidR="005E3BD6" w:rsidTr="00647D2C" w14:paraId="29014D09" w14:textId="77777777">
        <w:trPr>
          <w:cantSplit/>
          <w:trHeight w:val="1164"/>
          <w:jc w:val="right"/>
        </w:trPr>
        <w:tc>
          <w:tcPr>
            <w:tcW w:w="421" w:type="dxa"/>
            <w:noWrap/>
            <w:textDirection w:val="btLr"/>
            <w:vAlign w:val="center"/>
            <w:hideMark/>
          </w:tcPr>
          <w:p w:rsidRPr="00DA4823" w:rsidR="005E3BD6" w:rsidP="00B4771C" w:rsidRDefault="005E3BD6" w14:paraId="2526FC05"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lastRenderedPageBreak/>
              <w:t>SEC_03</w:t>
            </w:r>
          </w:p>
        </w:tc>
        <w:tc>
          <w:tcPr>
            <w:tcW w:w="729" w:type="dxa"/>
            <w:noWrap/>
            <w:textDirection w:val="btLr"/>
            <w:vAlign w:val="center"/>
            <w:hideMark/>
          </w:tcPr>
          <w:p w:rsidRPr="00DA4823" w:rsidR="005E3BD6" w:rsidP="00B4771C" w:rsidRDefault="005E3BD6" w14:paraId="639F006A"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Institucional / Negocio</w:t>
            </w:r>
          </w:p>
        </w:tc>
        <w:tc>
          <w:tcPr>
            <w:tcW w:w="1924" w:type="dxa"/>
            <w:noWrap/>
            <w:vAlign w:val="center"/>
            <w:hideMark/>
          </w:tcPr>
          <w:p w:rsidRPr="00DA4823" w:rsidR="005E3BD6" w:rsidP="00B4771C" w:rsidRDefault="005E3BD6" w14:paraId="65DFCFFA" w14:textId="77777777">
            <w:pPr>
              <w:jc w:val="center"/>
              <w:rPr>
                <w:rFonts w:ascii="Nunito Sans" w:hAnsi="Nunito Sans" w:eastAsia="Arial" w:cs="Calibri"/>
                <w:sz w:val="18"/>
                <w:szCs w:val="18"/>
              </w:rPr>
            </w:pPr>
            <w:r w:rsidRPr="00DA4823">
              <w:rPr>
                <w:rFonts w:ascii="Nunito Sans" w:hAnsi="Nunito Sans" w:eastAsia="Arial" w:cs="Calibri"/>
                <w:sz w:val="18"/>
                <w:szCs w:val="18"/>
              </w:rPr>
              <w:t>Las entidades adscritas al sector minero-energético operan con sistemas y procesos aislados, sin una arquitectura empresarial definida que guíe la integración tecnológica y la alineación estratégica.</w:t>
            </w:r>
          </w:p>
        </w:tc>
        <w:tc>
          <w:tcPr>
            <w:tcW w:w="1795" w:type="dxa"/>
            <w:noWrap/>
            <w:vAlign w:val="center"/>
            <w:hideMark/>
          </w:tcPr>
          <w:p w:rsidRPr="00DA4823" w:rsidR="005E3BD6" w:rsidP="00B4771C" w:rsidRDefault="005E3BD6" w14:paraId="563A921F" w14:textId="77777777">
            <w:pPr>
              <w:spacing w:before="240" w:after="240"/>
              <w:jc w:val="center"/>
              <w:rPr>
                <w:rFonts w:ascii="Nunito Sans" w:hAnsi="Nunito Sans" w:eastAsia="Arial" w:cs="Calibri"/>
                <w:sz w:val="18"/>
                <w:szCs w:val="18"/>
              </w:rPr>
            </w:pPr>
            <w:r w:rsidRPr="00DA4823">
              <w:rPr>
                <w:rFonts w:ascii="Nunito Sans" w:hAnsi="Nunito Sans" w:eastAsia="Arial" w:cs="Calibri"/>
                <w:sz w:val="18"/>
                <w:szCs w:val="18"/>
              </w:rPr>
              <w:t>Contar con una arquitectura empresarial sectorial estandarizada, que articule procesos, datos, aplicaciones y tecnología, permitiendo interoperabilidad plena, eficiencia operativa y coherencia en la transformación digital</w:t>
            </w:r>
          </w:p>
        </w:tc>
        <w:tc>
          <w:tcPr>
            <w:tcW w:w="1925" w:type="dxa"/>
            <w:noWrap/>
            <w:vAlign w:val="center"/>
            <w:hideMark/>
          </w:tcPr>
          <w:p w:rsidRPr="00DA4823" w:rsidR="005E3BD6" w:rsidP="00B4771C" w:rsidRDefault="005E3BD6" w14:paraId="2004831C" w14:textId="77777777">
            <w:pPr>
              <w:jc w:val="center"/>
              <w:rPr>
                <w:rFonts w:ascii="Nunito Sans" w:hAnsi="Nunito Sans" w:eastAsia="Arial" w:cs="Calibri"/>
                <w:sz w:val="18"/>
                <w:szCs w:val="18"/>
              </w:rPr>
            </w:pPr>
            <w:r w:rsidRPr="00DA4823">
              <w:rPr>
                <w:rFonts w:ascii="Nunito Sans" w:hAnsi="Nunito Sans" w:eastAsia="Arial" w:cs="Calibri"/>
                <w:sz w:val="18"/>
                <w:szCs w:val="18"/>
              </w:rPr>
              <w:t>Ausencia de arquitecturas empresariales en las entidades adscritas, lo que genera fragmentación tecnológica, duplicidad de esfuerzos y dificultades para consolidar información y servicios. Esto limita la capacidad de ofrecer soluciones digitales integradas y sostenibles.</w:t>
            </w:r>
          </w:p>
        </w:tc>
        <w:tc>
          <w:tcPr>
            <w:tcW w:w="2437" w:type="dxa"/>
            <w:noWrap/>
            <w:vAlign w:val="center"/>
            <w:hideMark/>
          </w:tcPr>
          <w:p w:rsidRPr="00DA4823" w:rsidR="005E3BD6" w:rsidP="00B4771C" w:rsidRDefault="005E3BD6" w14:paraId="68268676" w14:textId="77777777">
            <w:pPr>
              <w:jc w:val="center"/>
              <w:rPr>
                <w:rFonts w:ascii="Nunito Sans" w:hAnsi="Nunito Sans" w:eastAsia="Arial" w:cs="Calibri"/>
                <w:sz w:val="18"/>
                <w:szCs w:val="18"/>
              </w:rPr>
            </w:pPr>
            <w:r w:rsidRPr="00DA4823">
              <w:rPr>
                <w:rFonts w:ascii="Nunito Sans" w:hAnsi="Nunito Sans" w:eastAsia="Arial" w:cs="Calibri"/>
                <w:sz w:val="18"/>
                <w:szCs w:val="18"/>
              </w:rPr>
              <w:t>Diseñar e implementar un marco de arquitectura empresarial sectorial, acompañado de lineamientos comunes y un modelo de referencia, que oriente a todas las entidades en la integración de sus sistemas y procesos, garantizando interoperabilidad, eficiencia y alineación con los objetivos estratégicos del sector</w:t>
            </w:r>
          </w:p>
        </w:tc>
      </w:tr>
    </w:tbl>
    <w:p w:rsidRPr="00EF5DE4" w:rsidR="005E3BD6" w:rsidP="005E3BD6" w:rsidRDefault="005E3BD6" w14:paraId="31F528E3"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252E6568" w14:textId="77777777">
      <w:pPr>
        <w:jc w:val="both"/>
        <w:rPr>
          <w:rFonts w:ascii="Nunito Sans" w:hAnsi="Nunito Sans" w:cs="Calibri"/>
          <w:sz w:val="22"/>
          <w:szCs w:val="22"/>
        </w:rPr>
      </w:pPr>
    </w:p>
    <w:p w:rsidRPr="00F7273C" w:rsidR="00DF354F" w:rsidRDefault="005E3BD6" w14:paraId="6BF07404" w14:textId="4113BC6E">
      <w:pPr>
        <w:pStyle w:val="Ttulo2"/>
        <w:numPr>
          <w:ilvl w:val="1"/>
          <w:numId w:val="22"/>
        </w:numPr>
      </w:pPr>
      <w:bookmarkStart w:name="_Toc220362618" w:id="465"/>
      <w:bookmarkStart w:name="_Toc420054891" w:id="466"/>
      <w:bookmarkStart w:name="_Toc234234520" w:id="467"/>
      <w:bookmarkEnd w:id="465"/>
      <w:r w:rsidRPr="0E79E4E6">
        <w:t>Identificación y análisis de brechas Arquitectura de Datos e Información</w:t>
      </w:r>
      <w:bookmarkEnd w:id="466"/>
      <w:bookmarkEnd w:id="467"/>
    </w:p>
    <w:p w:rsidRPr="00EB43A6" w:rsidR="005E3BD6" w:rsidP="005E3BD6" w:rsidRDefault="006A116D" w14:paraId="77AF7F6D" w14:textId="3AE24622">
      <w:pPr>
        <w:ind w:left="360" w:hanging="360"/>
        <w:jc w:val="center"/>
        <w:rPr>
          <w:rFonts w:ascii="Nunito Sans" w:hAnsi="Nunito Sans" w:cs="Calibri"/>
          <w:b/>
          <w:bCs/>
          <w:sz w:val="18"/>
          <w:szCs w:val="18"/>
        </w:rPr>
      </w:pPr>
      <w:bookmarkStart w:name="_Toc220664229" w:id="468"/>
      <w:r w:rsidRPr="006A116D">
        <w:rPr>
          <w:rFonts w:ascii="Nunito Sans" w:hAnsi="Nunito Sans" w:cs="Calibri"/>
          <w:b/>
          <w:bCs/>
          <w:sz w:val="18"/>
          <w:szCs w:val="18"/>
        </w:rPr>
        <w:t xml:space="preserve">Tabla </w:t>
      </w:r>
      <w:r w:rsidRPr="006A116D">
        <w:rPr>
          <w:rFonts w:ascii="Nunito Sans" w:hAnsi="Nunito Sans" w:cs="Calibri"/>
          <w:b/>
          <w:bCs/>
          <w:sz w:val="18"/>
          <w:szCs w:val="18"/>
        </w:rPr>
        <w:fldChar w:fldCharType="begin"/>
      </w:r>
      <w:r w:rsidRPr="006A116D">
        <w:rPr>
          <w:rFonts w:ascii="Nunito Sans" w:hAnsi="Nunito Sans" w:cs="Calibri"/>
          <w:b/>
          <w:bCs/>
          <w:sz w:val="18"/>
          <w:szCs w:val="18"/>
        </w:rPr>
        <w:instrText xml:space="preserve"> SEQ Tabla \* ARABIC </w:instrText>
      </w:r>
      <w:r w:rsidRPr="006A116D">
        <w:rPr>
          <w:rFonts w:ascii="Nunito Sans" w:hAnsi="Nunito Sans" w:cs="Calibri"/>
          <w:b/>
          <w:bCs/>
          <w:sz w:val="18"/>
          <w:szCs w:val="18"/>
        </w:rPr>
        <w:fldChar w:fldCharType="separate"/>
      </w:r>
      <w:r w:rsidR="00C57F7B">
        <w:rPr>
          <w:rFonts w:ascii="Nunito Sans" w:hAnsi="Nunito Sans" w:cs="Calibri"/>
          <w:b/>
          <w:bCs/>
          <w:noProof/>
          <w:sz w:val="18"/>
          <w:szCs w:val="18"/>
        </w:rPr>
        <w:t>58</w:t>
      </w:r>
      <w:r w:rsidRPr="006A116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Brechas de Arquitectura de Datos e Información</w:t>
      </w:r>
      <w:bookmarkEnd w:id="468"/>
      <w:r w:rsidR="005E3BD6">
        <w:rPr>
          <w:rFonts w:ascii="Nunito Sans" w:hAnsi="Nunito Sans" w:cs="Calibri"/>
          <w:b/>
          <w:bCs/>
          <w:sz w:val="18"/>
          <w:szCs w:val="18"/>
        </w:rPr>
        <w:t xml:space="preserve"> </w:t>
      </w:r>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425"/>
        <w:gridCol w:w="709"/>
        <w:gridCol w:w="1984"/>
        <w:gridCol w:w="1843"/>
        <w:gridCol w:w="1843"/>
        <w:gridCol w:w="2410"/>
      </w:tblGrid>
      <w:tr w:rsidRPr="00DA4823" w:rsidR="005E3BD6" w:rsidTr="00D576EC" w14:paraId="3040EA05" w14:textId="77777777">
        <w:trPr>
          <w:cantSplit/>
          <w:trHeight w:val="1417"/>
          <w:tblHeader/>
        </w:trPr>
        <w:tc>
          <w:tcPr>
            <w:tcW w:w="42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noWrap/>
            <w:vAlign w:val="center"/>
            <w:hideMark/>
          </w:tcPr>
          <w:p w:rsidRPr="00DA4823" w:rsidR="005E3BD6" w:rsidP="00D576EC" w:rsidRDefault="00D576EC" w14:paraId="22B868C4" w14:textId="549ED617">
            <w:pPr>
              <w:ind w:left="-385"/>
              <w:jc w:val="center"/>
              <w:rPr>
                <w:rFonts w:ascii="Nunito Sans" w:hAnsi="Nunito Sans" w:cs="Calibri"/>
                <w:b/>
                <w:bCs/>
                <w:color w:val="FFFFFF" w:themeColor="background1"/>
                <w:sz w:val="18"/>
                <w:szCs w:val="18"/>
              </w:rPr>
            </w:pPr>
            <w:r>
              <w:rPr>
                <w:rFonts w:ascii="Nunito Sans" w:hAnsi="Nunito Sans" w:cs="Calibri"/>
                <w:b/>
                <w:bCs/>
                <w:color w:val="FFFFFF" w:themeColor="background1"/>
                <w:sz w:val="18"/>
                <w:szCs w:val="18"/>
              </w:rPr>
              <w:t xml:space="preserve">|     </w:t>
            </w:r>
            <w:r w:rsidRPr="00DA4823" w:rsidR="005E3BD6">
              <w:rPr>
                <w:rFonts w:ascii="Nunito Sans" w:hAnsi="Nunito Sans" w:cs="Calibri"/>
                <w:b/>
                <w:bCs/>
                <w:color w:val="FFFFFF" w:themeColor="background1"/>
                <w:sz w:val="18"/>
                <w:szCs w:val="18"/>
              </w:rPr>
              <w:t>ID</w:t>
            </w:r>
          </w:p>
        </w:tc>
        <w:tc>
          <w:tcPr>
            <w:tcW w:w="70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DA4823" w:rsidR="005E3BD6" w:rsidP="008F7DA2" w:rsidRDefault="006774EC" w14:paraId="3CF41A1A" w14:textId="0D3BFB96">
            <w:pPr>
              <w:ind w:left="113" w:right="113"/>
              <w:jc w:val="center"/>
              <w:rPr>
                <w:rFonts w:ascii="Nunito Sans" w:hAnsi="Nunito Sans" w:cs="Calibri"/>
                <w:b/>
                <w:bCs/>
                <w:color w:val="FFFFFF" w:themeColor="background1"/>
                <w:sz w:val="18"/>
                <w:szCs w:val="18"/>
              </w:rPr>
            </w:pPr>
            <w:r w:rsidRPr="006774EC">
              <w:rPr>
                <w:rFonts w:ascii="Nunito Sans" w:hAnsi="Nunito Sans" w:cs="Calibri"/>
                <w:b/>
                <w:bCs/>
                <w:color w:val="FFFFFF" w:themeColor="background1"/>
                <w:sz w:val="18"/>
                <w:szCs w:val="18"/>
              </w:rPr>
              <w:t>DOMINIO / LÍNEA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8F7DA2" w:rsidRDefault="005E3BD6" w14:paraId="7B9A1E19" w14:textId="77777777">
            <w:pPr>
              <w:jc w:val="center"/>
              <w:rPr>
                <w:rFonts w:ascii="Nunito Sans" w:hAnsi="Nunito Sans" w:cs="Calibri"/>
                <w:b/>
                <w:bCs/>
                <w:color w:val="FFFFFF" w:themeColor="background1"/>
                <w:sz w:val="18"/>
                <w:szCs w:val="18"/>
              </w:rPr>
            </w:pPr>
            <w:r w:rsidRPr="00DA4823">
              <w:rPr>
                <w:rFonts w:ascii="Nunito Sans" w:hAnsi="Nunito Sans" w:cs="Calibri"/>
                <w:b/>
                <w:bCs/>
                <w:color w:val="FFFFFF" w:themeColor="background1"/>
                <w:sz w:val="18"/>
                <w:szCs w:val="18"/>
              </w:rPr>
              <w:t>ESTADO AS-IS</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8F7DA2" w:rsidRDefault="005E3BD6" w14:paraId="6281B04C" w14:textId="77777777">
            <w:pPr>
              <w:jc w:val="center"/>
              <w:rPr>
                <w:rFonts w:ascii="Nunito Sans" w:hAnsi="Nunito Sans" w:cs="Calibri"/>
                <w:b/>
                <w:bCs/>
                <w:color w:val="FFFFFF" w:themeColor="background1"/>
                <w:sz w:val="18"/>
                <w:szCs w:val="18"/>
              </w:rPr>
            </w:pPr>
            <w:r w:rsidRPr="00DA4823">
              <w:rPr>
                <w:rFonts w:ascii="Nunito Sans" w:hAnsi="Nunito Sans" w:cs="Calibri"/>
                <w:b/>
                <w:bCs/>
                <w:color w:val="FFFFFF" w:themeColor="background1"/>
                <w:sz w:val="18"/>
                <w:szCs w:val="18"/>
              </w:rPr>
              <w:t>ESTADO</w:t>
            </w:r>
          </w:p>
          <w:p w:rsidRPr="00DA4823" w:rsidR="005E3BD6" w:rsidP="008F7DA2" w:rsidRDefault="005E3BD6" w14:paraId="24554055" w14:textId="77777777">
            <w:pPr>
              <w:jc w:val="center"/>
              <w:rPr>
                <w:rFonts w:ascii="Nunito Sans" w:hAnsi="Nunito Sans" w:cs="Calibri"/>
                <w:b/>
                <w:bCs/>
                <w:color w:val="FFFFFF" w:themeColor="background1"/>
                <w:sz w:val="18"/>
                <w:szCs w:val="18"/>
              </w:rPr>
            </w:pPr>
            <w:r w:rsidRPr="00DA4823">
              <w:rPr>
                <w:rFonts w:ascii="Nunito Sans" w:hAnsi="Nunito Sans" w:cs="Calibri"/>
                <w:b/>
                <w:bCs/>
                <w:color w:val="FFFFFF" w:themeColor="background1"/>
                <w:sz w:val="18"/>
                <w:szCs w:val="18"/>
              </w:rPr>
              <w:t>TO-BE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8F7DA2" w:rsidRDefault="005E3BD6" w14:paraId="7591C5DB" w14:textId="77777777">
            <w:pPr>
              <w:jc w:val="center"/>
              <w:rPr>
                <w:rFonts w:ascii="Nunito Sans" w:hAnsi="Nunito Sans" w:cs="Calibri"/>
                <w:b/>
                <w:bCs/>
                <w:color w:val="FFFFFF" w:themeColor="background1"/>
                <w:sz w:val="18"/>
                <w:szCs w:val="18"/>
              </w:rPr>
            </w:pPr>
            <w:r w:rsidRPr="00DA4823">
              <w:rPr>
                <w:rFonts w:ascii="Nunito Sans" w:hAnsi="Nunito Sans" w:cs="Calibri"/>
                <w:b/>
                <w:bCs/>
                <w:color w:val="FFFFFF" w:themeColor="background1"/>
                <w:sz w:val="18"/>
                <w:szCs w:val="18"/>
              </w:rPr>
              <w:t>DESCRIPCIÓN DE LA BRECHA</w:t>
            </w:r>
          </w:p>
        </w:tc>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8F7DA2" w:rsidRDefault="005E3BD6" w14:paraId="74605F9C" w14:textId="77777777">
            <w:pPr>
              <w:jc w:val="center"/>
              <w:rPr>
                <w:rFonts w:ascii="Nunito Sans" w:hAnsi="Nunito Sans" w:cs="Calibri"/>
                <w:b/>
                <w:bCs/>
                <w:color w:val="FFFFFF" w:themeColor="background1"/>
                <w:sz w:val="18"/>
                <w:szCs w:val="18"/>
              </w:rPr>
            </w:pPr>
            <w:r w:rsidRPr="00DA4823">
              <w:rPr>
                <w:rFonts w:ascii="Nunito Sans" w:hAnsi="Nunito Sans" w:cs="Calibri"/>
                <w:b/>
                <w:bCs/>
                <w:color w:val="FFFFFF" w:themeColor="background1"/>
                <w:sz w:val="18"/>
                <w:szCs w:val="18"/>
              </w:rPr>
              <w:t>ACCIÓN PROPUESTA</w:t>
            </w:r>
          </w:p>
        </w:tc>
      </w:tr>
      <w:tr w:rsidRPr="00DA4823" w:rsidR="005E3BD6" w:rsidTr="00D576EC" w14:paraId="2BAF22A2" w14:textId="77777777">
        <w:trPr>
          <w:cantSplit/>
          <w:trHeight w:val="1134"/>
        </w:trPr>
        <w:tc>
          <w:tcPr>
            <w:tcW w:w="425" w:type="dxa"/>
            <w:tcBorders>
              <w:top w:val="single" w:color="FFFFFF" w:themeColor="background1" w:sz="4" w:space="0"/>
            </w:tcBorders>
            <w:noWrap/>
            <w:textDirection w:val="btLr"/>
            <w:vAlign w:val="center"/>
            <w:hideMark/>
          </w:tcPr>
          <w:p w:rsidRPr="00DA4823" w:rsidR="005E3BD6" w:rsidP="00B4771C" w:rsidRDefault="005E3BD6" w14:paraId="455E8F84"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DAT_01</w:t>
            </w:r>
          </w:p>
        </w:tc>
        <w:tc>
          <w:tcPr>
            <w:tcW w:w="709" w:type="dxa"/>
            <w:tcBorders>
              <w:top w:val="single" w:color="FFFFFF" w:themeColor="background1" w:sz="4" w:space="0"/>
            </w:tcBorders>
            <w:noWrap/>
            <w:textDirection w:val="btLr"/>
            <w:vAlign w:val="center"/>
            <w:hideMark/>
          </w:tcPr>
          <w:p w:rsidRPr="00DA4823" w:rsidR="005E3BD6" w:rsidP="00B4771C" w:rsidRDefault="005E3BD6" w14:paraId="57B4A2A7"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sz w:val="18"/>
                <w:szCs w:val="18"/>
              </w:rPr>
              <w:t>Gobernanza de Datos</w:t>
            </w:r>
          </w:p>
        </w:tc>
        <w:tc>
          <w:tcPr>
            <w:tcW w:w="1984" w:type="dxa"/>
            <w:tcBorders>
              <w:top w:val="single" w:color="FFFFFF" w:themeColor="background1" w:sz="4" w:space="0"/>
            </w:tcBorders>
            <w:noWrap/>
            <w:vAlign w:val="center"/>
            <w:hideMark/>
          </w:tcPr>
          <w:p w:rsidRPr="00DA4823" w:rsidR="005E3BD6" w:rsidP="00B4771C" w:rsidRDefault="005E3BD6" w14:paraId="47D0C97E"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Madurez sectorial baja–media, ausencia de políticas consolidadas, implementación desigual entre entidades, falta de roles formales y mecanismos de seguimiento, ausencia de un modelo sectorial unificado.</w:t>
            </w:r>
          </w:p>
        </w:tc>
        <w:tc>
          <w:tcPr>
            <w:tcW w:w="1843" w:type="dxa"/>
            <w:tcBorders>
              <w:top w:val="single" w:color="FFFFFF" w:themeColor="background1" w:sz="4" w:space="0"/>
            </w:tcBorders>
            <w:noWrap/>
            <w:vAlign w:val="center"/>
            <w:hideMark/>
          </w:tcPr>
          <w:p w:rsidRPr="00DA4823" w:rsidR="005E3BD6" w:rsidP="00B4771C" w:rsidRDefault="005E3BD6" w14:paraId="2FCEC509"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Gobernanza federada, Comité sectorial de datos, roles CDO, CIO, CISO; procesos, estándares y métricas unificados, cumplimiento de estándares nacionales.</w:t>
            </w:r>
          </w:p>
        </w:tc>
        <w:tc>
          <w:tcPr>
            <w:tcW w:w="1843" w:type="dxa"/>
            <w:tcBorders>
              <w:top w:val="single" w:color="FFFFFF" w:themeColor="background1" w:sz="4" w:space="0"/>
            </w:tcBorders>
            <w:noWrap/>
            <w:vAlign w:val="center"/>
            <w:hideMark/>
          </w:tcPr>
          <w:p w:rsidRPr="00DA4823" w:rsidR="005E3BD6" w:rsidP="00B4771C" w:rsidRDefault="005E3BD6" w14:paraId="2A69B114"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Falta de estructura de gobernanza formal, roles y políticas unificadas, gestión desigual entre entidades.</w:t>
            </w:r>
          </w:p>
        </w:tc>
        <w:tc>
          <w:tcPr>
            <w:tcW w:w="2410" w:type="dxa"/>
            <w:tcBorders>
              <w:top w:val="single" w:color="FFFFFF" w:themeColor="background1" w:sz="4" w:space="0"/>
            </w:tcBorders>
            <w:noWrap/>
            <w:vAlign w:val="center"/>
            <w:hideMark/>
          </w:tcPr>
          <w:p w:rsidRPr="00DA4823" w:rsidR="005E3BD6" w:rsidP="00B4771C" w:rsidRDefault="005E3BD6" w14:paraId="33BB18B2"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Crear e implementar el Comité Sectorial de Gobierno de Datos, definir roles, lineamientos, métricas e institucionalizar procesos de gobernanza.</w:t>
            </w:r>
          </w:p>
        </w:tc>
      </w:tr>
      <w:tr w:rsidRPr="00DA4823" w:rsidR="005E3BD6" w:rsidTr="003145E7" w14:paraId="643FFD3D" w14:textId="77777777">
        <w:trPr>
          <w:cantSplit/>
          <w:trHeight w:val="1134"/>
        </w:trPr>
        <w:tc>
          <w:tcPr>
            <w:tcW w:w="425" w:type="dxa"/>
            <w:noWrap/>
            <w:textDirection w:val="btLr"/>
            <w:vAlign w:val="center"/>
            <w:hideMark/>
          </w:tcPr>
          <w:p w:rsidRPr="00DA4823" w:rsidR="005E3BD6" w:rsidP="00B4771C" w:rsidRDefault="005E3BD6" w14:paraId="78D05CA4"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lastRenderedPageBreak/>
              <w:t>DAT_02</w:t>
            </w:r>
          </w:p>
        </w:tc>
        <w:tc>
          <w:tcPr>
            <w:tcW w:w="709" w:type="dxa"/>
            <w:noWrap/>
            <w:textDirection w:val="btLr"/>
            <w:vAlign w:val="center"/>
            <w:hideMark/>
          </w:tcPr>
          <w:p w:rsidRPr="00DA4823" w:rsidR="005E3BD6" w:rsidP="00B4771C" w:rsidRDefault="005E3BD6" w14:paraId="6C7EFDD4"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Datos Maestros y de Referencia</w:t>
            </w:r>
          </w:p>
        </w:tc>
        <w:tc>
          <w:tcPr>
            <w:tcW w:w="1984" w:type="dxa"/>
            <w:noWrap/>
            <w:vAlign w:val="center"/>
            <w:hideMark/>
          </w:tcPr>
          <w:p w:rsidRPr="00DA4823" w:rsidR="005E3BD6" w:rsidP="00B4771C" w:rsidRDefault="005E3BD6" w14:paraId="5EDCB0C4" w14:textId="77777777">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Fragmentación</w:t>
            </w:r>
            <w:r w:rsidRPr="00DA4823">
              <w:rPr>
                <w:rFonts w:ascii="Nunito Sans" w:hAnsi="Nunito Sans" w:eastAsia="Arial" w:cs="Calibri"/>
                <w:color w:val="0D0D0D" w:themeColor="text1" w:themeTint="F2"/>
                <w:sz w:val="18"/>
                <w:szCs w:val="18"/>
              </w:rPr>
              <w:t xml:space="preserve"> Inventario sectorial unificado de dominios maestros; Catálogo de Componentes de Información actualizado y gobernado; reglas de calidad, definiciones, estructuras y responsables definidos,</w:t>
            </w:r>
            <w:r w:rsidRPr="00DA4823">
              <w:rPr>
                <w:rFonts w:ascii="Nunito Sans" w:hAnsi="Nunito Sans" w:eastAsia="Arial" w:cs="Calibri"/>
                <w:color w:val="000000" w:themeColor="text1"/>
                <w:sz w:val="18"/>
                <w:szCs w:val="18"/>
              </w:rPr>
              <w:t xml:space="preserve"> inexistencia de un inventario sectorial; definiciones no homologadas; duplicidad y baja calidad; variaciones entre entidades en metodologías y catálogos</w:t>
            </w:r>
          </w:p>
        </w:tc>
        <w:tc>
          <w:tcPr>
            <w:tcW w:w="1843" w:type="dxa"/>
            <w:noWrap/>
            <w:vAlign w:val="center"/>
            <w:hideMark/>
          </w:tcPr>
          <w:p w:rsidRPr="00DA4823" w:rsidR="005E3BD6" w:rsidP="00B4771C" w:rsidRDefault="005E3BD6" w14:paraId="537627B1" w14:textId="77777777">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Inventario sectorial unificado de dominios maestros; Catálogo de Componentes de Información actualizado y gobernado; reglas de calidad, definiciones, estructuras y responsables definidos.</w:t>
            </w:r>
          </w:p>
        </w:tc>
        <w:tc>
          <w:tcPr>
            <w:tcW w:w="1843" w:type="dxa"/>
            <w:noWrap/>
            <w:vAlign w:val="center"/>
            <w:hideMark/>
          </w:tcPr>
          <w:p w:rsidRPr="00DA4823" w:rsidR="005E3BD6" w:rsidP="00B4771C" w:rsidRDefault="005E3BD6" w14:paraId="76DD9EFE" w14:textId="77777777">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Inexistencia de un catálogo sectorial, diferencias semánticas y duplicidades.</w:t>
            </w:r>
          </w:p>
        </w:tc>
        <w:tc>
          <w:tcPr>
            <w:tcW w:w="2410" w:type="dxa"/>
            <w:noWrap/>
            <w:vAlign w:val="center"/>
            <w:hideMark/>
          </w:tcPr>
          <w:p w:rsidRPr="00DA4823" w:rsidR="005E3BD6" w:rsidP="003145E7" w:rsidRDefault="005E3BD6" w14:paraId="2F29737B" w14:textId="77777777">
            <w:pPr>
              <w:ind w:right="-70"/>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Construir el Inventario Sectorial de Datos Maestros, estandarizar definiciones y mantener actualizado el Catálogo de Componentes de Información.</w:t>
            </w:r>
          </w:p>
        </w:tc>
      </w:tr>
      <w:tr w:rsidRPr="00DA4823" w:rsidR="005E3BD6" w:rsidTr="00D576EC" w14:paraId="6E789106" w14:textId="77777777">
        <w:trPr>
          <w:cantSplit/>
          <w:trHeight w:val="1134"/>
        </w:trPr>
        <w:tc>
          <w:tcPr>
            <w:tcW w:w="425" w:type="dxa"/>
            <w:noWrap/>
            <w:textDirection w:val="btLr"/>
            <w:vAlign w:val="center"/>
            <w:hideMark/>
          </w:tcPr>
          <w:p w:rsidRPr="00DA4823" w:rsidR="005E3BD6" w:rsidP="00B4771C" w:rsidRDefault="005E3BD6" w14:paraId="05E2F8E9"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DAT_03</w:t>
            </w:r>
          </w:p>
        </w:tc>
        <w:tc>
          <w:tcPr>
            <w:tcW w:w="709" w:type="dxa"/>
            <w:noWrap/>
            <w:textDirection w:val="btLr"/>
            <w:vAlign w:val="center"/>
            <w:hideMark/>
          </w:tcPr>
          <w:p w:rsidRPr="00DA4823" w:rsidR="005E3BD6" w:rsidP="00B4771C" w:rsidRDefault="005E3BD6" w14:paraId="6F73BDC3"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Interoperabilidad</w:t>
            </w:r>
          </w:p>
        </w:tc>
        <w:tc>
          <w:tcPr>
            <w:tcW w:w="1984" w:type="dxa"/>
            <w:noWrap/>
            <w:vAlign w:val="center"/>
            <w:hideMark/>
          </w:tcPr>
          <w:p w:rsidRPr="00DA4823" w:rsidR="005E3BD6" w:rsidP="00B4771C" w:rsidRDefault="005E3BD6" w14:paraId="4643C7BE" w14:textId="77777777">
            <w:pPr>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Madurez baja; sistemas aislados; ausencia de estándares comunes; dificultades para el intercambio de datos y poca automatización.</w:t>
            </w:r>
          </w:p>
          <w:p w:rsidRPr="00DA4823" w:rsidR="005E3BD6" w:rsidP="00B4771C" w:rsidRDefault="005E3BD6" w14:paraId="31529F10" w14:textId="77777777">
            <w:pPr>
              <w:jc w:val="center"/>
              <w:rPr>
                <w:rFonts w:ascii="Nunito Sans" w:hAnsi="Nunito Sans" w:eastAsia="Arial" w:cs="Calibri"/>
                <w:color w:val="000000"/>
                <w:sz w:val="18"/>
                <w:szCs w:val="18"/>
              </w:rPr>
            </w:pPr>
          </w:p>
        </w:tc>
        <w:tc>
          <w:tcPr>
            <w:tcW w:w="1843" w:type="dxa"/>
            <w:noWrap/>
            <w:vAlign w:val="center"/>
            <w:hideMark/>
          </w:tcPr>
          <w:p w:rsidRPr="00DA4823" w:rsidR="005E3BD6" w:rsidP="00B4771C" w:rsidRDefault="005E3BD6" w14:paraId="49ACF6E3"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Interoperabilidad técnica y semántica basada en estándares; intercambio mediante APIs, servicios web, y catálogos sectoriales; trazabilidad del flujo de datos.</w:t>
            </w:r>
          </w:p>
        </w:tc>
        <w:tc>
          <w:tcPr>
            <w:tcW w:w="1843" w:type="dxa"/>
            <w:noWrap/>
            <w:vAlign w:val="center"/>
            <w:hideMark/>
          </w:tcPr>
          <w:p w:rsidRPr="00DA4823" w:rsidR="005E3BD6" w:rsidP="00B4771C" w:rsidRDefault="005E3BD6" w14:paraId="0B8846A6"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Fragmentación tecnológica y semántica, ausencia de mecanismos de intercambio sectorial.</w:t>
            </w:r>
          </w:p>
        </w:tc>
        <w:tc>
          <w:tcPr>
            <w:tcW w:w="2410" w:type="dxa"/>
            <w:noWrap/>
            <w:vAlign w:val="center"/>
            <w:hideMark/>
          </w:tcPr>
          <w:p w:rsidRPr="00DA4823" w:rsidR="005E3BD6" w:rsidP="00B4771C" w:rsidRDefault="005E3BD6" w14:paraId="060AFC2A"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Implementar un Marco Sectorial de Interoperabilidad, con APIs comunes, estándares y mecanismos de integración entre entidades.</w:t>
            </w:r>
          </w:p>
        </w:tc>
      </w:tr>
      <w:tr w:rsidRPr="00DA4823" w:rsidR="005E3BD6" w:rsidTr="00D576EC" w14:paraId="1E2E1A99" w14:textId="77777777">
        <w:trPr>
          <w:cantSplit/>
          <w:trHeight w:val="1134"/>
        </w:trPr>
        <w:tc>
          <w:tcPr>
            <w:tcW w:w="425" w:type="dxa"/>
            <w:noWrap/>
            <w:textDirection w:val="btLr"/>
            <w:vAlign w:val="center"/>
            <w:hideMark/>
          </w:tcPr>
          <w:p w:rsidRPr="00DA4823" w:rsidR="005E3BD6" w:rsidP="00B4771C" w:rsidRDefault="005E3BD6" w14:paraId="2260951C"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DAT_04</w:t>
            </w:r>
          </w:p>
        </w:tc>
        <w:tc>
          <w:tcPr>
            <w:tcW w:w="709" w:type="dxa"/>
            <w:noWrap/>
            <w:textDirection w:val="btLr"/>
            <w:vAlign w:val="center"/>
            <w:hideMark/>
          </w:tcPr>
          <w:p w:rsidRPr="00DA4823" w:rsidR="005E3BD6" w:rsidP="00B4771C" w:rsidRDefault="005E3BD6" w14:paraId="6E450572"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Datos Estadísticos</w:t>
            </w:r>
          </w:p>
        </w:tc>
        <w:tc>
          <w:tcPr>
            <w:tcW w:w="1984" w:type="dxa"/>
            <w:noWrap/>
            <w:vAlign w:val="center"/>
            <w:hideMark/>
          </w:tcPr>
          <w:p w:rsidRPr="00DA4823" w:rsidR="005E3BD6" w:rsidP="00B4771C" w:rsidRDefault="005E3BD6" w14:paraId="68EEE20B" w14:textId="77777777">
            <w:pPr>
              <w:jc w:val="center"/>
              <w:rPr>
                <w:rFonts w:ascii="Nunito Sans" w:hAnsi="Nunito Sans" w:eastAsia="Arial" w:cs="Calibri"/>
                <w:sz w:val="18"/>
                <w:szCs w:val="18"/>
              </w:rPr>
            </w:pPr>
            <w:r w:rsidRPr="00DA4823">
              <w:rPr>
                <w:rFonts w:ascii="Nunito Sans" w:hAnsi="Nunito Sans" w:eastAsia="Arial" w:cs="Calibri"/>
                <w:sz w:val="18"/>
                <w:szCs w:val="18"/>
              </w:rPr>
              <w:t>Producción estadística inconsistente, ausencia de articulación con el SEN, poca estandarización; documentación débil; subutilización de registros administrativos.</w:t>
            </w:r>
          </w:p>
          <w:p w:rsidRPr="00DA4823" w:rsidR="005E3BD6" w:rsidP="00B4771C" w:rsidRDefault="005E3BD6" w14:paraId="2F62B51C" w14:textId="77777777">
            <w:pPr>
              <w:jc w:val="center"/>
              <w:rPr>
                <w:rFonts w:ascii="Nunito Sans" w:hAnsi="Nunito Sans" w:eastAsia="Arial" w:cs="Calibri"/>
                <w:color w:val="000000" w:themeColor="text1"/>
                <w:sz w:val="18"/>
                <w:szCs w:val="18"/>
              </w:rPr>
            </w:pPr>
          </w:p>
        </w:tc>
        <w:tc>
          <w:tcPr>
            <w:tcW w:w="1843" w:type="dxa"/>
            <w:noWrap/>
            <w:vAlign w:val="center"/>
            <w:hideMark/>
          </w:tcPr>
          <w:p w:rsidRPr="00DA4823" w:rsidR="005E3BD6" w:rsidP="00B4771C" w:rsidRDefault="005E3BD6" w14:paraId="78CAC956" w14:textId="77777777">
            <w:pPr>
              <w:jc w:val="center"/>
              <w:rPr>
                <w:rFonts w:ascii="Nunito Sans" w:hAnsi="Nunito Sans" w:eastAsia="Arial" w:cs="Calibri"/>
                <w:sz w:val="18"/>
                <w:szCs w:val="18"/>
              </w:rPr>
            </w:pPr>
            <w:r w:rsidRPr="00DA4823">
              <w:rPr>
                <w:rFonts w:ascii="Nunito Sans" w:hAnsi="Nunito Sans" w:eastAsia="Arial" w:cs="Calibri"/>
                <w:sz w:val="18"/>
                <w:szCs w:val="18"/>
              </w:rPr>
              <w:t>Sistema Estadístico Sectorial, Catálogo Estadístico Sectorial, adopción del Código de Buenas Prácticas, Proceso Estadístico del SEN y NTCE-01; integración de registros administrativos.</w:t>
            </w:r>
          </w:p>
        </w:tc>
        <w:tc>
          <w:tcPr>
            <w:tcW w:w="1843" w:type="dxa"/>
            <w:noWrap/>
            <w:vAlign w:val="center"/>
            <w:hideMark/>
          </w:tcPr>
          <w:p w:rsidRPr="00DA4823" w:rsidR="005E3BD6" w:rsidP="00B4771C" w:rsidRDefault="005E3BD6" w14:paraId="169AE41A" w14:textId="77777777">
            <w:pPr>
              <w:jc w:val="center"/>
              <w:rPr>
                <w:rFonts w:ascii="Nunito Sans" w:hAnsi="Nunito Sans" w:eastAsia="Arial" w:cs="Calibri"/>
                <w:sz w:val="18"/>
                <w:szCs w:val="18"/>
              </w:rPr>
            </w:pPr>
            <w:r w:rsidRPr="00DA4823">
              <w:rPr>
                <w:rFonts w:ascii="Nunito Sans" w:hAnsi="Nunito Sans" w:eastAsia="Arial" w:cs="Calibri"/>
                <w:sz w:val="18"/>
                <w:szCs w:val="18"/>
              </w:rPr>
              <w:t>Falta de estandarización, documentación y alineación con SEN.</w:t>
            </w:r>
          </w:p>
        </w:tc>
        <w:tc>
          <w:tcPr>
            <w:tcW w:w="2410" w:type="dxa"/>
            <w:noWrap/>
            <w:vAlign w:val="center"/>
            <w:hideMark/>
          </w:tcPr>
          <w:p w:rsidRPr="00DA4823" w:rsidR="005E3BD6" w:rsidP="00B4771C" w:rsidRDefault="005E3BD6" w14:paraId="4F2D76A9" w14:textId="77777777">
            <w:pPr>
              <w:jc w:val="center"/>
              <w:rPr>
                <w:rFonts w:ascii="Nunito Sans" w:hAnsi="Nunito Sans" w:eastAsia="Arial" w:cs="Calibri"/>
                <w:sz w:val="18"/>
                <w:szCs w:val="18"/>
              </w:rPr>
            </w:pPr>
            <w:r w:rsidRPr="00DA4823">
              <w:rPr>
                <w:rFonts w:ascii="Nunito Sans" w:hAnsi="Nunito Sans" w:eastAsia="Arial" w:cs="Calibri"/>
                <w:sz w:val="18"/>
                <w:szCs w:val="18"/>
              </w:rPr>
              <w:t>Crear el Sistema Estadístico Sectorial, documentar operaciones, aplicar NTCE-01 y estandarizar variables y clasificaciones.</w:t>
            </w:r>
          </w:p>
        </w:tc>
      </w:tr>
      <w:tr w:rsidRPr="00DA4823" w:rsidR="005E3BD6" w:rsidTr="00D576EC" w14:paraId="19690237" w14:textId="77777777">
        <w:trPr>
          <w:cantSplit/>
          <w:trHeight w:val="1134"/>
        </w:trPr>
        <w:tc>
          <w:tcPr>
            <w:tcW w:w="425" w:type="dxa"/>
            <w:noWrap/>
            <w:textDirection w:val="btLr"/>
            <w:vAlign w:val="center"/>
            <w:hideMark/>
          </w:tcPr>
          <w:p w:rsidRPr="00DA4823" w:rsidR="005E3BD6" w:rsidP="00B4771C" w:rsidRDefault="005E3BD6" w14:paraId="69BF13F4"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lastRenderedPageBreak/>
              <w:t>DAT_05</w:t>
            </w:r>
          </w:p>
        </w:tc>
        <w:tc>
          <w:tcPr>
            <w:tcW w:w="709" w:type="dxa"/>
            <w:noWrap/>
            <w:textDirection w:val="btLr"/>
            <w:vAlign w:val="center"/>
            <w:hideMark/>
          </w:tcPr>
          <w:p w:rsidRPr="00DA4823" w:rsidR="005E3BD6" w:rsidP="00B4771C" w:rsidRDefault="005E3BD6" w14:paraId="626D7691"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Datos Geoespaciales</w:t>
            </w:r>
          </w:p>
        </w:tc>
        <w:tc>
          <w:tcPr>
            <w:tcW w:w="1984" w:type="dxa"/>
            <w:noWrap/>
            <w:vAlign w:val="center"/>
            <w:hideMark/>
          </w:tcPr>
          <w:p w:rsidRPr="00DA4823" w:rsidR="005E3BD6" w:rsidP="00B4771C" w:rsidRDefault="005E3BD6" w14:paraId="1C6A8D57" w14:textId="77777777">
            <w:pPr>
              <w:jc w:val="center"/>
              <w:rPr>
                <w:rFonts w:ascii="Nunito Sans" w:hAnsi="Nunito Sans" w:eastAsia="Arial" w:cs="Calibri"/>
                <w:sz w:val="18"/>
                <w:szCs w:val="18"/>
              </w:rPr>
            </w:pPr>
            <w:r w:rsidRPr="00DA4823">
              <w:rPr>
                <w:rFonts w:ascii="Nunito Sans" w:hAnsi="Nunito Sans" w:eastAsia="Arial" w:cs="Calibri"/>
                <w:sz w:val="18"/>
                <w:szCs w:val="18"/>
              </w:rPr>
              <w:t>Manejo desigual por entidad; sistemas sin articulación ICDE; metadatos incompletos, ausencia de catálogos comunes, interoperabilidad limitada.</w:t>
            </w:r>
          </w:p>
          <w:p w:rsidRPr="00DA4823" w:rsidR="005E3BD6" w:rsidP="00B4771C" w:rsidRDefault="005E3BD6" w14:paraId="3EBD1554" w14:textId="77777777">
            <w:pPr>
              <w:jc w:val="center"/>
              <w:rPr>
                <w:rFonts w:ascii="Nunito Sans" w:hAnsi="Nunito Sans" w:eastAsia="Arial" w:cs="Calibri"/>
                <w:sz w:val="18"/>
                <w:szCs w:val="18"/>
              </w:rPr>
            </w:pPr>
          </w:p>
        </w:tc>
        <w:tc>
          <w:tcPr>
            <w:tcW w:w="1843" w:type="dxa"/>
            <w:noWrap/>
            <w:vAlign w:val="center"/>
            <w:hideMark/>
          </w:tcPr>
          <w:p w:rsidRPr="00DA4823" w:rsidR="005E3BD6" w:rsidP="00B4771C" w:rsidRDefault="005E3BD6" w14:paraId="76E7FF5E" w14:textId="77777777">
            <w:pPr>
              <w:jc w:val="center"/>
              <w:rPr>
                <w:rFonts w:ascii="Nunito Sans" w:hAnsi="Nunito Sans" w:eastAsia="Arial" w:cs="Calibri"/>
                <w:sz w:val="18"/>
                <w:szCs w:val="18"/>
              </w:rPr>
            </w:pPr>
            <w:r w:rsidRPr="00DA4823">
              <w:rPr>
                <w:rFonts w:ascii="Nunito Sans" w:hAnsi="Nunito Sans" w:eastAsia="Arial" w:cs="Calibri"/>
                <w:sz w:val="18"/>
                <w:szCs w:val="18"/>
              </w:rPr>
              <w:t>Infraestructura Geoespacial Sectorial; interoperabilidad ICDE; servicios WMS/WFS/WCS; Catálogo Geoespacial Sectorial, modelo geoespacial unificado.</w:t>
            </w:r>
          </w:p>
          <w:p w:rsidRPr="00DA4823" w:rsidR="005E3BD6" w:rsidP="00B4771C" w:rsidRDefault="005E3BD6" w14:paraId="3D3CC0C5" w14:textId="77777777">
            <w:pPr>
              <w:jc w:val="center"/>
              <w:rPr>
                <w:rFonts w:ascii="Nunito Sans" w:hAnsi="Nunito Sans" w:eastAsia="Arial" w:cs="Calibri"/>
                <w:sz w:val="18"/>
                <w:szCs w:val="18"/>
              </w:rPr>
            </w:pPr>
          </w:p>
        </w:tc>
        <w:tc>
          <w:tcPr>
            <w:tcW w:w="1843" w:type="dxa"/>
            <w:noWrap/>
            <w:vAlign w:val="center"/>
            <w:hideMark/>
          </w:tcPr>
          <w:p w:rsidRPr="00DA4823" w:rsidR="005E3BD6" w:rsidP="00B4771C" w:rsidRDefault="005E3BD6" w14:paraId="5EBC16B6" w14:textId="77777777">
            <w:pPr>
              <w:jc w:val="center"/>
              <w:rPr>
                <w:rFonts w:ascii="Nunito Sans" w:hAnsi="Nunito Sans" w:eastAsia="Arial" w:cs="Calibri"/>
                <w:sz w:val="18"/>
                <w:szCs w:val="18"/>
              </w:rPr>
            </w:pPr>
            <w:r w:rsidRPr="00DA4823">
              <w:rPr>
                <w:rFonts w:ascii="Nunito Sans" w:hAnsi="Nunito Sans" w:eastAsia="Arial" w:cs="Calibri"/>
                <w:sz w:val="18"/>
                <w:szCs w:val="18"/>
              </w:rPr>
              <w:t>Falta de alineación con ICDE, ausencia de catálogos y servicios geoespaciales interoperables.</w:t>
            </w:r>
          </w:p>
        </w:tc>
        <w:tc>
          <w:tcPr>
            <w:tcW w:w="2410" w:type="dxa"/>
            <w:noWrap/>
            <w:vAlign w:val="center"/>
            <w:hideMark/>
          </w:tcPr>
          <w:p w:rsidRPr="00DA4823" w:rsidR="005E3BD6" w:rsidP="00B4771C" w:rsidRDefault="005E3BD6" w14:paraId="70C03974" w14:textId="77777777">
            <w:pPr>
              <w:jc w:val="center"/>
              <w:rPr>
                <w:rFonts w:ascii="Nunito Sans" w:hAnsi="Nunito Sans" w:eastAsia="Arial" w:cs="Calibri"/>
                <w:sz w:val="18"/>
                <w:szCs w:val="18"/>
              </w:rPr>
            </w:pPr>
            <w:r w:rsidRPr="00DA4823">
              <w:rPr>
                <w:rFonts w:ascii="Nunito Sans" w:hAnsi="Nunito Sans" w:eastAsia="Arial" w:cs="Calibri"/>
                <w:sz w:val="18"/>
                <w:szCs w:val="18"/>
              </w:rPr>
              <w:t>Crear el Catálogo Geoespacial Sectorial, alinear metadatos con ICDE e implementar servicios geoespaciales interoperables.</w:t>
            </w:r>
          </w:p>
        </w:tc>
      </w:tr>
      <w:tr w:rsidRPr="00DA4823" w:rsidR="005E3BD6" w:rsidTr="00D576EC" w14:paraId="4F273CC7" w14:textId="77777777">
        <w:trPr>
          <w:cantSplit/>
          <w:trHeight w:val="1134"/>
        </w:trPr>
        <w:tc>
          <w:tcPr>
            <w:tcW w:w="425" w:type="dxa"/>
            <w:noWrap/>
            <w:textDirection w:val="btLr"/>
            <w:vAlign w:val="center"/>
            <w:hideMark/>
          </w:tcPr>
          <w:p w:rsidRPr="00DA4823" w:rsidR="005E3BD6" w:rsidP="00B4771C" w:rsidRDefault="005E3BD6" w14:paraId="6C86C12F"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DAT_06</w:t>
            </w:r>
          </w:p>
        </w:tc>
        <w:tc>
          <w:tcPr>
            <w:tcW w:w="709" w:type="dxa"/>
            <w:noWrap/>
            <w:textDirection w:val="btLr"/>
            <w:vAlign w:val="center"/>
            <w:hideMark/>
          </w:tcPr>
          <w:p w:rsidRPr="00DA4823" w:rsidR="005E3BD6" w:rsidP="00B4771C" w:rsidRDefault="005E3BD6" w14:paraId="08AE13AD"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Herramientas Técnicas y Tecnología</w:t>
            </w:r>
          </w:p>
        </w:tc>
        <w:tc>
          <w:tcPr>
            <w:tcW w:w="1984" w:type="dxa"/>
            <w:noWrap/>
            <w:vAlign w:val="center"/>
            <w:hideMark/>
          </w:tcPr>
          <w:p w:rsidRPr="00DA4823" w:rsidR="005E3BD6" w:rsidP="00B4771C" w:rsidRDefault="005E3BD6" w14:paraId="19358108" w14:textId="77777777">
            <w:pPr>
              <w:jc w:val="center"/>
              <w:rPr>
                <w:rFonts w:ascii="Nunito Sans" w:hAnsi="Nunito Sans" w:eastAsia="Arial" w:cs="Calibri"/>
                <w:sz w:val="18"/>
                <w:szCs w:val="18"/>
              </w:rPr>
            </w:pPr>
            <w:r w:rsidRPr="00DA4823">
              <w:rPr>
                <w:rFonts w:ascii="Nunito Sans" w:hAnsi="Nunito Sans" w:eastAsia="Arial" w:cs="Calibri"/>
                <w:sz w:val="18"/>
                <w:szCs w:val="18"/>
              </w:rPr>
              <w:t>Nivel medio, herramientas dispares, brecha tecnológica entre entidades, poca automatización y uso limitado de plataformas analíticas.</w:t>
            </w:r>
          </w:p>
          <w:p w:rsidRPr="00DA4823" w:rsidR="005E3BD6" w:rsidP="00B4771C" w:rsidRDefault="005E3BD6" w14:paraId="34A3D7B0" w14:textId="77777777">
            <w:pPr>
              <w:jc w:val="center"/>
              <w:rPr>
                <w:rFonts w:ascii="Nunito Sans" w:hAnsi="Nunito Sans" w:eastAsia="Arial" w:cs="Calibri"/>
                <w:sz w:val="18"/>
                <w:szCs w:val="18"/>
              </w:rPr>
            </w:pPr>
          </w:p>
        </w:tc>
        <w:tc>
          <w:tcPr>
            <w:tcW w:w="1843" w:type="dxa"/>
            <w:noWrap/>
            <w:vAlign w:val="center"/>
            <w:hideMark/>
          </w:tcPr>
          <w:p w:rsidRPr="00DA4823" w:rsidR="005E3BD6" w:rsidP="00B4771C" w:rsidRDefault="005E3BD6" w14:paraId="0C96553B" w14:textId="77777777">
            <w:pPr>
              <w:jc w:val="center"/>
              <w:rPr>
                <w:rFonts w:ascii="Nunito Sans" w:hAnsi="Nunito Sans" w:eastAsia="Arial" w:cs="Calibri"/>
                <w:sz w:val="18"/>
                <w:szCs w:val="18"/>
              </w:rPr>
            </w:pPr>
            <w:r w:rsidRPr="00DA4823">
              <w:rPr>
                <w:rFonts w:ascii="Nunito Sans" w:hAnsi="Nunito Sans" w:eastAsia="Arial" w:cs="Calibri"/>
                <w:sz w:val="18"/>
                <w:szCs w:val="18"/>
              </w:rPr>
              <w:t>Arquitectura Lakehouse sectorial, estructuras de Data Lake, Data Warehouse, pipelines ETL/ELT, analítica avanzada e IA</w:t>
            </w:r>
          </w:p>
        </w:tc>
        <w:tc>
          <w:tcPr>
            <w:tcW w:w="1843" w:type="dxa"/>
            <w:noWrap/>
            <w:vAlign w:val="center"/>
            <w:hideMark/>
          </w:tcPr>
          <w:p w:rsidRPr="00DA4823" w:rsidR="005E3BD6" w:rsidP="00B4771C" w:rsidRDefault="005E3BD6" w14:paraId="7E50672F" w14:textId="77777777">
            <w:pPr>
              <w:jc w:val="center"/>
              <w:rPr>
                <w:rFonts w:ascii="Nunito Sans" w:hAnsi="Nunito Sans" w:eastAsia="Arial" w:cs="Calibri"/>
                <w:sz w:val="18"/>
                <w:szCs w:val="18"/>
              </w:rPr>
            </w:pPr>
            <w:r w:rsidRPr="00DA4823">
              <w:rPr>
                <w:rFonts w:ascii="Nunito Sans" w:hAnsi="Nunito Sans" w:eastAsia="Arial" w:cs="Calibri"/>
                <w:sz w:val="18"/>
                <w:szCs w:val="18"/>
              </w:rPr>
              <w:t>Carencia de infraestructura analítica y automatización sectorial.</w:t>
            </w:r>
          </w:p>
        </w:tc>
        <w:tc>
          <w:tcPr>
            <w:tcW w:w="2410" w:type="dxa"/>
            <w:noWrap/>
            <w:vAlign w:val="center"/>
            <w:hideMark/>
          </w:tcPr>
          <w:p w:rsidRPr="00DA4823" w:rsidR="005E3BD6" w:rsidP="00B4771C" w:rsidRDefault="005E3BD6" w14:paraId="6D938376" w14:textId="77777777">
            <w:pPr>
              <w:jc w:val="center"/>
              <w:rPr>
                <w:rFonts w:ascii="Nunito Sans" w:hAnsi="Nunito Sans" w:eastAsia="Arial" w:cs="Calibri"/>
                <w:sz w:val="18"/>
                <w:szCs w:val="18"/>
              </w:rPr>
            </w:pPr>
            <w:r w:rsidRPr="00DA4823">
              <w:rPr>
                <w:rFonts w:ascii="Nunito Sans" w:hAnsi="Nunito Sans" w:eastAsia="Arial" w:cs="Calibri"/>
                <w:sz w:val="18"/>
                <w:szCs w:val="18"/>
              </w:rPr>
              <w:t>Implementar la Arquitectura Lakehouse Sectorial con pipelines integrados y capacidades analíticas comunes.</w:t>
            </w:r>
          </w:p>
        </w:tc>
      </w:tr>
      <w:tr w:rsidRPr="00DA4823" w:rsidR="005E3BD6" w:rsidTr="00D576EC" w14:paraId="01457894" w14:textId="77777777">
        <w:trPr>
          <w:cantSplit/>
          <w:trHeight w:val="1134"/>
        </w:trPr>
        <w:tc>
          <w:tcPr>
            <w:tcW w:w="425" w:type="dxa"/>
            <w:noWrap/>
            <w:textDirection w:val="btLr"/>
            <w:vAlign w:val="center"/>
            <w:hideMark/>
          </w:tcPr>
          <w:p w:rsidRPr="00DA4823" w:rsidR="005E3BD6" w:rsidP="00B4771C" w:rsidRDefault="005E3BD6" w14:paraId="2F538253"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DAT_07</w:t>
            </w:r>
          </w:p>
        </w:tc>
        <w:tc>
          <w:tcPr>
            <w:tcW w:w="709" w:type="dxa"/>
            <w:noWrap/>
            <w:textDirection w:val="btLr"/>
            <w:vAlign w:val="center"/>
            <w:hideMark/>
          </w:tcPr>
          <w:p w:rsidRPr="00DA4823" w:rsidR="005E3BD6" w:rsidP="00B4771C" w:rsidRDefault="005E3BD6" w14:paraId="31BB7070"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Talento Humano en Datos</w:t>
            </w:r>
          </w:p>
        </w:tc>
        <w:tc>
          <w:tcPr>
            <w:tcW w:w="1984" w:type="dxa"/>
            <w:noWrap/>
            <w:vAlign w:val="center"/>
            <w:hideMark/>
          </w:tcPr>
          <w:p w:rsidRPr="00DA4823" w:rsidR="005E3BD6" w:rsidP="00B4771C" w:rsidRDefault="005E3BD6" w14:paraId="7ED53AB2" w14:textId="77777777">
            <w:pPr>
              <w:jc w:val="center"/>
              <w:rPr>
                <w:rFonts w:ascii="Nunito Sans" w:hAnsi="Nunito Sans" w:eastAsia="Arial" w:cs="Calibri"/>
                <w:sz w:val="18"/>
                <w:szCs w:val="18"/>
              </w:rPr>
            </w:pPr>
            <w:r w:rsidRPr="00DA4823">
              <w:rPr>
                <w:rFonts w:ascii="Nunito Sans" w:hAnsi="Nunito Sans" w:eastAsia="Arial" w:cs="Calibri"/>
                <w:sz w:val="18"/>
                <w:szCs w:val="18"/>
              </w:rPr>
              <w:t>Bajo nivel de capacidades, ausencia de programas de formación, falta de perfiles técnicos, cultura de datos limitada.</w:t>
            </w:r>
          </w:p>
        </w:tc>
        <w:tc>
          <w:tcPr>
            <w:tcW w:w="1843" w:type="dxa"/>
            <w:noWrap/>
            <w:vAlign w:val="center"/>
            <w:hideMark/>
          </w:tcPr>
          <w:p w:rsidRPr="00DA4823" w:rsidR="005E3BD6" w:rsidP="00B4771C" w:rsidRDefault="005E3BD6" w14:paraId="5539BFD7" w14:textId="77777777">
            <w:pPr>
              <w:jc w:val="center"/>
              <w:rPr>
                <w:rFonts w:ascii="Nunito Sans" w:hAnsi="Nunito Sans" w:eastAsia="Arial" w:cs="Calibri"/>
                <w:sz w:val="18"/>
                <w:szCs w:val="18"/>
              </w:rPr>
            </w:pPr>
            <w:r w:rsidRPr="00DA4823">
              <w:rPr>
                <w:rFonts w:ascii="Nunito Sans" w:hAnsi="Nunito Sans" w:eastAsia="Arial" w:cs="Calibri"/>
                <w:sz w:val="18"/>
                <w:szCs w:val="18"/>
              </w:rPr>
              <w:t>Capacidades sectoriales fortalecidas, formación continua, perfiles especializados, cultura de datos consolidada.</w:t>
            </w:r>
          </w:p>
        </w:tc>
        <w:tc>
          <w:tcPr>
            <w:tcW w:w="1843" w:type="dxa"/>
            <w:noWrap/>
            <w:vAlign w:val="center"/>
            <w:hideMark/>
          </w:tcPr>
          <w:p w:rsidRPr="00DA4823" w:rsidR="005E3BD6" w:rsidP="00B4771C" w:rsidRDefault="005E3BD6" w14:paraId="23817AA4" w14:textId="77777777">
            <w:pPr>
              <w:jc w:val="center"/>
              <w:rPr>
                <w:rFonts w:ascii="Nunito Sans" w:hAnsi="Nunito Sans" w:eastAsia="Arial" w:cs="Calibri"/>
                <w:sz w:val="18"/>
                <w:szCs w:val="18"/>
              </w:rPr>
            </w:pPr>
            <w:r w:rsidRPr="00DA4823">
              <w:rPr>
                <w:rFonts w:ascii="Nunito Sans" w:hAnsi="Nunito Sans" w:eastAsia="Arial" w:cs="Calibri"/>
                <w:sz w:val="18"/>
                <w:szCs w:val="18"/>
              </w:rPr>
              <w:t>Escasez de talento especializado y nula estrategia de formación.</w:t>
            </w:r>
          </w:p>
        </w:tc>
        <w:tc>
          <w:tcPr>
            <w:tcW w:w="2410" w:type="dxa"/>
            <w:noWrap/>
            <w:vAlign w:val="center"/>
            <w:hideMark/>
          </w:tcPr>
          <w:p w:rsidRPr="00DA4823" w:rsidR="005E3BD6" w:rsidP="00B4771C" w:rsidRDefault="005E3BD6" w14:paraId="394AAFC2" w14:textId="77777777">
            <w:pPr>
              <w:jc w:val="center"/>
              <w:rPr>
                <w:rFonts w:ascii="Nunito Sans" w:hAnsi="Nunito Sans" w:eastAsia="Arial" w:cs="Calibri"/>
                <w:sz w:val="18"/>
                <w:szCs w:val="18"/>
              </w:rPr>
            </w:pPr>
            <w:r w:rsidRPr="00DA4823">
              <w:rPr>
                <w:rFonts w:ascii="Nunito Sans" w:hAnsi="Nunito Sans" w:eastAsia="Arial" w:cs="Calibri"/>
                <w:sz w:val="18"/>
                <w:szCs w:val="18"/>
              </w:rPr>
              <w:t>Implementar un Programa Sectorial de Formación en Datos, cultura de datos y certificaciones.</w:t>
            </w:r>
          </w:p>
        </w:tc>
      </w:tr>
    </w:tbl>
    <w:p w:rsidRPr="00EF5DE4" w:rsidR="005E3BD6" w:rsidP="005E3BD6" w:rsidRDefault="005E3BD6" w14:paraId="612F63BC"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7212164F" w14:textId="77777777">
      <w:pPr>
        <w:rPr>
          <w:rFonts w:ascii="Nunito Sans" w:hAnsi="Nunito Sans" w:cs="Calibri" w:eastAsiaTheme="minorHAnsi"/>
          <w:lang w:val="es-ES"/>
        </w:rPr>
      </w:pPr>
    </w:p>
    <w:p w:rsidRPr="00490F71" w:rsidR="005E3BD6" w:rsidRDefault="005E3BD6" w14:paraId="12C4F0A2" w14:textId="3F53B8C6">
      <w:pPr>
        <w:pStyle w:val="Ttulo2"/>
        <w:numPr>
          <w:ilvl w:val="1"/>
          <w:numId w:val="22"/>
        </w:numPr>
        <w:rPr>
          <w:rFonts w:cs="Calibri"/>
          <w:sz w:val="18"/>
          <w:szCs w:val="18"/>
        </w:rPr>
      </w:pPr>
      <w:bookmarkStart w:name="_Toc220362621" w:id="469"/>
      <w:bookmarkStart w:name="_Toc530316601" w:id="470"/>
      <w:bookmarkStart w:name="_Toc234234521" w:id="471"/>
      <w:bookmarkEnd w:id="469"/>
      <w:r w:rsidRPr="0E79E4E6">
        <w:t xml:space="preserve">Identificación y análisis de brechas Arquitectura de Sistemas </w:t>
      </w:r>
      <w:r w:rsidR="00F95861">
        <w:t>d</w:t>
      </w:r>
      <w:r w:rsidRPr="0E79E4E6">
        <w:t>e Información</w:t>
      </w:r>
      <w:bookmarkEnd w:id="470"/>
      <w:bookmarkEnd w:id="471"/>
      <w:r w:rsidR="00F95861">
        <w:t xml:space="preserve"> </w:t>
      </w:r>
    </w:p>
    <w:p w:rsidRPr="00EB43A6" w:rsidR="005E3BD6" w:rsidP="005E3BD6" w:rsidRDefault="006A116D" w14:paraId="674AF4E1" w14:textId="003B3FBC">
      <w:pPr>
        <w:ind w:left="360" w:hanging="360"/>
        <w:jc w:val="center"/>
        <w:rPr>
          <w:rFonts w:ascii="Nunito Sans" w:hAnsi="Nunito Sans" w:cs="Calibri"/>
          <w:b/>
          <w:bCs/>
          <w:sz w:val="18"/>
          <w:szCs w:val="18"/>
        </w:rPr>
      </w:pPr>
      <w:bookmarkStart w:name="_Toc220664230" w:id="472"/>
      <w:r w:rsidRPr="006A116D">
        <w:rPr>
          <w:rFonts w:ascii="Nunito Sans" w:hAnsi="Nunito Sans" w:cs="Calibri"/>
          <w:b/>
          <w:bCs/>
          <w:sz w:val="18"/>
          <w:szCs w:val="18"/>
        </w:rPr>
        <w:t xml:space="preserve">Tabla </w:t>
      </w:r>
      <w:r w:rsidRPr="006A116D">
        <w:rPr>
          <w:rFonts w:ascii="Nunito Sans" w:hAnsi="Nunito Sans" w:cs="Calibri"/>
          <w:b/>
          <w:bCs/>
          <w:sz w:val="18"/>
          <w:szCs w:val="18"/>
        </w:rPr>
        <w:fldChar w:fldCharType="begin"/>
      </w:r>
      <w:r w:rsidRPr="006A116D">
        <w:rPr>
          <w:rFonts w:ascii="Nunito Sans" w:hAnsi="Nunito Sans" w:cs="Calibri"/>
          <w:b/>
          <w:bCs/>
          <w:sz w:val="18"/>
          <w:szCs w:val="18"/>
        </w:rPr>
        <w:instrText xml:space="preserve"> SEQ Tabla \* ARABIC </w:instrText>
      </w:r>
      <w:r w:rsidRPr="006A116D">
        <w:rPr>
          <w:rFonts w:ascii="Nunito Sans" w:hAnsi="Nunito Sans" w:cs="Calibri"/>
          <w:b/>
          <w:bCs/>
          <w:sz w:val="18"/>
          <w:szCs w:val="18"/>
        </w:rPr>
        <w:fldChar w:fldCharType="separate"/>
      </w:r>
      <w:r w:rsidR="00C57F7B">
        <w:rPr>
          <w:rFonts w:ascii="Nunito Sans" w:hAnsi="Nunito Sans" w:cs="Calibri"/>
          <w:b/>
          <w:bCs/>
          <w:noProof/>
          <w:sz w:val="18"/>
          <w:szCs w:val="18"/>
        </w:rPr>
        <w:t>59</w:t>
      </w:r>
      <w:r w:rsidRPr="006A116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Brechas de Sistemas de Información Sectorial</w:t>
      </w:r>
      <w:bookmarkEnd w:id="472"/>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425"/>
        <w:gridCol w:w="142"/>
        <w:gridCol w:w="567"/>
        <w:gridCol w:w="1984"/>
        <w:gridCol w:w="1843"/>
        <w:gridCol w:w="1701"/>
        <w:gridCol w:w="142"/>
        <w:gridCol w:w="2410"/>
      </w:tblGrid>
      <w:tr w:rsidRPr="00DA4823" w:rsidR="005E3BD6" w:rsidTr="003145E7" w14:paraId="5F52A7DF" w14:textId="77777777">
        <w:trPr>
          <w:cantSplit/>
          <w:trHeight w:val="1417"/>
          <w:tblHeader/>
        </w:trPr>
        <w:tc>
          <w:tcPr>
            <w:tcW w:w="42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noWrap/>
            <w:vAlign w:val="center"/>
            <w:hideMark/>
          </w:tcPr>
          <w:p w:rsidRPr="00DA4823" w:rsidR="005E3BD6" w:rsidP="00B4771C" w:rsidRDefault="005E3BD6" w14:paraId="41A14B4F"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lastRenderedPageBreak/>
              <w:t>ID</w:t>
            </w:r>
          </w:p>
        </w:tc>
        <w:tc>
          <w:tcPr>
            <w:tcW w:w="709"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DA4823" w:rsidR="005E3BD6" w:rsidP="00B4771C" w:rsidRDefault="00F929F8" w14:paraId="63D2DAEE" w14:textId="4B8368E7">
            <w:pPr>
              <w:ind w:left="113" w:right="113"/>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DOMINIO / LÍNEA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4B5D00" w:rsidRDefault="005E3BD6" w14:paraId="659DC24B" w14:textId="1D46E07C">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ESTADO AS-IS</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70339188"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 xml:space="preserve">ESTADO </w:t>
            </w:r>
          </w:p>
          <w:p w:rsidRPr="00DA4823" w:rsidR="005E3BD6" w:rsidP="00B4771C" w:rsidRDefault="005E3BD6" w14:paraId="056309E4"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TO-BE</w:t>
            </w:r>
          </w:p>
        </w:tc>
        <w:tc>
          <w:tcPr>
            <w:tcW w:w="1843"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437F307E"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DESCRIPCIÓN DE LA BRECHA</w:t>
            </w:r>
          </w:p>
        </w:tc>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01742240"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ACCIÓN PROPUESTA</w:t>
            </w:r>
          </w:p>
        </w:tc>
      </w:tr>
      <w:tr w:rsidRPr="00DA4823" w:rsidR="005E3BD6" w:rsidTr="003145E7" w14:paraId="61D96124" w14:textId="77777777">
        <w:trPr>
          <w:cantSplit/>
          <w:trHeight w:val="1134"/>
        </w:trPr>
        <w:tc>
          <w:tcPr>
            <w:tcW w:w="567" w:type="dxa"/>
            <w:gridSpan w:val="2"/>
            <w:tcBorders>
              <w:top w:val="single" w:color="FFFFFF" w:themeColor="background1" w:sz="4" w:space="0"/>
            </w:tcBorders>
            <w:noWrap/>
            <w:textDirection w:val="btLr"/>
            <w:vAlign w:val="center"/>
            <w:hideMark/>
          </w:tcPr>
          <w:p w:rsidRPr="00DA4823" w:rsidR="005E3BD6" w:rsidP="00B4771C" w:rsidRDefault="005E3BD6" w14:paraId="00FEFFD1"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SI_01</w:t>
            </w:r>
          </w:p>
        </w:tc>
        <w:tc>
          <w:tcPr>
            <w:tcW w:w="567" w:type="dxa"/>
            <w:tcBorders>
              <w:top w:val="single" w:color="FFFFFF" w:themeColor="background1" w:sz="4" w:space="0"/>
            </w:tcBorders>
            <w:noWrap/>
            <w:textDirection w:val="btLr"/>
            <w:vAlign w:val="center"/>
            <w:hideMark/>
          </w:tcPr>
          <w:p w:rsidRPr="00DA4823" w:rsidR="005E3BD6" w:rsidP="00B4771C" w:rsidRDefault="005E3BD6" w14:paraId="51A89FC9"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Interoperabilidad</w:t>
            </w:r>
          </w:p>
        </w:tc>
        <w:tc>
          <w:tcPr>
            <w:tcW w:w="1984" w:type="dxa"/>
            <w:tcBorders>
              <w:top w:val="single" w:color="FFFFFF" w:themeColor="background1" w:sz="4" w:space="0"/>
            </w:tcBorders>
            <w:noWrap/>
            <w:vAlign w:val="center"/>
            <w:hideMark/>
          </w:tcPr>
          <w:p w:rsidRPr="00DA4823" w:rsidR="005E3BD6" w:rsidP="003A7ABF" w:rsidRDefault="005E3BD6" w14:paraId="4D06B7F7" w14:textId="4B5EBBB4">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Los sistemas operan como silos por entidad.</w:t>
            </w:r>
          </w:p>
        </w:tc>
        <w:tc>
          <w:tcPr>
            <w:tcW w:w="1843" w:type="dxa"/>
            <w:tcBorders>
              <w:top w:val="single" w:color="FFFFFF" w:themeColor="background1" w:sz="4" w:space="0"/>
            </w:tcBorders>
            <w:noWrap/>
            <w:vAlign w:val="center"/>
            <w:hideMark/>
          </w:tcPr>
          <w:p w:rsidRPr="00DA4823" w:rsidR="005E3BD6" w:rsidP="003A7ABF" w:rsidRDefault="005E3BD6" w14:paraId="15CC4AC9" w14:textId="0C53D02B">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Ecosistema de Interoperabilidad Sectorial (X-Road / API Manager): Donde los sistemas misionales del MME consumen y exponen datos automáticamente con ANM, ANH y UPME sin intervención manual</w:t>
            </w:r>
          </w:p>
        </w:tc>
        <w:tc>
          <w:tcPr>
            <w:tcW w:w="1701" w:type="dxa"/>
            <w:tcBorders>
              <w:top w:val="single" w:color="FFFFFF" w:themeColor="background1" w:sz="4" w:space="0"/>
            </w:tcBorders>
            <w:noWrap/>
            <w:vAlign w:val="center"/>
            <w:hideMark/>
          </w:tcPr>
          <w:p w:rsidRPr="00DA4823" w:rsidR="005E3BD6" w:rsidP="003A7ABF" w:rsidRDefault="005E3BD6" w14:paraId="595DC281" w14:textId="0665CB0E">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Fragmentación de la Información: Probable duplicidad de datos maestros (ej. datos de empresas mineras o energéticas) replicados en las BDD de cada entidad sin "Fuente Única de la Verdad".</w:t>
            </w:r>
          </w:p>
        </w:tc>
        <w:tc>
          <w:tcPr>
            <w:tcW w:w="2552" w:type="dxa"/>
            <w:gridSpan w:val="2"/>
            <w:tcBorders>
              <w:top w:val="single" w:color="FFFFFF" w:themeColor="background1" w:sz="4" w:space="0"/>
            </w:tcBorders>
            <w:noWrap/>
            <w:vAlign w:val="center"/>
            <w:hideMark/>
          </w:tcPr>
          <w:p w:rsidRPr="00DA4823" w:rsidR="005E3BD6" w:rsidP="003A7ABF" w:rsidRDefault="005E3BD6" w14:paraId="7CFBC59F" w14:textId="0A2B8BDD">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Diseñar la Arquitectura de Datos Sectorial definiendo dueños de datos maestros y establecer un Bus de Interoperabilidad Sectorial.</w:t>
            </w:r>
          </w:p>
        </w:tc>
      </w:tr>
      <w:tr w:rsidRPr="00DA4823" w:rsidR="005E3BD6" w:rsidTr="003145E7" w14:paraId="1A92CA33" w14:textId="77777777">
        <w:trPr>
          <w:cantSplit/>
          <w:trHeight w:val="1134"/>
        </w:trPr>
        <w:tc>
          <w:tcPr>
            <w:tcW w:w="567" w:type="dxa"/>
            <w:gridSpan w:val="2"/>
            <w:noWrap/>
            <w:textDirection w:val="btLr"/>
            <w:vAlign w:val="center"/>
            <w:hideMark/>
          </w:tcPr>
          <w:p w:rsidRPr="00DA4823" w:rsidR="005E3BD6" w:rsidP="00B4771C" w:rsidRDefault="005E3BD6" w14:paraId="6B708FFF"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SI_02</w:t>
            </w:r>
          </w:p>
        </w:tc>
        <w:tc>
          <w:tcPr>
            <w:tcW w:w="567" w:type="dxa"/>
            <w:noWrap/>
            <w:textDirection w:val="btLr"/>
            <w:vAlign w:val="center"/>
            <w:hideMark/>
          </w:tcPr>
          <w:p w:rsidRPr="00DA4823" w:rsidR="005E3BD6" w:rsidP="00B4771C" w:rsidRDefault="005E3BD6" w14:paraId="58511562"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Alineación Estratégica (Misionalidad)</w:t>
            </w:r>
          </w:p>
        </w:tc>
        <w:tc>
          <w:tcPr>
            <w:tcW w:w="1984" w:type="dxa"/>
            <w:noWrap/>
            <w:vAlign w:val="center"/>
            <w:hideMark/>
          </w:tcPr>
          <w:p w:rsidRPr="00DA4823" w:rsidR="005E3BD6" w:rsidP="003A7ABF" w:rsidRDefault="005E3BD6" w14:paraId="39AE323C" w14:textId="43A16478">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Multiplicidad de sistemas de soporte (Administrativos/Jurídicos) repetidos en cada archivo (SGC, CREG, IPSE tienen sus propios sistemas de gestión documental o jurídica).</w:t>
            </w:r>
          </w:p>
        </w:tc>
        <w:tc>
          <w:tcPr>
            <w:tcW w:w="1843" w:type="dxa"/>
            <w:noWrap/>
            <w:vAlign w:val="center"/>
            <w:hideMark/>
          </w:tcPr>
          <w:p w:rsidRPr="00DA4823" w:rsidR="005E3BD6" w:rsidP="003A7ABF" w:rsidRDefault="005E3BD6" w14:paraId="6AC9F545" w14:textId="21981880">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Servicios Compartidos (Shared Services): Plataformas transversales</w:t>
            </w:r>
          </w:p>
        </w:tc>
        <w:tc>
          <w:tcPr>
            <w:tcW w:w="1701" w:type="dxa"/>
            <w:noWrap/>
            <w:vAlign w:val="center"/>
            <w:hideMark/>
          </w:tcPr>
          <w:p w:rsidRPr="00DA4823" w:rsidR="005E3BD6" w:rsidP="003A7ABF" w:rsidRDefault="005E3BD6" w14:paraId="60D35139" w14:textId="62F0B639">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Redundancia Funcional: Gasto ineficiente en licenciamiento y mantenimiento de múltiples sistemas que resuelven el mismo problema (back-office) en diferentes entidades del mismo sector.</w:t>
            </w:r>
          </w:p>
        </w:tc>
        <w:tc>
          <w:tcPr>
            <w:tcW w:w="2552" w:type="dxa"/>
            <w:gridSpan w:val="2"/>
            <w:noWrap/>
            <w:vAlign w:val="center"/>
            <w:hideMark/>
          </w:tcPr>
          <w:p w:rsidRPr="00DA4823" w:rsidR="005E3BD6" w:rsidP="003A7ABF" w:rsidRDefault="005E3BD6" w14:paraId="25DFECF9" w14:textId="478B8CBC">
            <w:pPr>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Realizar un análisis de racionalización de aplicaciones (Application Rationalization) para unificar sistemas de apoyo transversa</w:t>
            </w:r>
          </w:p>
        </w:tc>
      </w:tr>
    </w:tbl>
    <w:p w:rsidRPr="00EF5DE4" w:rsidR="005E3BD6" w:rsidP="005E3BD6" w:rsidRDefault="005E3BD6" w14:paraId="0C63D3C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6CC05D8B" w14:textId="77777777">
      <w:pPr>
        <w:rPr>
          <w:rFonts w:ascii="Nunito Sans" w:hAnsi="Nunito Sans" w:cs="Calibri" w:eastAsiaTheme="minorHAnsi"/>
          <w:lang w:val="es-ES"/>
        </w:rPr>
      </w:pPr>
    </w:p>
    <w:p w:rsidRPr="00A4531F" w:rsidR="00A4531F" w:rsidRDefault="00A4531F" w14:paraId="42EAED10" w14:textId="77777777">
      <w:pPr>
        <w:pStyle w:val="Prrafodelista"/>
        <w:keepNext/>
        <w:keepLines/>
        <w:numPr>
          <w:ilvl w:val="0"/>
          <w:numId w:val="22"/>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362624" w:id="473"/>
      <w:bookmarkStart w:name="_Toc220406908" w:id="474"/>
      <w:bookmarkStart w:name="_Toc220407553" w:id="475"/>
      <w:bookmarkStart w:name="_Toc220407787" w:id="476"/>
      <w:bookmarkStart w:name="_Toc220408045" w:id="477"/>
      <w:bookmarkStart w:name="_Toc220614530" w:id="478"/>
      <w:bookmarkStart w:name="_Toc220664356" w:id="479"/>
      <w:bookmarkStart w:name="_Toc234231892" w:id="480"/>
      <w:bookmarkStart w:name="_Toc234232134" w:id="481"/>
      <w:bookmarkStart w:name="_Toc234232255" w:id="482"/>
      <w:bookmarkStart w:name="_Toc234232376" w:id="483"/>
      <w:bookmarkStart w:name="_Toc234233427" w:id="484"/>
      <w:bookmarkStart w:name="_Toc234233548" w:id="485"/>
      <w:bookmarkStart w:name="_Toc234233670" w:id="486"/>
      <w:bookmarkStart w:name="_Toc234233792" w:id="487"/>
      <w:bookmarkStart w:name="_Toc234233914" w:id="488"/>
      <w:bookmarkStart w:name="_Toc234234035" w:id="489"/>
      <w:bookmarkStart w:name="_Toc234234158" w:id="490"/>
      <w:bookmarkStart w:name="_Toc234234280" w:id="491"/>
      <w:bookmarkStart w:name="_Toc234234401" w:id="492"/>
      <w:bookmarkStart w:name="_Toc234234522" w:id="493"/>
      <w:bookmarkStart w:name="_Toc683629356" w:id="494"/>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rsidRPr="00A4531F" w:rsidR="00A4531F" w:rsidRDefault="00A4531F" w14:paraId="02E6BFCA" w14:textId="77777777">
      <w:pPr>
        <w:pStyle w:val="Prrafodelista"/>
        <w:keepNext/>
        <w:keepLines/>
        <w:numPr>
          <w:ilvl w:val="1"/>
          <w:numId w:val="22"/>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407554" w:id="495"/>
      <w:bookmarkStart w:name="_Toc220407788" w:id="496"/>
      <w:bookmarkStart w:name="_Toc220408046" w:id="497"/>
      <w:bookmarkStart w:name="_Toc220614531" w:id="498"/>
      <w:bookmarkStart w:name="_Toc220664357" w:id="499"/>
      <w:bookmarkStart w:name="_Toc234231893" w:id="500"/>
      <w:bookmarkStart w:name="_Toc234232135" w:id="501"/>
      <w:bookmarkStart w:name="_Toc234232256" w:id="502"/>
      <w:bookmarkStart w:name="_Toc234232377" w:id="503"/>
      <w:bookmarkStart w:name="_Toc234233428" w:id="504"/>
      <w:bookmarkStart w:name="_Toc234233549" w:id="505"/>
      <w:bookmarkStart w:name="_Toc234233671" w:id="506"/>
      <w:bookmarkStart w:name="_Toc234233793" w:id="507"/>
      <w:bookmarkStart w:name="_Toc234233915" w:id="508"/>
      <w:bookmarkStart w:name="_Toc234234036" w:id="509"/>
      <w:bookmarkStart w:name="_Toc234234159" w:id="510"/>
      <w:bookmarkStart w:name="_Toc234234281" w:id="511"/>
      <w:bookmarkStart w:name="_Toc234234402" w:id="512"/>
      <w:bookmarkStart w:name="_Toc234234523" w:id="513"/>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Pr="00A4531F" w:rsidR="00A4531F" w:rsidRDefault="00A4531F" w14:paraId="7F2788D1" w14:textId="77777777">
      <w:pPr>
        <w:pStyle w:val="Prrafodelista"/>
        <w:keepNext/>
        <w:keepLines/>
        <w:numPr>
          <w:ilvl w:val="1"/>
          <w:numId w:val="22"/>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407555" w:id="514"/>
      <w:bookmarkStart w:name="_Toc220407789" w:id="515"/>
      <w:bookmarkStart w:name="_Toc220408047" w:id="516"/>
      <w:bookmarkStart w:name="_Toc220614532" w:id="517"/>
      <w:bookmarkStart w:name="_Toc220664358" w:id="518"/>
      <w:bookmarkStart w:name="_Toc234231894" w:id="519"/>
      <w:bookmarkStart w:name="_Toc234232136" w:id="520"/>
      <w:bookmarkStart w:name="_Toc234232257" w:id="521"/>
      <w:bookmarkStart w:name="_Toc234232378" w:id="522"/>
      <w:bookmarkStart w:name="_Toc234233429" w:id="523"/>
      <w:bookmarkStart w:name="_Toc234233550" w:id="524"/>
      <w:bookmarkStart w:name="_Toc234233672" w:id="525"/>
      <w:bookmarkStart w:name="_Toc234233794" w:id="526"/>
      <w:bookmarkStart w:name="_Toc234233916" w:id="527"/>
      <w:bookmarkStart w:name="_Toc234234037" w:id="528"/>
      <w:bookmarkStart w:name="_Toc234234160" w:id="529"/>
      <w:bookmarkStart w:name="_Toc234234282" w:id="530"/>
      <w:bookmarkStart w:name="_Toc234234403" w:id="531"/>
      <w:bookmarkStart w:name="_Toc234234524" w:id="532"/>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rsidRPr="00DF5761" w:rsidR="00DF354F" w:rsidRDefault="005E3BD6" w14:paraId="422E2C2E" w14:textId="752BC85B">
      <w:pPr>
        <w:pStyle w:val="Ttulo2"/>
        <w:numPr>
          <w:ilvl w:val="1"/>
          <w:numId w:val="38"/>
        </w:numPr>
      </w:pPr>
      <w:bookmarkStart w:name="_Toc234234525" w:id="533"/>
      <w:r w:rsidRPr="002A792B">
        <w:t xml:space="preserve">Identificación y análisis de brechas Interoperabilidad </w:t>
      </w:r>
      <w:r w:rsidR="00F95861">
        <w:t>S</w:t>
      </w:r>
      <w:r w:rsidRPr="002A792B">
        <w:t>ectorial</w:t>
      </w:r>
      <w:bookmarkEnd w:id="494"/>
      <w:bookmarkEnd w:id="533"/>
    </w:p>
    <w:p w:rsidR="00DF354F" w:rsidP="005E3BD6" w:rsidRDefault="00DF354F" w14:paraId="3DF6FF26" w14:textId="77777777">
      <w:pPr>
        <w:ind w:left="360" w:hanging="360"/>
        <w:jc w:val="center"/>
        <w:rPr>
          <w:rFonts w:ascii="Nunito Sans" w:hAnsi="Nunito Sans" w:cs="Calibri"/>
          <w:b/>
          <w:bCs/>
          <w:sz w:val="18"/>
          <w:szCs w:val="18"/>
        </w:rPr>
      </w:pPr>
    </w:p>
    <w:p w:rsidRPr="00DF354F" w:rsidR="006A116D" w:rsidP="00DF354F" w:rsidRDefault="006A116D" w14:paraId="61072ADF" w14:textId="5FBE58BF">
      <w:pPr>
        <w:ind w:left="360" w:hanging="360"/>
        <w:jc w:val="center"/>
        <w:rPr>
          <w:rFonts w:ascii="Nunito Sans" w:hAnsi="Nunito Sans" w:cs="Calibri"/>
          <w:b/>
          <w:bCs/>
          <w:sz w:val="18"/>
          <w:szCs w:val="18"/>
        </w:rPr>
      </w:pPr>
      <w:bookmarkStart w:name="_Toc220664231" w:id="534"/>
      <w:r w:rsidRPr="006A116D">
        <w:rPr>
          <w:rFonts w:ascii="Nunito Sans" w:hAnsi="Nunito Sans" w:cs="Calibri"/>
          <w:b/>
          <w:bCs/>
          <w:sz w:val="18"/>
          <w:szCs w:val="18"/>
        </w:rPr>
        <w:t xml:space="preserve">Tabla </w:t>
      </w:r>
      <w:r w:rsidRPr="006A116D">
        <w:rPr>
          <w:rFonts w:ascii="Nunito Sans" w:hAnsi="Nunito Sans" w:cs="Calibri"/>
          <w:b/>
          <w:bCs/>
          <w:sz w:val="18"/>
          <w:szCs w:val="18"/>
        </w:rPr>
        <w:fldChar w:fldCharType="begin"/>
      </w:r>
      <w:r w:rsidRPr="006A116D">
        <w:rPr>
          <w:rFonts w:ascii="Nunito Sans" w:hAnsi="Nunito Sans" w:cs="Calibri"/>
          <w:b/>
          <w:bCs/>
          <w:sz w:val="18"/>
          <w:szCs w:val="18"/>
        </w:rPr>
        <w:instrText xml:space="preserve"> SEQ Tabla \* ARABIC </w:instrText>
      </w:r>
      <w:r w:rsidRPr="006A116D">
        <w:rPr>
          <w:rFonts w:ascii="Nunito Sans" w:hAnsi="Nunito Sans" w:cs="Calibri"/>
          <w:b/>
          <w:bCs/>
          <w:sz w:val="18"/>
          <w:szCs w:val="18"/>
        </w:rPr>
        <w:fldChar w:fldCharType="separate"/>
      </w:r>
      <w:r w:rsidR="00C57F7B">
        <w:rPr>
          <w:rFonts w:ascii="Nunito Sans" w:hAnsi="Nunito Sans" w:cs="Calibri"/>
          <w:b/>
          <w:bCs/>
          <w:noProof/>
          <w:sz w:val="18"/>
          <w:szCs w:val="18"/>
        </w:rPr>
        <w:t>60</w:t>
      </w:r>
      <w:r w:rsidRPr="006A116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Brechas de Interoperabilidad Sectorial</w:t>
      </w:r>
      <w:bookmarkEnd w:id="534"/>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567"/>
        <w:gridCol w:w="567"/>
        <w:gridCol w:w="1984"/>
        <w:gridCol w:w="1843"/>
        <w:gridCol w:w="1701"/>
        <w:gridCol w:w="2552"/>
      </w:tblGrid>
      <w:tr w:rsidRPr="00DA4823" w:rsidR="005E3BD6" w:rsidTr="00F7592B" w14:paraId="0B6697BF" w14:textId="77777777">
        <w:trPr>
          <w:cantSplit/>
          <w:trHeight w:val="1417"/>
          <w:tblHeader/>
        </w:trPr>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noWrap/>
            <w:vAlign w:val="center"/>
            <w:hideMark/>
          </w:tcPr>
          <w:p w:rsidRPr="00DA4823" w:rsidR="005E3BD6" w:rsidP="00B4771C" w:rsidRDefault="005E3BD6" w14:paraId="73BF19ED"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lastRenderedPageBreak/>
              <w:t>ID</w:t>
            </w:r>
          </w:p>
        </w:tc>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DA4823" w:rsidR="005E3BD6" w:rsidP="00B4771C" w:rsidRDefault="00F929F8" w14:paraId="05527C3B" w14:textId="50715BCB">
            <w:pPr>
              <w:ind w:left="113" w:right="113"/>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DOMINIO / LÍNEA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4874A2E6"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ESTADO AS-IS</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3D9A25A0"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 xml:space="preserve">ESTADO </w:t>
            </w:r>
          </w:p>
          <w:p w:rsidRPr="00DA4823" w:rsidR="005E3BD6" w:rsidP="00B4771C" w:rsidRDefault="005E3BD6" w14:paraId="5DA23D52"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TO-BE</w:t>
            </w:r>
          </w:p>
        </w:tc>
        <w:tc>
          <w:tcPr>
            <w:tcW w:w="1701"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34175698"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DESCRIPCIÓN DE LA BRECHA</w:t>
            </w:r>
          </w:p>
        </w:tc>
        <w:tc>
          <w:tcPr>
            <w:tcW w:w="255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DA4823" w:rsidR="005E3BD6" w:rsidP="00B4771C" w:rsidRDefault="005E3BD6" w14:paraId="7E61DCF5" w14:textId="77777777">
            <w:pPr>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ACCIÓN PROPUESTA</w:t>
            </w:r>
          </w:p>
        </w:tc>
      </w:tr>
      <w:tr w:rsidRPr="00DA4823" w:rsidR="005E3BD6" w:rsidTr="00F7592B" w14:paraId="379211C5" w14:textId="77777777">
        <w:trPr>
          <w:cantSplit/>
          <w:trHeight w:val="1134"/>
        </w:trPr>
        <w:tc>
          <w:tcPr>
            <w:tcW w:w="567" w:type="dxa"/>
            <w:tcBorders>
              <w:top w:val="single" w:color="FFFFFF" w:themeColor="background1" w:sz="4" w:space="0"/>
            </w:tcBorders>
            <w:noWrap/>
            <w:textDirection w:val="btLr"/>
            <w:vAlign w:val="center"/>
            <w:hideMark/>
          </w:tcPr>
          <w:p w:rsidRPr="00DA4823" w:rsidR="005E3BD6" w:rsidP="00B4771C" w:rsidRDefault="005E3BD6" w14:paraId="79D82DDC"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sz w:val="18"/>
                <w:szCs w:val="18"/>
              </w:rPr>
              <w:t>I</w:t>
            </w:r>
            <w:r w:rsidRPr="00DA4823">
              <w:rPr>
                <w:rFonts w:ascii="Nunito Sans" w:hAnsi="Nunito Sans" w:eastAsia="Arial" w:cs="Calibri"/>
                <w:color w:val="000000" w:themeColor="text1"/>
                <w:sz w:val="18"/>
                <w:szCs w:val="18"/>
              </w:rPr>
              <w:t>NTER_01</w:t>
            </w:r>
          </w:p>
        </w:tc>
        <w:tc>
          <w:tcPr>
            <w:tcW w:w="567" w:type="dxa"/>
            <w:tcBorders>
              <w:top w:val="single" w:color="FFFFFF" w:themeColor="background1" w:sz="4" w:space="0"/>
            </w:tcBorders>
            <w:noWrap/>
            <w:textDirection w:val="btLr"/>
            <w:vAlign w:val="center"/>
            <w:hideMark/>
          </w:tcPr>
          <w:p w:rsidRPr="00DA4823" w:rsidR="005E3BD6" w:rsidP="00B4771C" w:rsidRDefault="005E3BD6" w14:paraId="756448F4"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sz w:val="18"/>
                <w:szCs w:val="18"/>
              </w:rPr>
              <w:t>Gobernanza de interoperabilidad</w:t>
            </w:r>
          </w:p>
        </w:tc>
        <w:tc>
          <w:tcPr>
            <w:tcW w:w="1984" w:type="dxa"/>
            <w:tcBorders>
              <w:top w:val="single" w:color="FFFFFF" w:themeColor="background1" w:sz="4" w:space="0"/>
            </w:tcBorders>
            <w:noWrap/>
            <w:vAlign w:val="center"/>
            <w:hideMark/>
          </w:tcPr>
          <w:p w:rsidRPr="00DA4823" w:rsidR="005E3BD6" w:rsidP="003A7ABF" w:rsidRDefault="005E3BD6" w14:paraId="234FB88C"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Capacidades no consolidadas como práctica transversal; iniciativas puntuales y heterogéneas</w:t>
            </w:r>
          </w:p>
        </w:tc>
        <w:tc>
          <w:tcPr>
            <w:tcW w:w="1843" w:type="dxa"/>
            <w:tcBorders>
              <w:top w:val="single" w:color="FFFFFF" w:themeColor="background1" w:sz="4" w:space="0"/>
            </w:tcBorders>
            <w:noWrap/>
            <w:vAlign w:val="center"/>
            <w:hideMark/>
          </w:tcPr>
          <w:p w:rsidRPr="00DA4823" w:rsidR="005E3BD6" w:rsidP="003A7ABF" w:rsidRDefault="005E3BD6" w14:paraId="446788BC" w14:textId="77777777">
            <w:pPr>
              <w:jc w:val="center"/>
              <w:rPr>
                <w:rFonts w:ascii="Nunito Sans" w:hAnsi="Nunito Sans" w:eastAsia="Arial" w:cs="Calibri"/>
                <w:color w:val="000000"/>
                <w:sz w:val="18"/>
                <w:szCs w:val="18"/>
              </w:rPr>
            </w:pPr>
            <w:r w:rsidRPr="00DA4823">
              <w:rPr>
                <w:rFonts w:ascii="Nunito Sans" w:hAnsi="Nunito Sans" w:eastAsia="Arial" w:cs="Calibri"/>
                <w:sz w:val="18"/>
                <w:szCs w:val="18"/>
              </w:rPr>
              <w:t>Gobierno federado de APIs e integración con roles, políticas de seguridad, versionamiento, documentación, monitoreo y deprecación.</w:t>
            </w:r>
          </w:p>
        </w:tc>
        <w:tc>
          <w:tcPr>
            <w:tcW w:w="1701" w:type="dxa"/>
            <w:tcBorders>
              <w:top w:val="single" w:color="FFFFFF" w:themeColor="background1" w:sz="4" w:space="0"/>
            </w:tcBorders>
            <w:noWrap/>
            <w:vAlign w:val="center"/>
            <w:hideMark/>
          </w:tcPr>
          <w:p w:rsidRPr="00DA4823" w:rsidR="005E3BD6" w:rsidP="003A7ABF" w:rsidRDefault="005E3BD6" w14:paraId="52F55EC6" w14:textId="4FA2F4F1">
            <w:pPr>
              <w:jc w:val="center"/>
              <w:rPr>
                <w:rFonts w:ascii="Nunito Sans" w:hAnsi="Nunito Sans" w:eastAsia="Arial" w:cs="Calibri"/>
                <w:color w:val="000000"/>
                <w:sz w:val="18"/>
                <w:szCs w:val="18"/>
              </w:rPr>
            </w:pPr>
            <w:r w:rsidRPr="00DA4823">
              <w:rPr>
                <w:rFonts w:ascii="Nunito Sans" w:hAnsi="Nunito Sans" w:eastAsia="Arial" w:cs="Calibri"/>
                <w:sz w:val="18"/>
                <w:szCs w:val="18"/>
              </w:rPr>
              <w:t>No existe un esquema sectorial homogéneo para gobernar el ciclo de vida de APIs/servicios y su adopción por entidades adscritas.</w:t>
            </w:r>
          </w:p>
        </w:tc>
        <w:tc>
          <w:tcPr>
            <w:tcW w:w="2552" w:type="dxa"/>
            <w:tcBorders>
              <w:top w:val="single" w:color="FFFFFF" w:themeColor="background1" w:sz="4" w:space="0"/>
            </w:tcBorders>
            <w:noWrap/>
            <w:vAlign w:val="center"/>
            <w:hideMark/>
          </w:tcPr>
          <w:p w:rsidRPr="00DA4823" w:rsidR="005E3BD6" w:rsidP="003A7ABF" w:rsidRDefault="005E3BD6" w14:paraId="2A41C0E6" w14:textId="399BA9ED">
            <w:pPr>
              <w:jc w:val="center"/>
              <w:rPr>
                <w:rFonts w:ascii="Nunito Sans" w:hAnsi="Nunito Sans" w:eastAsia="Arial" w:cs="Calibri"/>
                <w:color w:val="000000"/>
                <w:sz w:val="18"/>
                <w:szCs w:val="18"/>
              </w:rPr>
            </w:pPr>
            <w:r w:rsidRPr="00DA4823">
              <w:rPr>
                <w:rFonts w:ascii="Nunito Sans" w:hAnsi="Nunito Sans" w:eastAsia="Arial" w:cs="Calibri"/>
                <w:sz w:val="18"/>
                <w:szCs w:val="18"/>
              </w:rPr>
              <w:t xml:space="preserve">Crear y formalizar el </w:t>
            </w:r>
            <w:r w:rsidRPr="00DA4823">
              <w:rPr>
                <w:rFonts w:ascii="Nunito Sans" w:hAnsi="Nunito Sans" w:eastAsia="Arial" w:cs="Calibri"/>
                <w:b/>
                <w:bCs/>
                <w:sz w:val="18"/>
                <w:szCs w:val="18"/>
              </w:rPr>
              <w:t>Modelo de Gobierno de Interoperabilidad Sectorial</w:t>
            </w:r>
            <w:r w:rsidRPr="00DA4823">
              <w:rPr>
                <w:rFonts w:ascii="Nunito Sans" w:hAnsi="Nunito Sans" w:eastAsia="Arial" w:cs="Calibri"/>
                <w:sz w:val="18"/>
                <w:szCs w:val="18"/>
              </w:rPr>
              <w:t xml:space="preserve"> (roles, comité, políticas, artefactos obligatorios, KPIs y proceso de aprobación).</w:t>
            </w:r>
          </w:p>
        </w:tc>
      </w:tr>
      <w:tr w:rsidRPr="00DA4823" w:rsidR="005E3BD6" w:rsidTr="00F7592B" w14:paraId="6059D50B" w14:textId="77777777">
        <w:trPr>
          <w:cantSplit/>
          <w:trHeight w:val="1134"/>
        </w:trPr>
        <w:tc>
          <w:tcPr>
            <w:tcW w:w="567" w:type="dxa"/>
            <w:noWrap/>
            <w:textDirection w:val="btLr"/>
            <w:vAlign w:val="center"/>
            <w:hideMark/>
          </w:tcPr>
          <w:p w:rsidRPr="00DA4823" w:rsidR="005E3BD6" w:rsidP="00B4771C" w:rsidRDefault="005E3BD6" w14:paraId="79C080B7"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sz w:val="18"/>
                <w:szCs w:val="18"/>
              </w:rPr>
              <w:t>I</w:t>
            </w:r>
            <w:r w:rsidRPr="00DA4823">
              <w:rPr>
                <w:rFonts w:ascii="Nunito Sans" w:hAnsi="Nunito Sans" w:eastAsia="Arial" w:cs="Calibri"/>
                <w:color w:val="000000" w:themeColor="text1"/>
                <w:sz w:val="18"/>
                <w:szCs w:val="18"/>
              </w:rPr>
              <w:t>NTER_02</w:t>
            </w:r>
          </w:p>
        </w:tc>
        <w:tc>
          <w:tcPr>
            <w:tcW w:w="567" w:type="dxa"/>
            <w:noWrap/>
            <w:textDirection w:val="btLr"/>
            <w:vAlign w:val="center"/>
            <w:hideMark/>
          </w:tcPr>
          <w:p w:rsidRPr="00DA4823" w:rsidR="005E3BD6" w:rsidP="00B4771C" w:rsidRDefault="005E3BD6" w14:paraId="6916D7A0"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sz w:val="18"/>
                <w:szCs w:val="18"/>
              </w:rPr>
              <w:t>Interoperabilidad interinstitucional</w:t>
            </w:r>
          </w:p>
        </w:tc>
        <w:tc>
          <w:tcPr>
            <w:tcW w:w="1984" w:type="dxa"/>
            <w:noWrap/>
            <w:vAlign w:val="center"/>
            <w:hideMark/>
          </w:tcPr>
          <w:p w:rsidRPr="00DA4823" w:rsidR="005E3BD6" w:rsidP="003A7ABF" w:rsidRDefault="005E3BD6" w14:paraId="2C5B0BBD" w14:textId="77777777">
            <w:pPr>
              <w:jc w:val="center"/>
              <w:rPr>
                <w:rFonts w:ascii="Nunito Sans" w:hAnsi="Nunito Sans" w:eastAsia="Arial" w:cs="Calibri"/>
                <w:sz w:val="18"/>
                <w:szCs w:val="18"/>
              </w:rPr>
            </w:pPr>
            <w:r w:rsidRPr="00DA4823">
              <w:rPr>
                <w:rFonts w:ascii="Nunito Sans" w:hAnsi="Nunito Sans" w:eastAsia="Arial" w:cs="Calibri"/>
                <w:sz w:val="18"/>
                <w:szCs w:val="18"/>
              </w:rPr>
              <w:t>Interoperabilidad externa limitada y dependiente de casos; no consolidada como capacidad sectorial.</w:t>
            </w:r>
          </w:p>
        </w:tc>
        <w:tc>
          <w:tcPr>
            <w:tcW w:w="1843" w:type="dxa"/>
            <w:noWrap/>
            <w:vAlign w:val="center"/>
            <w:hideMark/>
          </w:tcPr>
          <w:p w:rsidRPr="00DA4823" w:rsidR="005E3BD6" w:rsidP="003A7ABF" w:rsidRDefault="005E3BD6" w14:paraId="3BDE19BE" w14:textId="23D2C3EA">
            <w:pPr>
              <w:spacing w:line="259" w:lineRule="auto"/>
              <w:jc w:val="center"/>
              <w:rPr>
                <w:rFonts w:ascii="Nunito Sans" w:hAnsi="Nunito Sans" w:eastAsia="Arial" w:cs="Calibri"/>
                <w:color w:val="000000" w:themeColor="text1"/>
                <w:sz w:val="18"/>
                <w:szCs w:val="18"/>
              </w:rPr>
            </w:pPr>
            <w:r w:rsidRPr="00DA4823">
              <w:rPr>
                <w:rFonts w:ascii="Nunito Sans" w:hAnsi="Nunito Sans" w:eastAsia="Arial" w:cs="Calibri"/>
                <w:sz w:val="18"/>
                <w:szCs w:val="18"/>
              </w:rPr>
              <w:t>Integración “Integrador de APIs” y comunicación máquina-a-máquina; plataforma sectorial con capacidades de publicación y orquestación.</w:t>
            </w:r>
          </w:p>
        </w:tc>
        <w:tc>
          <w:tcPr>
            <w:tcW w:w="1701" w:type="dxa"/>
            <w:noWrap/>
            <w:vAlign w:val="center"/>
            <w:hideMark/>
          </w:tcPr>
          <w:p w:rsidRPr="00DA4823" w:rsidR="005E3BD6" w:rsidP="003A7ABF" w:rsidRDefault="005E3BD6" w14:paraId="528E5DD2" w14:textId="77777777">
            <w:pPr>
              <w:jc w:val="center"/>
              <w:rPr>
                <w:rFonts w:ascii="Nunito Sans" w:hAnsi="Nunito Sans" w:eastAsia="Arial" w:cs="Calibri"/>
                <w:sz w:val="18"/>
                <w:szCs w:val="18"/>
              </w:rPr>
            </w:pPr>
            <w:r w:rsidRPr="00DA4823">
              <w:rPr>
                <w:rFonts w:ascii="Nunito Sans" w:hAnsi="Nunito Sans" w:eastAsia="Arial" w:cs="Calibri"/>
                <w:sz w:val="18"/>
                <w:szCs w:val="18"/>
              </w:rPr>
              <w:t>El sector no cuenta con un mecanismo común para intercambio seguro y auditable de datos críticos con entidades del Estado.</w:t>
            </w:r>
          </w:p>
        </w:tc>
        <w:tc>
          <w:tcPr>
            <w:tcW w:w="2552" w:type="dxa"/>
            <w:noWrap/>
            <w:vAlign w:val="center"/>
            <w:hideMark/>
          </w:tcPr>
          <w:p w:rsidRPr="00DA4823" w:rsidR="005E3BD6" w:rsidP="003A7ABF" w:rsidRDefault="005E3BD6" w14:paraId="3AB22C4A" w14:textId="67B2A12D">
            <w:pPr>
              <w:jc w:val="center"/>
              <w:rPr>
                <w:rFonts w:ascii="Nunito Sans" w:hAnsi="Nunito Sans" w:eastAsia="Arial" w:cs="Calibri"/>
                <w:color w:val="000000"/>
                <w:sz w:val="18"/>
                <w:szCs w:val="18"/>
              </w:rPr>
            </w:pPr>
            <w:r w:rsidRPr="00DA4823">
              <w:rPr>
                <w:rFonts w:ascii="Nunito Sans" w:hAnsi="Nunito Sans" w:eastAsia="Arial" w:cs="Calibri"/>
                <w:sz w:val="18"/>
                <w:szCs w:val="18"/>
              </w:rPr>
              <w:t xml:space="preserve">Ruta de adopción sectorial: onboarding por entidad, acuerdos de intercambio, priorización de servicios críticos y despliegue de </w:t>
            </w:r>
            <w:r w:rsidRPr="00DA4823">
              <w:rPr>
                <w:rFonts w:ascii="Nunito Sans" w:hAnsi="Nunito Sans" w:eastAsia="Arial" w:cs="Calibri"/>
                <w:b/>
                <w:bCs/>
                <w:sz w:val="18"/>
                <w:szCs w:val="18"/>
              </w:rPr>
              <w:t>X-Road</w:t>
            </w:r>
            <w:r w:rsidRPr="00DA4823">
              <w:rPr>
                <w:rFonts w:ascii="Nunito Sans" w:hAnsi="Nunito Sans" w:eastAsia="Arial" w:cs="Calibri"/>
                <w:sz w:val="18"/>
                <w:szCs w:val="18"/>
              </w:rPr>
              <w:t xml:space="preserve"> para datos críticos.</w:t>
            </w:r>
          </w:p>
        </w:tc>
      </w:tr>
      <w:tr w:rsidRPr="00DA4823" w:rsidR="005E3BD6" w:rsidTr="00F7592B" w14:paraId="61716373" w14:textId="77777777">
        <w:trPr>
          <w:cantSplit/>
          <w:trHeight w:val="1134"/>
        </w:trPr>
        <w:tc>
          <w:tcPr>
            <w:tcW w:w="567" w:type="dxa"/>
            <w:noWrap/>
            <w:textDirection w:val="btLr"/>
            <w:vAlign w:val="center"/>
            <w:hideMark/>
          </w:tcPr>
          <w:p w:rsidRPr="00DA4823" w:rsidR="005E3BD6" w:rsidP="00B4771C" w:rsidRDefault="005E3BD6" w14:paraId="714EEFBE"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color w:val="000000" w:themeColor="text1"/>
                <w:sz w:val="18"/>
                <w:szCs w:val="18"/>
              </w:rPr>
              <w:t>INTER_03</w:t>
            </w:r>
          </w:p>
        </w:tc>
        <w:tc>
          <w:tcPr>
            <w:tcW w:w="567" w:type="dxa"/>
            <w:noWrap/>
            <w:textDirection w:val="btLr"/>
            <w:vAlign w:val="center"/>
            <w:hideMark/>
          </w:tcPr>
          <w:p w:rsidRPr="00DA4823" w:rsidR="005E3BD6" w:rsidP="00B4771C" w:rsidRDefault="005E3BD6" w14:paraId="7C5049AD" w14:textId="77777777">
            <w:pPr>
              <w:ind w:left="113" w:right="113"/>
              <w:jc w:val="center"/>
              <w:rPr>
                <w:rFonts w:ascii="Nunito Sans" w:hAnsi="Nunito Sans" w:eastAsia="Arial" w:cs="Calibri"/>
                <w:color w:val="000000"/>
                <w:sz w:val="18"/>
                <w:szCs w:val="18"/>
              </w:rPr>
            </w:pPr>
            <w:r w:rsidRPr="00DA4823">
              <w:rPr>
                <w:rFonts w:ascii="Nunito Sans" w:hAnsi="Nunito Sans" w:eastAsia="Arial" w:cs="Calibri"/>
                <w:sz w:val="18"/>
                <w:szCs w:val="18"/>
              </w:rPr>
              <w:t>Plataforma sectorial de interoperabilidad</w:t>
            </w:r>
          </w:p>
        </w:tc>
        <w:tc>
          <w:tcPr>
            <w:tcW w:w="1984" w:type="dxa"/>
            <w:noWrap/>
            <w:vAlign w:val="center"/>
            <w:hideMark/>
          </w:tcPr>
          <w:p w:rsidRPr="00DA4823" w:rsidR="005E3BD6" w:rsidP="003A7ABF" w:rsidRDefault="005E3BD6" w14:paraId="2F276337" w14:textId="4ADE2BE4">
            <w:pPr>
              <w:jc w:val="center"/>
              <w:rPr>
                <w:rFonts w:ascii="Nunito Sans" w:hAnsi="Nunito Sans" w:eastAsia="Arial" w:cs="Calibri"/>
                <w:color w:val="000000"/>
                <w:sz w:val="18"/>
                <w:szCs w:val="18"/>
              </w:rPr>
            </w:pPr>
            <w:r w:rsidRPr="00DA4823">
              <w:rPr>
                <w:rFonts w:ascii="Nunito Sans" w:hAnsi="Nunito Sans" w:eastAsia="Arial" w:cs="Calibri"/>
                <w:sz w:val="18"/>
                <w:szCs w:val="18"/>
              </w:rPr>
              <w:t>Fragmentación tecnológica (riesgo de que cada entidad adopte herramientas/patrones aislados).</w:t>
            </w:r>
          </w:p>
        </w:tc>
        <w:tc>
          <w:tcPr>
            <w:tcW w:w="1843" w:type="dxa"/>
            <w:noWrap/>
            <w:vAlign w:val="center"/>
            <w:hideMark/>
          </w:tcPr>
          <w:p w:rsidRPr="00DA4823" w:rsidR="005E3BD6" w:rsidP="003A7ABF" w:rsidRDefault="005E3BD6" w14:paraId="15160814" w14:textId="48469CEC">
            <w:pPr>
              <w:jc w:val="center"/>
              <w:rPr>
                <w:rFonts w:ascii="Nunito Sans" w:hAnsi="Nunito Sans" w:eastAsia="Arial" w:cs="Calibri"/>
                <w:color w:val="000000"/>
                <w:sz w:val="18"/>
                <w:szCs w:val="18"/>
              </w:rPr>
            </w:pPr>
            <w:r w:rsidRPr="00DA4823">
              <w:rPr>
                <w:rFonts w:ascii="Nunito Sans" w:hAnsi="Nunito Sans" w:eastAsia="Arial" w:cs="Calibri"/>
                <w:sz w:val="18"/>
                <w:szCs w:val="18"/>
              </w:rPr>
              <w:t xml:space="preserve">Modelo híbrido: </w:t>
            </w:r>
            <w:r w:rsidRPr="00DA4823">
              <w:rPr>
                <w:rFonts w:ascii="Nunito Sans" w:hAnsi="Nunito Sans" w:eastAsia="Arial" w:cs="Calibri"/>
                <w:b/>
                <w:bCs/>
                <w:sz w:val="18"/>
                <w:szCs w:val="18"/>
              </w:rPr>
              <w:t>X-Road</w:t>
            </w:r>
            <w:r w:rsidRPr="00DA4823">
              <w:rPr>
                <w:rFonts w:ascii="Nunito Sans" w:hAnsi="Nunito Sans" w:eastAsia="Arial" w:cs="Calibri"/>
                <w:sz w:val="18"/>
                <w:szCs w:val="18"/>
              </w:rPr>
              <w:t xml:space="preserve"> para intercambio crítico + </w:t>
            </w:r>
            <w:r w:rsidRPr="00DA4823">
              <w:rPr>
                <w:rFonts w:ascii="Nunito Sans" w:hAnsi="Nunito Sans" w:eastAsia="Arial" w:cs="Calibri"/>
                <w:b/>
                <w:bCs/>
                <w:sz w:val="18"/>
                <w:szCs w:val="18"/>
              </w:rPr>
              <w:t>API Manager/Gateway</w:t>
            </w:r>
            <w:r w:rsidRPr="00DA4823">
              <w:rPr>
                <w:rFonts w:ascii="Nunito Sans" w:hAnsi="Nunito Sans" w:eastAsia="Arial" w:cs="Calibri"/>
                <w:sz w:val="18"/>
                <w:szCs w:val="18"/>
              </w:rPr>
              <w:t xml:space="preserve"> para exposición y consumo; capa de orquestación (ESB/microservicios).</w:t>
            </w:r>
          </w:p>
        </w:tc>
        <w:tc>
          <w:tcPr>
            <w:tcW w:w="1701" w:type="dxa"/>
            <w:noWrap/>
            <w:vAlign w:val="center"/>
            <w:hideMark/>
          </w:tcPr>
          <w:p w:rsidRPr="00DA4823" w:rsidR="005E3BD6" w:rsidP="003A7ABF" w:rsidRDefault="005E3BD6" w14:paraId="0940AB9B" w14:textId="57FEF46E">
            <w:pPr>
              <w:jc w:val="center"/>
              <w:rPr>
                <w:rFonts w:ascii="Nunito Sans" w:hAnsi="Nunito Sans" w:eastAsia="Arial" w:cs="Calibri"/>
                <w:color w:val="000000"/>
                <w:sz w:val="18"/>
                <w:szCs w:val="18"/>
              </w:rPr>
            </w:pPr>
            <w:r w:rsidRPr="00DA4823">
              <w:rPr>
                <w:rFonts w:ascii="Nunito Sans" w:hAnsi="Nunito Sans" w:eastAsia="Arial" w:cs="Calibri"/>
                <w:sz w:val="18"/>
                <w:szCs w:val="18"/>
              </w:rPr>
              <w:t>No existe una plataforma común (o patrón común) que evite duplicidad y garantice integración transversal.</w:t>
            </w:r>
          </w:p>
        </w:tc>
        <w:tc>
          <w:tcPr>
            <w:tcW w:w="2552" w:type="dxa"/>
            <w:noWrap/>
            <w:vAlign w:val="center"/>
            <w:hideMark/>
          </w:tcPr>
          <w:p w:rsidRPr="00DA4823" w:rsidR="005E3BD6" w:rsidP="003A7ABF" w:rsidRDefault="005E3BD6" w14:paraId="1103FF9A" w14:textId="6AF412F9">
            <w:pPr>
              <w:jc w:val="center"/>
              <w:rPr>
                <w:rFonts w:ascii="Nunito Sans" w:hAnsi="Nunito Sans" w:eastAsia="Arial" w:cs="Calibri"/>
                <w:color w:val="000000"/>
                <w:sz w:val="18"/>
                <w:szCs w:val="18"/>
              </w:rPr>
            </w:pPr>
            <w:r w:rsidRPr="00DA4823">
              <w:rPr>
                <w:rFonts w:ascii="Nunito Sans" w:hAnsi="Nunito Sans" w:eastAsia="Arial" w:cs="Calibri"/>
                <w:sz w:val="18"/>
                <w:szCs w:val="18"/>
              </w:rPr>
              <w:t xml:space="preserve">Definir y adoptar la </w:t>
            </w:r>
            <w:r w:rsidRPr="00DA4823">
              <w:rPr>
                <w:rFonts w:ascii="Nunito Sans" w:hAnsi="Nunito Sans" w:eastAsia="Arial" w:cs="Calibri"/>
                <w:b/>
                <w:bCs/>
                <w:sz w:val="18"/>
                <w:szCs w:val="18"/>
              </w:rPr>
              <w:t>Arquitectura de Referencia Sectorial de Integración</w:t>
            </w:r>
            <w:r w:rsidRPr="00DA4823">
              <w:rPr>
                <w:rFonts w:ascii="Nunito Sans" w:hAnsi="Nunito Sans" w:eastAsia="Arial" w:cs="Calibri"/>
                <w:sz w:val="18"/>
                <w:szCs w:val="18"/>
              </w:rPr>
              <w:t xml:space="preserve"> y un plan de implementación por fases (piloto </w:t>
            </w:r>
            <w:r w:rsidRPr="00DA4823">
              <w:rPr>
                <w:rFonts w:eastAsia="Arial"/>
                <w:sz w:val="18"/>
                <w:szCs w:val="18"/>
              </w:rPr>
              <w:t>→</w:t>
            </w:r>
            <w:r w:rsidRPr="00DA4823">
              <w:rPr>
                <w:rFonts w:ascii="Nunito Sans" w:hAnsi="Nunito Sans" w:eastAsia="Arial" w:cs="Calibri"/>
                <w:sz w:val="18"/>
                <w:szCs w:val="18"/>
              </w:rPr>
              <w:t xml:space="preserve"> escalamiento).</w:t>
            </w:r>
          </w:p>
        </w:tc>
      </w:tr>
      <w:tr w:rsidRPr="00DA4823" w:rsidR="005E3BD6" w:rsidTr="00F7592B" w14:paraId="71F03E32" w14:textId="77777777">
        <w:trPr>
          <w:cantSplit/>
          <w:trHeight w:val="1134"/>
        </w:trPr>
        <w:tc>
          <w:tcPr>
            <w:tcW w:w="567" w:type="dxa"/>
            <w:noWrap/>
            <w:textDirection w:val="btLr"/>
            <w:vAlign w:val="center"/>
            <w:hideMark/>
          </w:tcPr>
          <w:p w:rsidRPr="00DA4823" w:rsidR="005E3BD6" w:rsidP="00B4771C" w:rsidRDefault="005E3BD6" w14:paraId="56012EEF"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INTER_04</w:t>
            </w:r>
          </w:p>
        </w:tc>
        <w:tc>
          <w:tcPr>
            <w:tcW w:w="567" w:type="dxa"/>
            <w:noWrap/>
            <w:textDirection w:val="btLr"/>
            <w:vAlign w:val="center"/>
            <w:hideMark/>
          </w:tcPr>
          <w:p w:rsidRPr="00DA4823" w:rsidR="005E3BD6" w:rsidP="00B4771C" w:rsidRDefault="005E3BD6" w14:paraId="06725FD8"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Estándares técnicos y contratos</w:t>
            </w:r>
          </w:p>
        </w:tc>
        <w:tc>
          <w:tcPr>
            <w:tcW w:w="1984" w:type="dxa"/>
            <w:noWrap/>
            <w:vAlign w:val="center"/>
            <w:hideMark/>
          </w:tcPr>
          <w:p w:rsidRPr="00DA4823" w:rsidR="005E3BD6" w:rsidP="003A7ABF" w:rsidRDefault="005E3BD6" w14:paraId="6CD38CDA" w14:textId="77777777">
            <w:pPr>
              <w:jc w:val="center"/>
              <w:rPr>
                <w:rFonts w:ascii="Nunito Sans" w:hAnsi="Nunito Sans" w:eastAsia="Arial" w:cs="Calibri"/>
                <w:sz w:val="18"/>
                <w:szCs w:val="18"/>
              </w:rPr>
            </w:pPr>
            <w:r w:rsidRPr="00DA4823">
              <w:rPr>
                <w:rFonts w:ascii="Nunito Sans" w:hAnsi="Nunito Sans" w:eastAsia="Arial" w:cs="Calibri"/>
                <w:sz w:val="18"/>
                <w:szCs w:val="18"/>
              </w:rPr>
              <w:t>Heterogeneidad en formatos/contratos y riesgo de discrepancias (“múltiples versiones del dato”).</w:t>
            </w:r>
          </w:p>
        </w:tc>
        <w:tc>
          <w:tcPr>
            <w:tcW w:w="1843" w:type="dxa"/>
            <w:noWrap/>
            <w:vAlign w:val="center"/>
            <w:hideMark/>
          </w:tcPr>
          <w:p w:rsidRPr="00DA4823" w:rsidR="005E3BD6" w:rsidP="003A7ABF" w:rsidRDefault="005E3BD6" w14:paraId="0ACF678F" w14:textId="49EB7478">
            <w:pPr>
              <w:jc w:val="center"/>
              <w:rPr>
                <w:rFonts w:ascii="Nunito Sans" w:hAnsi="Nunito Sans" w:eastAsia="Arial" w:cs="Calibri"/>
                <w:sz w:val="18"/>
                <w:szCs w:val="18"/>
              </w:rPr>
            </w:pPr>
            <w:r w:rsidRPr="00DA4823">
              <w:rPr>
                <w:rFonts w:ascii="Nunito Sans" w:hAnsi="Nunito Sans" w:eastAsia="Arial" w:cs="Calibri"/>
                <w:sz w:val="18"/>
                <w:szCs w:val="18"/>
              </w:rPr>
              <w:t xml:space="preserve">Estándares comunes: JSON, </w:t>
            </w:r>
            <w:r w:rsidRPr="00DA4823" w:rsidR="00775795">
              <w:rPr>
                <w:rFonts w:ascii="Nunito Sans" w:hAnsi="Nunito Sans" w:eastAsia="Arial" w:cs="Calibri"/>
                <w:sz w:val="18"/>
                <w:szCs w:val="18"/>
              </w:rPr>
              <w:t>Open API</w:t>
            </w:r>
            <w:r w:rsidRPr="00DA4823">
              <w:rPr>
                <w:rFonts w:ascii="Nunito Sans" w:hAnsi="Nunito Sans" w:eastAsia="Arial" w:cs="Calibri"/>
                <w:sz w:val="18"/>
                <w:szCs w:val="18"/>
              </w:rPr>
              <w:t>/Swagger, JSON Schema; OGC (GeoJSON/WMS/WFS) para geoespacial; vocabularios/semántica armonizada.</w:t>
            </w:r>
          </w:p>
        </w:tc>
        <w:tc>
          <w:tcPr>
            <w:tcW w:w="1701" w:type="dxa"/>
            <w:noWrap/>
            <w:vAlign w:val="center"/>
            <w:hideMark/>
          </w:tcPr>
          <w:p w:rsidRPr="00DA4823" w:rsidR="005E3BD6" w:rsidP="003A7ABF" w:rsidRDefault="005E3BD6" w14:paraId="51C47CD7" w14:textId="77777777">
            <w:pPr>
              <w:jc w:val="center"/>
              <w:rPr>
                <w:rFonts w:ascii="Nunito Sans" w:hAnsi="Nunito Sans" w:eastAsia="Arial" w:cs="Calibri"/>
                <w:sz w:val="18"/>
                <w:szCs w:val="18"/>
              </w:rPr>
            </w:pPr>
            <w:r w:rsidRPr="00DA4823">
              <w:rPr>
                <w:rFonts w:ascii="Nunito Sans" w:hAnsi="Nunito Sans" w:eastAsia="Arial" w:cs="Calibri"/>
                <w:sz w:val="18"/>
                <w:szCs w:val="18"/>
              </w:rPr>
              <w:t>No hay estandarización suficiente para asegurar interoperabilidad consistente (técnica y semántica) entre entidades.</w:t>
            </w:r>
          </w:p>
        </w:tc>
        <w:tc>
          <w:tcPr>
            <w:tcW w:w="2552" w:type="dxa"/>
            <w:noWrap/>
            <w:vAlign w:val="center"/>
            <w:hideMark/>
          </w:tcPr>
          <w:p w:rsidRPr="00DA4823" w:rsidR="005E3BD6" w:rsidP="003A7ABF" w:rsidRDefault="005E3BD6" w14:paraId="79F61E2B" w14:textId="77777777">
            <w:pPr>
              <w:jc w:val="center"/>
              <w:rPr>
                <w:rFonts w:ascii="Nunito Sans" w:hAnsi="Nunito Sans" w:eastAsia="Arial" w:cs="Calibri"/>
                <w:sz w:val="18"/>
                <w:szCs w:val="18"/>
              </w:rPr>
            </w:pPr>
            <w:r w:rsidRPr="00DA4823">
              <w:rPr>
                <w:rFonts w:ascii="Nunito Sans" w:hAnsi="Nunito Sans" w:eastAsia="Arial" w:cs="Calibri"/>
                <w:sz w:val="18"/>
                <w:szCs w:val="18"/>
              </w:rPr>
              <w:t xml:space="preserve">Publicar </w:t>
            </w:r>
            <w:r w:rsidRPr="00DA4823">
              <w:rPr>
                <w:rFonts w:ascii="Nunito Sans" w:hAnsi="Nunito Sans" w:eastAsia="Arial" w:cs="Calibri"/>
                <w:b/>
                <w:bCs/>
                <w:sz w:val="18"/>
                <w:szCs w:val="18"/>
              </w:rPr>
              <w:t>Guía Sectorial de Estándares de Interoperabilidad</w:t>
            </w:r>
            <w:r w:rsidRPr="00DA4823">
              <w:rPr>
                <w:rFonts w:ascii="Nunito Sans" w:hAnsi="Nunito Sans" w:eastAsia="Arial" w:cs="Calibri"/>
                <w:sz w:val="18"/>
                <w:szCs w:val="18"/>
              </w:rPr>
              <w:t xml:space="preserve"> (formatos, naming, versionado, errores, catálogos, modelos semánticos) y exigir cumplimiento en nuevos desarrollos.</w:t>
            </w:r>
          </w:p>
        </w:tc>
      </w:tr>
      <w:tr w:rsidRPr="00DA4823" w:rsidR="005E3BD6" w:rsidTr="00F7592B" w14:paraId="0ECB7E27" w14:textId="77777777">
        <w:trPr>
          <w:cantSplit/>
          <w:trHeight w:val="1134"/>
        </w:trPr>
        <w:tc>
          <w:tcPr>
            <w:tcW w:w="567" w:type="dxa"/>
            <w:noWrap/>
            <w:textDirection w:val="btLr"/>
            <w:vAlign w:val="center"/>
            <w:hideMark/>
          </w:tcPr>
          <w:p w:rsidRPr="00DA4823" w:rsidR="005E3BD6" w:rsidP="00B4771C" w:rsidRDefault="005E3BD6" w14:paraId="288EF7A1"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t>INTER_05</w:t>
            </w:r>
          </w:p>
        </w:tc>
        <w:tc>
          <w:tcPr>
            <w:tcW w:w="567" w:type="dxa"/>
            <w:noWrap/>
            <w:textDirection w:val="btLr"/>
            <w:vAlign w:val="center"/>
            <w:hideMark/>
          </w:tcPr>
          <w:p w:rsidRPr="00DA4823" w:rsidR="005E3BD6" w:rsidP="00B4771C" w:rsidRDefault="005E3BD6" w14:paraId="0FBEB1E2"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Datos maestros / “Fuente Única de la Verdad”</w:t>
            </w:r>
          </w:p>
        </w:tc>
        <w:tc>
          <w:tcPr>
            <w:tcW w:w="1984" w:type="dxa"/>
            <w:noWrap/>
            <w:vAlign w:val="center"/>
            <w:hideMark/>
          </w:tcPr>
          <w:p w:rsidRPr="00DA4823" w:rsidR="005E3BD6" w:rsidP="003A7ABF" w:rsidRDefault="005E3BD6" w14:paraId="21BAEF23" w14:textId="77777777">
            <w:pPr>
              <w:jc w:val="center"/>
              <w:rPr>
                <w:rFonts w:ascii="Nunito Sans" w:hAnsi="Nunito Sans" w:eastAsia="Arial" w:cs="Calibri"/>
                <w:sz w:val="18"/>
                <w:szCs w:val="18"/>
              </w:rPr>
            </w:pPr>
            <w:r w:rsidRPr="00DA4823">
              <w:rPr>
                <w:rFonts w:ascii="Nunito Sans" w:hAnsi="Nunito Sans" w:eastAsia="Arial" w:cs="Calibri"/>
                <w:sz w:val="18"/>
                <w:szCs w:val="18"/>
              </w:rPr>
              <w:t>Riesgo de duplicidad semántica y múltiples versiones del dato; gobierno del dato por fortalecer.</w:t>
            </w:r>
          </w:p>
        </w:tc>
        <w:tc>
          <w:tcPr>
            <w:tcW w:w="1843" w:type="dxa"/>
            <w:noWrap/>
            <w:vAlign w:val="center"/>
            <w:hideMark/>
          </w:tcPr>
          <w:p w:rsidRPr="00DA4823" w:rsidR="005E3BD6" w:rsidP="003A7ABF" w:rsidRDefault="005E3BD6" w14:paraId="1B74E8DC" w14:textId="77777777">
            <w:pPr>
              <w:jc w:val="center"/>
              <w:rPr>
                <w:rFonts w:ascii="Nunito Sans" w:hAnsi="Nunito Sans" w:eastAsia="Arial" w:cs="Calibri"/>
                <w:sz w:val="18"/>
                <w:szCs w:val="18"/>
              </w:rPr>
            </w:pPr>
            <w:r w:rsidRPr="00DA4823">
              <w:rPr>
                <w:rFonts w:ascii="Nunito Sans" w:hAnsi="Nunito Sans" w:eastAsia="Arial" w:cs="Calibri"/>
                <w:sz w:val="18"/>
                <w:szCs w:val="18"/>
              </w:rPr>
              <w:t>Custodia distribuida: cada entidad administra datos maestros y los expone por servicios estandarizados; portafolio de servicios críticos.</w:t>
            </w:r>
          </w:p>
        </w:tc>
        <w:tc>
          <w:tcPr>
            <w:tcW w:w="1701" w:type="dxa"/>
            <w:noWrap/>
            <w:vAlign w:val="center"/>
            <w:hideMark/>
          </w:tcPr>
          <w:p w:rsidRPr="00DA4823" w:rsidR="005E3BD6" w:rsidP="003A7ABF" w:rsidRDefault="005E3BD6" w14:paraId="6F15FCE9" w14:textId="77777777">
            <w:pPr>
              <w:jc w:val="center"/>
              <w:rPr>
                <w:rFonts w:ascii="Nunito Sans" w:hAnsi="Nunito Sans" w:eastAsia="Arial" w:cs="Calibri"/>
                <w:sz w:val="18"/>
                <w:szCs w:val="18"/>
              </w:rPr>
            </w:pPr>
            <w:r w:rsidRPr="00DA4823">
              <w:rPr>
                <w:rFonts w:ascii="Nunito Sans" w:hAnsi="Nunito Sans" w:eastAsia="Arial" w:cs="Calibri"/>
                <w:sz w:val="18"/>
                <w:szCs w:val="18"/>
              </w:rPr>
              <w:t>No están definidos responsable/dueño, reglas de calidad y servicios oficiales para datos de referencia sectorial.</w:t>
            </w:r>
          </w:p>
        </w:tc>
        <w:tc>
          <w:tcPr>
            <w:tcW w:w="2552" w:type="dxa"/>
            <w:noWrap/>
            <w:vAlign w:val="center"/>
            <w:hideMark/>
          </w:tcPr>
          <w:p w:rsidRPr="00DA4823" w:rsidR="005E3BD6" w:rsidP="003A7ABF" w:rsidRDefault="005E3BD6" w14:paraId="3994714E" w14:textId="77777777">
            <w:pPr>
              <w:jc w:val="center"/>
              <w:rPr>
                <w:rFonts w:ascii="Nunito Sans" w:hAnsi="Nunito Sans" w:eastAsia="Arial" w:cs="Calibri"/>
                <w:sz w:val="18"/>
                <w:szCs w:val="18"/>
              </w:rPr>
            </w:pPr>
            <w:r w:rsidRPr="00DA4823">
              <w:rPr>
                <w:rFonts w:ascii="Nunito Sans" w:hAnsi="Nunito Sans" w:eastAsia="Arial" w:cs="Calibri"/>
                <w:sz w:val="18"/>
                <w:szCs w:val="18"/>
              </w:rPr>
              <w:t xml:space="preserve">Definir dominios maestros sectoriales, </w:t>
            </w:r>
            <w:r w:rsidRPr="00DA4823">
              <w:rPr>
                <w:rFonts w:ascii="Nunito Sans" w:hAnsi="Nunito Sans" w:eastAsia="Arial" w:cs="Calibri"/>
                <w:b/>
                <w:bCs/>
                <w:sz w:val="18"/>
                <w:szCs w:val="18"/>
              </w:rPr>
              <w:t>Data Owners/Data Stewards</w:t>
            </w:r>
            <w:r w:rsidRPr="00DA4823">
              <w:rPr>
                <w:rFonts w:ascii="Nunito Sans" w:hAnsi="Nunito Sans" w:eastAsia="Arial" w:cs="Calibri"/>
                <w:sz w:val="18"/>
                <w:szCs w:val="18"/>
              </w:rPr>
              <w:t>, reglas de calidad y APIs oficiales (consulta/actualización) para los catálogos base.</w:t>
            </w:r>
          </w:p>
        </w:tc>
      </w:tr>
      <w:tr w:rsidRPr="00DA4823" w:rsidR="005E3BD6" w:rsidTr="00F7592B" w14:paraId="4156DAC8" w14:textId="77777777">
        <w:trPr>
          <w:cantSplit/>
          <w:trHeight w:val="1134"/>
        </w:trPr>
        <w:tc>
          <w:tcPr>
            <w:tcW w:w="567" w:type="dxa"/>
            <w:noWrap/>
            <w:textDirection w:val="btLr"/>
            <w:vAlign w:val="center"/>
            <w:hideMark/>
          </w:tcPr>
          <w:p w:rsidRPr="00DA4823" w:rsidR="005E3BD6" w:rsidP="00B4771C" w:rsidRDefault="005E3BD6" w14:paraId="2FB35637" w14:textId="77777777">
            <w:pPr>
              <w:ind w:left="113" w:right="113"/>
              <w:jc w:val="center"/>
              <w:rPr>
                <w:rFonts w:ascii="Nunito Sans" w:hAnsi="Nunito Sans" w:eastAsia="Arial" w:cs="Calibri"/>
                <w:color w:val="000000" w:themeColor="text1"/>
                <w:sz w:val="18"/>
                <w:szCs w:val="18"/>
              </w:rPr>
            </w:pPr>
            <w:r w:rsidRPr="00DA4823">
              <w:rPr>
                <w:rFonts w:ascii="Nunito Sans" w:hAnsi="Nunito Sans" w:eastAsia="Arial" w:cs="Calibri"/>
                <w:color w:val="000000" w:themeColor="text1"/>
                <w:sz w:val="18"/>
                <w:szCs w:val="18"/>
              </w:rPr>
              <w:lastRenderedPageBreak/>
              <w:t>INTER_06</w:t>
            </w:r>
          </w:p>
        </w:tc>
        <w:tc>
          <w:tcPr>
            <w:tcW w:w="567" w:type="dxa"/>
            <w:noWrap/>
            <w:textDirection w:val="btLr"/>
            <w:vAlign w:val="center"/>
            <w:hideMark/>
          </w:tcPr>
          <w:p w:rsidRPr="00DA4823" w:rsidR="005E3BD6" w:rsidP="00B4771C" w:rsidRDefault="005E3BD6" w14:paraId="0DFF50BA" w14:textId="77777777">
            <w:pPr>
              <w:ind w:left="113" w:right="113"/>
              <w:jc w:val="center"/>
              <w:rPr>
                <w:rFonts w:ascii="Nunito Sans" w:hAnsi="Nunito Sans" w:eastAsia="Arial" w:cs="Calibri"/>
                <w:sz w:val="18"/>
                <w:szCs w:val="18"/>
              </w:rPr>
            </w:pPr>
            <w:r w:rsidRPr="00DA4823">
              <w:rPr>
                <w:rFonts w:ascii="Nunito Sans" w:hAnsi="Nunito Sans" w:eastAsia="Arial" w:cs="Calibri"/>
                <w:sz w:val="18"/>
                <w:szCs w:val="18"/>
              </w:rPr>
              <w:t>Observabilidad y operación</w:t>
            </w:r>
          </w:p>
        </w:tc>
        <w:tc>
          <w:tcPr>
            <w:tcW w:w="1984" w:type="dxa"/>
            <w:noWrap/>
            <w:vAlign w:val="center"/>
            <w:hideMark/>
          </w:tcPr>
          <w:p w:rsidRPr="00DA4823" w:rsidR="005E3BD6" w:rsidP="00EE5D07" w:rsidRDefault="005E3BD6" w14:paraId="16C8B3C2" w14:textId="77777777">
            <w:pPr>
              <w:ind w:right="-70"/>
              <w:jc w:val="center"/>
              <w:rPr>
                <w:rFonts w:ascii="Nunito Sans" w:hAnsi="Nunito Sans" w:eastAsia="Arial" w:cs="Calibri"/>
                <w:sz w:val="18"/>
                <w:szCs w:val="18"/>
              </w:rPr>
            </w:pPr>
            <w:r w:rsidRPr="00DA4823">
              <w:rPr>
                <w:rFonts w:ascii="Nunito Sans" w:hAnsi="Nunito Sans" w:eastAsia="Arial" w:cs="Calibri"/>
                <w:sz w:val="18"/>
                <w:szCs w:val="18"/>
              </w:rPr>
              <w:t>Capacidad dispar para monitoreo end-to-end del intercambio; riesgo operativo.</w:t>
            </w:r>
          </w:p>
        </w:tc>
        <w:tc>
          <w:tcPr>
            <w:tcW w:w="1843" w:type="dxa"/>
            <w:noWrap/>
            <w:vAlign w:val="center"/>
            <w:hideMark/>
          </w:tcPr>
          <w:p w:rsidRPr="00DA4823" w:rsidR="005E3BD6" w:rsidP="00EE5D07" w:rsidRDefault="005E3BD6" w14:paraId="2CA4D831" w14:textId="77777777">
            <w:pPr>
              <w:jc w:val="center"/>
              <w:rPr>
                <w:rFonts w:ascii="Nunito Sans" w:hAnsi="Nunito Sans" w:eastAsia="Arial" w:cs="Calibri"/>
                <w:sz w:val="18"/>
                <w:szCs w:val="18"/>
              </w:rPr>
            </w:pPr>
            <w:r w:rsidRPr="00DA4823">
              <w:rPr>
                <w:rFonts w:ascii="Nunito Sans" w:hAnsi="Nunito Sans" w:eastAsia="Arial" w:cs="Calibri"/>
                <w:sz w:val="18"/>
                <w:szCs w:val="18"/>
              </w:rPr>
              <w:t>Observabilidad sectorial (monitoreo de APIs/servicios, métricas, logs, tableros) integrada a la plataforma.</w:t>
            </w:r>
          </w:p>
        </w:tc>
        <w:tc>
          <w:tcPr>
            <w:tcW w:w="1701" w:type="dxa"/>
            <w:noWrap/>
            <w:vAlign w:val="center"/>
            <w:hideMark/>
          </w:tcPr>
          <w:p w:rsidRPr="00DA4823" w:rsidR="005E3BD6" w:rsidP="00EE5D07" w:rsidRDefault="005E3BD6" w14:paraId="4B06AAEA" w14:textId="77777777">
            <w:pPr>
              <w:jc w:val="center"/>
              <w:rPr>
                <w:rFonts w:ascii="Nunito Sans" w:hAnsi="Nunito Sans" w:eastAsia="Arial" w:cs="Calibri"/>
                <w:sz w:val="18"/>
                <w:szCs w:val="18"/>
              </w:rPr>
            </w:pPr>
            <w:r w:rsidRPr="00DA4823">
              <w:rPr>
                <w:rFonts w:ascii="Nunito Sans" w:hAnsi="Nunito Sans" w:eastAsia="Arial" w:cs="Calibri"/>
                <w:sz w:val="18"/>
                <w:szCs w:val="18"/>
              </w:rPr>
              <w:t>No hay monitoreo transversal para SLAs, disponibilidad y detección temprana de fallas en servicios interoperables.</w:t>
            </w:r>
          </w:p>
        </w:tc>
        <w:tc>
          <w:tcPr>
            <w:tcW w:w="2552" w:type="dxa"/>
            <w:noWrap/>
            <w:vAlign w:val="center"/>
            <w:hideMark/>
          </w:tcPr>
          <w:p w:rsidRPr="00DA4823" w:rsidR="005E3BD6" w:rsidP="00EE5D07" w:rsidRDefault="005E3BD6" w14:paraId="59D7A80D" w14:textId="77777777">
            <w:pPr>
              <w:jc w:val="center"/>
              <w:rPr>
                <w:rFonts w:ascii="Nunito Sans" w:hAnsi="Nunito Sans" w:eastAsia="Arial" w:cs="Calibri"/>
                <w:sz w:val="18"/>
                <w:szCs w:val="18"/>
              </w:rPr>
            </w:pPr>
            <w:r w:rsidRPr="00DA4823">
              <w:rPr>
                <w:rFonts w:ascii="Nunito Sans" w:hAnsi="Nunito Sans" w:eastAsia="Arial" w:cs="Calibri"/>
                <w:sz w:val="18"/>
                <w:szCs w:val="18"/>
              </w:rPr>
              <w:t>Implementar observabilidad: métricas, logs y trazas por servicio; tableros sectoriales; definición de SLAs/OLAs y operación basada en indicadores.</w:t>
            </w:r>
          </w:p>
        </w:tc>
      </w:tr>
    </w:tbl>
    <w:p w:rsidRPr="00EF5DE4" w:rsidR="005E3BD6" w:rsidP="005E3BD6" w:rsidRDefault="005E3BD6" w14:paraId="3C13FF40"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663416DC" w14:textId="77777777">
      <w:pPr>
        <w:rPr>
          <w:rFonts w:ascii="Nunito Sans" w:hAnsi="Nunito Sans" w:cs="Calibri" w:eastAsiaTheme="minorHAnsi"/>
          <w:lang w:val="es-ES"/>
        </w:rPr>
      </w:pPr>
    </w:p>
    <w:p w:rsidR="005E3BD6" w:rsidRDefault="005E3BD6" w14:paraId="775DE33D" w14:textId="7C4552F7">
      <w:pPr>
        <w:pStyle w:val="Ttulo2"/>
        <w:numPr>
          <w:ilvl w:val="1"/>
          <w:numId w:val="38"/>
        </w:numPr>
      </w:pPr>
      <w:bookmarkStart w:name="_Toc199449217" w:id="535"/>
      <w:bookmarkStart w:name="_Toc234234526" w:id="536"/>
      <w:r w:rsidRPr="0E79E4E6">
        <w:t xml:space="preserve">Identificación y análisis de brechas Infraestructura y </w:t>
      </w:r>
      <w:r w:rsidR="00F95861">
        <w:t>S</w:t>
      </w:r>
      <w:r w:rsidRPr="0E79E4E6">
        <w:t xml:space="preserve">ervicios </w:t>
      </w:r>
      <w:r w:rsidR="00F95861">
        <w:t>T</w:t>
      </w:r>
      <w:r w:rsidRPr="0E79E4E6">
        <w:t>ecnológicos Sectorial</w:t>
      </w:r>
      <w:bookmarkEnd w:id="535"/>
      <w:bookmarkEnd w:id="536"/>
    </w:p>
    <w:p w:rsidR="005E3BD6" w:rsidP="005E3BD6" w:rsidRDefault="005E3BD6" w14:paraId="67E39BE3" w14:textId="77777777">
      <w:pPr>
        <w:ind w:left="360" w:hanging="360"/>
        <w:jc w:val="center"/>
        <w:rPr>
          <w:rFonts w:ascii="Nunito Sans" w:hAnsi="Nunito Sans" w:cs="Calibri"/>
          <w:b/>
          <w:bCs/>
          <w:sz w:val="18"/>
          <w:szCs w:val="18"/>
        </w:rPr>
      </w:pPr>
    </w:p>
    <w:p w:rsidRPr="00EB43A6" w:rsidR="005E3BD6" w:rsidP="005E3BD6" w:rsidRDefault="006A116D" w14:paraId="21E02FB4" w14:textId="2A0213B6">
      <w:pPr>
        <w:ind w:left="360" w:hanging="360"/>
        <w:jc w:val="center"/>
        <w:rPr>
          <w:rFonts w:ascii="Nunito Sans" w:hAnsi="Nunito Sans" w:cs="Calibri"/>
          <w:b/>
          <w:bCs/>
          <w:sz w:val="18"/>
          <w:szCs w:val="18"/>
        </w:rPr>
      </w:pPr>
      <w:bookmarkStart w:name="_Toc220664232" w:id="537"/>
      <w:r w:rsidRPr="006A116D">
        <w:rPr>
          <w:rFonts w:ascii="Nunito Sans" w:hAnsi="Nunito Sans" w:cs="Calibri"/>
          <w:b/>
          <w:bCs/>
          <w:sz w:val="18"/>
          <w:szCs w:val="18"/>
        </w:rPr>
        <w:t xml:space="preserve">Tabla </w:t>
      </w:r>
      <w:r w:rsidRPr="006A116D">
        <w:rPr>
          <w:rFonts w:ascii="Nunito Sans" w:hAnsi="Nunito Sans" w:cs="Calibri"/>
          <w:b/>
          <w:bCs/>
          <w:sz w:val="18"/>
          <w:szCs w:val="18"/>
        </w:rPr>
        <w:fldChar w:fldCharType="begin"/>
      </w:r>
      <w:r w:rsidRPr="006A116D">
        <w:rPr>
          <w:rFonts w:ascii="Nunito Sans" w:hAnsi="Nunito Sans" w:cs="Calibri"/>
          <w:b/>
          <w:bCs/>
          <w:sz w:val="18"/>
          <w:szCs w:val="18"/>
        </w:rPr>
        <w:instrText xml:space="preserve"> SEQ Tabla \* ARABIC </w:instrText>
      </w:r>
      <w:r w:rsidRPr="006A116D">
        <w:rPr>
          <w:rFonts w:ascii="Nunito Sans" w:hAnsi="Nunito Sans" w:cs="Calibri"/>
          <w:b/>
          <w:bCs/>
          <w:sz w:val="18"/>
          <w:szCs w:val="18"/>
        </w:rPr>
        <w:fldChar w:fldCharType="separate"/>
      </w:r>
      <w:r w:rsidR="00C57F7B">
        <w:rPr>
          <w:rFonts w:ascii="Nunito Sans" w:hAnsi="Nunito Sans" w:cs="Calibri"/>
          <w:b/>
          <w:bCs/>
          <w:noProof/>
          <w:sz w:val="18"/>
          <w:szCs w:val="18"/>
        </w:rPr>
        <w:t>61</w:t>
      </w:r>
      <w:r w:rsidRPr="006A116D">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 xml:space="preserve">Brechas de </w:t>
      </w:r>
      <w:r w:rsidRPr="00C043A4" w:rsidR="005E3BD6">
        <w:rPr>
          <w:rFonts w:ascii="Nunito Sans" w:hAnsi="Nunito Sans" w:cs="Calibri"/>
          <w:b/>
          <w:bCs/>
          <w:sz w:val="18"/>
          <w:szCs w:val="18"/>
        </w:rPr>
        <w:t xml:space="preserve">Infraestructura y </w:t>
      </w:r>
      <w:r w:rsidR="005E3BD6">
        <w:rPr>
          <w:rFonts w:ascii="Nunito Sans" w:hAnsi="Nunito Sans" w:cs="Calibri"/>
          <w:b/>
          <w:bCs/>
          <w:sz w:val="18"/>
          <w:szCs w:val="18"/>
        </w:rPr>
        <w:t>S</w:t>
      </w:r>
      <w:r w:rsidRPr="00C043A4" w:rsidR="005E3BD6">
        <w:rPr>
          <w:rFonts w:ascii="Nunito Sans" w:hAnsi="Nunito Sans" w:cs="Calibri"/>
          <w:b/>
          <w:bCs/>
          <w:sz w:val="18"/>
          <w:szCs w:val="18"/>
        </w:rPr>
        <w:t xml:space="preserve">ervicios </w:t>
      </w:r>
      <w:r w:rsidR="005E3BD6">
        <w:rPr>
          <w:rFonts w:ascii="Nunito Sans" w:hAnsi="Nunito Sans" w:cs="Calibri"/>
          <w:b/>
          <w:bCs/>
          <w:sz w:val="18"/>
          <w:szCs w:val="18"/>
        </w:rPr>
        <w:t>T</w:t>
      </w:r>
      <w:r w:rsidRPr="00C043A4" w:rsidR="005E3BD6">
        <w:rPr>
          <w:rFonts w:ascii="Nunito Sans" w:hAnsi="Nunito Sans" w:cs="Calibri"/>
          <w:b/>
          <w:bCs/>
          <w:sz w:val="18"/>
          <w:szCs w:val="18"/>
        </w:rPr>
        <w:t>ecnológicos</w:t>
      </w:r>
      <w:r w:rsidR="005E3BD6">
        <w:rPr>
          <w:rFonts w:ascii="Nunito Sans" w:hAnsi="Nunito Sans" w:cs="Calibri"/>
          <w:b/>
          <w:bCs/>
          <w:sz w:val="18"/>
          <w:szCs w:val="18"/>
        </w:rPr>
        <w:t xml:space="preserve"> del</w:t>
      </w:r>
      <w:r w:rsidRPr="00C043A4" w:rsidR="005E3BD6">
        <w:rPr>
          <w:rFonts w:ascii="Nunito Sans" w:hAnsi="Nunito Sans" w:cs="Calibri"/>
          <w:b/>
          <w:bCs/>
          <w:sz w:val="18"/>
          <w:szCs w:val="18"/>
        </w:rPr>
        <w:t xml:space="preserve"> Sector</w:t>
      </w:r>
      <w:bookmarkEnd w:id="537"/>
    </w:p>
    <w:tbl>
      <w:tblPr>
        <w:tblW w:w="9355"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567"/>
        <w:gridCol w:w="567"/>
        <w:gridCol w:w="1984"/>
        <w:gridCol w:w="1985"/>
        <w:gridCol w:w="1843"/>
        <w:gridCol w:w="2409"/>
      </w:tblGrid>
      <w:tr w:rsidRPr="00222E47" w:rsidR="005E3BD6" w:rsidTr="0098134D" w14:paraId="22202F92" w14:textId="77777777">
        <w:trPr>
          <w:cantSplit/>
          <w:trHeight w:val="1417"/>
          <w:tblHeader/>
        </w:trPr>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noWrap/>
            <w:vAlign w:val="center"/>
            <w:hideMark/>
          </w:tcPr>
          <w:p w:rsidRPr="00222E47" w:rsidR="005E3BD6" w:rsidP="00B4771C" w:rsidRDefault="005E3BD6" w14:paraId="3092D6DF"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ID</w:t>
            </w:r>
          </w:p>
        </w:tc>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222E47" w:rsidR="005E3BD6" w:rsidP="00B4771C" w:rsidRDefault="00F929F8" w14:paraId="0BC7149E" w14:textId="43CE51D3">
            <w:pPr>
              <w:ind w:left="113" w:right="113"/>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DOMINIO / LÍNEA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5E3BD6" w:rsidP="004B5D00" w:rsidRDefault="005E3BD6" w14:paraId="00F78B3A" w14:textId="289B8340">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ESTADO</w:t>
            </w:r>
            <w:r w:rsidR="004B5D00">
              <w:rPr>
                <w:rFonts w:ascii="Nunito Sans" w:hAnsi="Nunito Sans" w:eastAsia="Arial" w:cs="Calibri"/>
                <w:b/>
                <w:bCs/>
                <w:color w:val="FFFFFF" w:themeColor="background1"/>
                <w:sz w:val="18"/>
                <w:szCs w:val="18"/>
              </w:rPr>
              <w:t xml:space="preserve"> </w:t>
            </w:r>
            <w:r w:rsidRPr="00222E47">
              <w:rPr>
                <w:rFonts w:ascii="Nunito Sans" w:hAnsi="Nunito Sans" w:eastAsia="Arial" w:cs="Calibri"/>
                <w:b/>
                <w:bCs/>
                <w:color w:val="FFFFFF" w:themeColor="background1"/>
                <w:sz w:val="18"/>
                <w:szCs w:val="18"/>
              </w:rPr>
              <w:t>AS-IS</w:t>
            </w:r>
          </w:p>
        </w:tc>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5E3BD6" w:rsidP="00B4771C" w:rsidRDefault="005E3BD6" w14:paraId="33A4D9F5"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ESTADO TO-BE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5E3BD6" w:rsidP="00B4771C" w:rsidRDefault="005E3BD6" w14:paraId="564A5416"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DESCRIPCIÓN DE LA BRECHA</w:t>
            </w:r>
          </w:p>
        </w:tc>
        <w:tc>
          <w:tcPr>
            <w:tcW w:w="240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5E3BD6" w:rsidP="00B4771C" w:rsidRDefault="005E3BD6" w14:paraId="7C88AB4A"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ACCIÓN PROPUESTA</w:t>
            </w:r>
          </w:p>
        </w:tc>
      </w:tr>
      <w:tr w:rsidRPr="00222E47" w:rsidR="005E3BD6" w:rsidTr="0098134D" w14:paraId="42033FED" w14:textId="77777777">
        <w:trPr>
          <w:cantSplit/>
          <w:trHeight w:val="1134"/>
        </w:trPr>
        <w:tc>
          <w:tcPr>
            <w:tcW w:w="567" w:type="dxa"/>
            <w:tcBorders>
              <w:top w:val="single" w:color="FFFFFF" w:themeColor="background1" w:sz="4" w:space="0"/>
            </w:tcBorders>
            <w:noWrap/>
            <w:textDirection w:val="btLr"/>
            <w:vAlign w:val="center"/>
            <w:hideMark/>
          </w:tcPr>
          <w:p w:rsidRPr="00222E47" w:rsidR="005E3BD6" w:rsidP="00B4771C" w:rsidRDefault="005E3BD6" w14:paraId="47CDA6EA" w14:textId="77777777">
            <w:pPr>
              <w:spacing w:before="240" w:after="240"/>
              <w:ind w:left="113" w:right="113"/>
              <w:jc w:val="center"/>
              <w:rPr>
                <w:rFonts w:ascii="Nunito Sans" w:hAnsi="Nunito Sans" w:eastAsia="Arial" w:cs="Calibri"/>
                <w:color w:val="000000" w:themeColor="text1"/>
                <w:sz w:val="18"/>
                <w:szCs w:val="18"/>
              </w:rPr>
            </w:pPr>
            <w:r w:rsidRPr="00222E47">
              <w:rPr>
                <w:rFonts w:ascii="Nunito Sans" w:hAnsi="Nunito Sans" w:eastAsia="Arial" w:cs="Calibri"/>
                <w:sz w:val="18"/>
                <w:szCs w:val="18"/>
              </w:rPr>
              <w:t>INFR_ST_01</w:t>
            </w:r>
          </w:p>
          <w:p w:rsidRPr="00222E47" w:rsidR="005E3BD6" w:rsidP="00B4771C" w:rsidRDefault="005E3BD6" w14:paraId="378945A9" w14:textId="77777777">
            <w:pPr>
              <w:ind w:left="113" w:right="113"/>
              <w:jc w:val="center"/>
              <w:rPr>
                <w:rFonts w:ascii="Nunito Sans" w:hAnsi="Nunito Sans" w:eastAsia="Arial" w:cs="Calibri"/>
                <w:color w:val="000000"/>
                <w:sz w:val="18"/>
                <w:szCs w:val="18"/>
              </w:rPr>
            </w:pPr>
          </w:p>
        </w:tc>
        <w:tc>
          <w:tcPr>
            <w:tcW w:w="567" w:type="dxa"/>
            <w:tcBorders>
              <w:top w:val="single" w:color="FFFFFF" w:themeColor="background1" w:sz="4" w:space="0"/>
            </w:tcBorders>
            <w:noWrap/>
            <w:textDirection w:val="btLr"/>
            <w:vAlign w:val="center"/>
            <w:hideMark/>
          </w:tcPr>
          <w:p w:rsidRPr="00222E47" w:rsidR="005E3BD6" w:rsidP="00B4771C" w:rsidRDefault="005E3BD6" w14:paraId="28423864" w14:textId="77777777">
            <w:pPr>
              <w:ind w:left="113" w:right="113"/>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Gestión de Servicios de TI</w:t>
            </w:r>
          </w:p>
        </w:tc>
        <w:tc>
          <w:tcPr>
            <w:tcW w:w="1984" w:type="dxa"/>
            <w:tcBorders>
              <w:top w:val="single" w:color="FFFFFF" w:themeColor="background1" w:sz="4" w:space="0"/>
            </w:tcBorders>
            <w:noWrap/>
            <w:vAlign w:val="center"/>
            <w:hideMark/>
          </w:tcPr>
          <w:p w:rsidRPr="00222E47" w:rsidR="005E3BD6" w:rsidP="00B4771C" w:rsidRDefault="005E3BD6" w14:paraId="0F7A1F8F"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Capacidad de la Infraestructura limitada en términos operacionales</w:t>
            </w:r>
          </w:p>
        </w:tc>
        <w:tc>
          <w:tcPr>
            <w:tcW w:w="1985" w:type="dxa"/>
            <w:tcBorders>
              <w:top w:val="single" w:color="FFFFFF" w:themeColor="background1" w:sz="4" w:space="0"/>
            </w:tcBorders>
            <w:noWrap/>
            <w:vAlign w:val="center"/>
            <w:hideMark/>
          </w:tcPr>
          <w:p w:rsidRPr="00222E47" w:rsidR="005E3BD6" w:rsidP="00B4771C" w:rsidRDefault="005E3BD6" w14:paraId="5B197283"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Capacidad de Infraestructura fortalecida</w:t>
            </w:r>
          </w:p>
        </w:tc>
        <w:tc>
          <w:tcPr>
            <w:tcW w:w="1843" w:type="dxa"/>
            <w:tcBorders>
              <w:top w:val="single" w:color="FFFFFF" w:themeColor="background1" w:sz="4" w:space="0"/>
            </w:tcBorders>
            <w:noWrap/>
            <w:vAlign w:val="center"/>
            <w:hideMark/>
          </w:tcPr>
          <w:p w:rsidRPr="00222E47" w:rsidR="005E3BD6" w:rsidP="00B4771C" w:rsidRDefault="005E3BD6" w14:paraId="7A4AE2F4"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Ampliar la capacidad de procesamiento de carga operativa de TI, mejorar la prestación de servicios de TI y prestar servicios de tecnología de forma ágil y segura.</w:t>
            </w:r>
          </w:p>
        </w:tc>
        <w:tc>
          <w:tcPr>
            <w:tcW w:w="2409" w:type="dxa"/>
            <w:tcBorders>
              <w:top w:val="single" w:color="FFFFFF" w:themeColor="background1" w:sz="4" w:space="0"/>
            </w:tcBorders>
            <w:noWrap/>
            <w:vAlign w:val="center"/>
            <w:hideMark/>
          </w:tcPr>
          <w:p w:rsidRPr="00222E47" w:rsidR="005E3BD6" w:rsidP="00B4771C" w:rsidRDefault="005E3BD6" w14:paraId="25F1A2E7"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Adquisición de infraestructura tecnológica de Software, hardware y Soluciones Integrales</w:t>
            </w:r>
          </w:p>
        </w:tc>
      </w:tr>
      <w:tr w:rsidRPr="00222E47" w:rsidR="005E3BD6" w:rsidTr="00B4771C" w14:paraId="74DDFCB1" w14:textId="77777777">
        <w:trPr>
          <w:cantSplit/>
          <w:trHeight w:val="1134"/>
        </w:trPr>
        <w:tc>
          <w:tcPr>
            <w:tcW w:w="567" w:type="dxa"/>
            <w:noWrap/>
            <w:textDirection w:val="btLr"/>
            <w:vAlign w:val="center"/>
            <w:hideMark/>
          </w:tcPr>
          <w:p w:rsidRPr="00222E47" w:rsidR="005E3BD6" w:rsidP="00B4771C" w:rsidRDefault="005E3BD6" w14:paraId="11B82FEE" w14:textId="77777777">
            <w:pPr>
              <w:spacing w:before="240" w:after="240"/>
              <w:ind w:left="113" w:right="113"/>
              <w:jc w:val="center"/>
              <w:rPr>
                <w:rFonts w:ascii="Nunito Sans" w:hAnsi="Nunito Sans" w:eastAsia="Arial" w:cs="Calibri"/>
                <w:color w:val="000000"/>
                <w:sz w:val="18"/>
                <w:szCs w:val="18"/>
              </w:rPr>
            </w:pPr>
            <w:r w:rsidRPr="00222E47">
              <w:rPr>
                <w:rFonts w:ascii="Nunito Sans" w:hAnsi="Nunito Sans" w:eastAsia="Arial" w:cs="Calibri"/>
                <w:sz w:val="18"/>
                <w:szCs w:val="18"/>
              </w:rPr>
              <w:t>INFR_ST_02</w:t>
            </w:r>
          </w:p>
        </w:tc>
        <w:tc>
          <w:tcPr>
            <w:tcW w:w="567" w:type="dxa"/>
            <w:noWrap/>
            <w:textDirection w:val="btLr"/>
            <w:vAlign w:val="center"/>
            <w:hideMark/>
          </w:tcPr>
          <w:p w:rsidRPr="00222E47" w:rsidR="005E3BD6" w:rsidP="00B4771C" w:rsidRDefault="005E3BD6" w14:paraId="62138637" w14:textId="77777777">
            <w:pPr>
              <w:ind w:left="113" w:right="113"/>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Gestión de Servicios de TI</w:t>
            </w:r>
          </w:p>
        </w:tc>
        <w:tc>
          <w:tcPr>
            <w:tcW w:w="1984" w:type="dxa"/>
            <w:noWrap/>
            <w:vAlign w:val="center"/>
            <w:hideMark/>
          </w:tcPr>
          <w:p w:rsidRPr="00222E47" w:rsidR="005E3BD6" w:rsidP="00B4771C" w:rsidRDefault="005E3BD6" w14:paraId="2210D422"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Servicios en la Nube adquiridos de manera independiente por cada entidad.</w:t>
            </w:r>
          </w:p>
        </w:tc>
        <w:tc>
          <w:tcPr>
            <w:tcW w:w="1985" w:type="dxa"/>
            <w:noWrap/>
            <w:vAlign w:val="center"/>
            <w:hideMark/>
          </w:tcPr>
          <w:p w:rsidRPr="00222E47" w:rsidR="005E3BD6" w:rsidP="00B4771C" w:rsidRDefault="005E3BD6" w14:paraId="7AA6E242"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Servicios en la nube implementados de manera optimizada y articulada a las necesidades de las entidades.</w:t>
            </w:r>
          </w:p>
        </w:tc>
        <w:tc>
          <w:tcPr>
            <w:tcW w:w="1843" w:type="dxa"/>
            <w:noWrap/>
            <w:vAlign w:val="center"/>
            <w:hideMark/>
          </w:tcPr>
          <w:p w:rsidRPr="00222E47" w:rsidR="005E3BD6" w:rsidP="00B4771C" w:rsidRDefault="005E3BD6" w14:paraId="6F42E9DF"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Se requiere estandarizar la línea metodológica para evaluar la pertinencia y oportunidad en la adquisición y aprovechamiento de recursos de Nube</w:t>
            </w:r>
          </w:p>
        </w:tc>
        <w:tc>
          <w:tcPr>
            <w:tcW w:w="2409" w:type="dxa"/>
            <w:noWrap/>
            <w:vAlign w:val="center"/>
            <w:hideMark/>
          </w:tcPr>
          <w:p w:rsidRPr="00222E47" w:rsidR="005E3BD6" w:rsidP="00B4771C" w:rsidRDefault="005E3BD6" w14:paraId="7512FF6D" w14:textId="77777777">
            <w:pPr>
              <w:jc w:val="center"/>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Definir estrategia y metodología de implementación para uso eficiente de recursos en la nube para atender las necesidades de plataformas tecnológicas robustas acordes con los requerimientos de las entidades.</w:t>
            </w:r>
          </w:p>
        </w:tc>
      </w:tr>
    </w:tbl>
    <w:p w:rsidRPr="00EF5DE4" w:rsidR="005E3BD6" w:rsidP="005E3BD6" w:rsidRDefault="005E3BD6" w14:paraId="03341B80"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010FA118" w14:textId="77777777">
      <w:pPr>
        <w:rPr>
          <w:rFonts w:ascii="Nunito Sans" w:hAnsi="Nunito Sans" w:cs="Calibri"/>
        </w:rPr>
      </w:pPr>
    </w:p>
    <w:p w:rsidRPr="0098134D" w:rsidR="005E3BD6" w:rsidRDefault="005E3BD6" w14:paraId="5B057957" w14:textId="33313FCA">
      <w:pPr>
        <w:pStyle w:val="Ttulo2"/>
        <w:numPr>
          <w:ilvl w:val="1"/>
          <w:numId w:val="38"/>
        </w:numPr>
        <w:rPr>
          <w:rFonts w:cs="Calibri" w:eastAsiaTheme="minorEastAsia"/>
          <w:sz w:val="22"/>
          <w:szCs w:val="22"/>
        </w:rPr>
      </w:pPr>
      <w:bookmarkStart w:name="_Toc1210458837" w:id="538"/>
      <w:bookmarkStart w:name="_Toc234234527" w:id="539"/>
      <w:r w:rsidRPr="00D34822">
        <w:t>Identificación y análisis de brechas Seguridad y Privacidad de la</w:t>
      </w:r>
      <w:r w:rsidRPr="0E79E4E6">
        <w:t xml:space="preserve"> Información </w:t>
      </w:r>
      <w:r w:rsidR="00F95861">
        <w:t>S</w:t>
      </w:r>
      <w:r w:rsidRPr="0E79E4E6">
        <w:t>ectorial</w:t>
      </w:r>
      <w:bookmarkEnd w:id="538"/>
      <w:bookmarkEnd w:id="539"/>
    </w:p>
    <w:p w:rsidRPr="00EB43A6" w:rsidR="005E3BD6" w:rsidP="005E3BD6" w:rsidRDefault="00A86B66" w14:paraId="7C0CD452" w14:textId="69FA966F">
      <w:pPr>
        <w:ind w:left="360" w:hanging="360"/>
        <w:jc w:val="center"/>
        <w:rPr>
          <w:rFonts w:ascii="Nunito Sans" w:hAnsi="Nunito Sans" w:cs="Calibri"/>
          <w:b/>
          <w:bCs/>
          <w:sz w:val="18"/>
          <w:szCs w:val="18"/>
        </w:rPr>
      </w:pPr>
      <w:bookmarkStart w:name="_Toc220664233" w:id="540"/>
      <w:r w:rsidRPr="00A86B66">
        <w:rPr>
          <w:rFonts w:ascii="Nunito Sans" w:hAnsi="Nunito Sans" w:cs="Calibri"/>
          <w:b/>
          <w:bCs/>
          <w:sz w:val="18"/>
          <w:szCs w:val="18"/>
        </w:rPr>
        <w:t xml:space="preserve">Tabla </w:t>
      </w:r>
      <w:r w:rsidRPr="00A86B66">
        <w:rPr>
          <w:rFonts w:ascii="Nunito Sans" w:hAnsi="Nunito Sans" w:cs="Calibri"/>
          <w:b/>
          <w:bCs/>
          <w:sz w:val="18"/>
          <w:szCs w:val="18"/>
        </w:rPr>
        <w:fldChar w:fldCharType="begin"/>
      </w:r>
      <w:r w:rsidRPr="00A86B66">
        <w:rPr>
          <w:rFonts w:ascii="Nunito Sans" w:hAnsi="Nunito Sans" w:cs="Calibri"/>
          <w:b/>
          <w:bCs/>
          <w:sz w:val="18"/>
          <w:szCs w:val="18"/>
        </w:rPr>
        <w:instrText xml:space="preserve"> SEQ Tabla \* ARABIC </w:instrText>
      </w:r>
      <w:r w:rsidRPr="00A86B66">
        <w:rPr>
          <w:rFonts w:ascii="Nunito Sans" w:hAnsi="Nunito Sans" w:cs="Calibri"/>
          <w:b/>
          <w:bCs/>
          <w:sz w:val="18"/>
          <w:szCs w:val="18"/>
        </w:rPr>
        <w:fldChar w:fldCharType="separate"/>
      </w:r>
      <w:r w:rsidR="00C57F7B">
        <w:rPr>
          <w:rFonts w:ascii="Nunito Sans" w:hAnsi="Nunito Sans" w:cs="Calibri"/>
          <w:b/>
          <w:bCs/>
          <w:noProof/>
          <w:sz w:val="18"/>
          <w:szCs w:val="18"/>
        </w:rPr>
        <w:t>62</w:t>
      </w:r>
      <w:r w:rsidRPr="00A86B6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 xml:space="preserve">Brechas de </w:t>
      </w:r>
      <w:r w:rsidRPr="00C043A4" w:rsidR="005E3BD6">
        <w:rPr>
          <w:rFonts w:ascii="Nunito Sans" w:hAnsi="Nunito Sans" w:cs="Calibri"/>
          <w:b/>
          <w:bCs/>
          <w:sz w:val="18"/>
          <w:szCs w:val="18"/>
        </w:rPr>
        <w:t>Seguridad y Privacidad de la Información sectorial</w:t>
      </w:r>
      <w:bookmarkEnd w:id="540"/>
    </w:p>
    <w:tbl>
      <w:tblPr>
        <w:tblStyle w:val="Tablaconcuadrcula"/>
        <w:tblW w:w="9355"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566"/>
        <w:gridCol w:w="567"/>
        <w:gridCol w:w="1983"/>
        <w:gridCol w:w="1984"/>
        <w:gridCol w:w="1847"/>
        <w:gridCol w:w="2408"/>
      </w:tblGrid>
      <w:tr w:rsidRPr="0098134D" w:rsidR="005E3BD6" w:rsidTr="00763BE3" w14:paraId="7C24731D" w14:textId="77777777">
        <w:trPr>
          <w:cantSplit/>
          <w:trHeight w:val="1417"/>
        </w:trPr>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8134D" w:rsidR="005E3BD6" w:rsidP="4E60D266" w:rsidRDefault="1F325162" w14:paraId="133A4634" w14:textId="77777777">
            <w:pPr>
              <w:ind w:left="360" w:hanging="360"/>
              <w:jc w:val="center"/>
              <w:rPr>
                <w:rFonts w:ascii="Nunito Sans" w:hAnsi="Nunito Sans" w:eastAsia="Arial" w:cs="Calibri"/>
                <w:b/>
                <w:bCs/>
                <w:color w:val="FFFFFF" w:themeColor="background1"/>
                <w:sz w:val="18"/>
                <w:szCs w:val="18"/>
              </w:rPr>
            </w:pPr>
            <w:r w:rsidRPr="0098134D">
              <w:rPr>
                <w:rFonts w:ascii="Nunito Sans" w:hAnsi="Nunito Sans" w:eastAsia="Arial" w:cs="Calibri"/>
                <w:b/>
                <w:bCs/>
                <w:color w:val="FFFFFF" w:themeColor="background1"/>
                <w:sz w:val="18"/>
                <w:szCs w:val="18"/>
              </w:rPr>
              <w:t>ID</w:t>
            </w:r>
          </w:p>
        </w:tc>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98134D" w:rsidR="005E3BD6" w:rsidP="4E60D266" w:rsidRDefault="00F929F8" w14:paraId="3DA3E878" w14:textId="464FE881">
            <w:pPr>
              <w:ind w:left="113" w:right="113"/>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DOMINIO / LÍNEA</w:t>
            </w:r>
          </w:p>
        </w:tc>
        <w:tc>
          <w:tcPr>
            <w:tcW w:w="1984"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8134D" w:rsidR="005E3BD6" w:rsidP="4E60D266" w:rsidRDefault="1F325162" w14:paraId="541A2A8B" w14:textId="77777777">
            <w:pPr>
              <w:ind w:left="360" w:hanging="360"/>
              <w:jc w:val="center"/>
              <w:rPr>
                <w:rFonts w:ascii="Nunito Sans" w:hAnsi="Nunito Sans" w:eastAsia="Arial" w:cs="Calibri"/>
                <w:b/>
                <w:bCs/>
                <w:color w:val="FFFFFF" w:themeColor="background1"/>
                <w:sz w:val="18"/>
                <w:szCs w:val="18"/>
              </w:rPr>
            </w:pPr>
            <w:r w:rsidRPr="0098134D">
              <w:rPr>
                <w:rFonts w:ascii="Nunito Sans" w:hAnsi="Nunito Sans" w:eastAsia="Arial" w:cs="Calibri"/>
                <w:b/>
                <w:bCs/>
                <w:color w:val="FFFFFF" w:themeColor="background1"/>
                <w:sz w:val="18"/>
                <w:szCs w:val="18"/>
              </w:rPr>
              <w:t>ESTADO</w:t>
            </w:r>
          </w:p>
          <w:p w:rsidRPr="0098134D" w:rsidR="005E3BD6" w:rsidP="4E60D266" w:rsidRDefault="1F325162" w14:paraId="0ADF065E" w14:textId="77777777">
            <w:pPr>
              <w:ind w:left="360" w:hanging="360"/>
              <w:jc w:val="center"/>
              <w:rPr>
                <w:rFonts w:ascii="Nunito Sans" w:hAnsi="Nunito Sans" w:eastAsia="Arial" w:cs="Calibri"/>
                <w:b/>
                <w:bCs/>
                <w:color w:val="FFFFFF" w:themeColor="background1"/>
                <w:sz w:val="18"/>
                <w:szCs w:val="18"/>
              </w:rPr>
            </w:pPr>
            <w:r w:rsidRPr="0098134D">
              <w:rPr>
                <w:rFonts w:ascii="Nunito Sans" w:hAnsi="Nunito Sans" w:eastAsia="Arial" w:cs="Calibri"/>
                <w:b/>
                <w:bCs/>
                <w:color w:val="FFFFFF" w:themeColor="background1"/>
                <w:sz w:val="18"/>
                <w:szCs w:val="18"/>
              </w:rPr>
              <w:t>AS–IS</w:t>
            </w:r>
          </w:p>
        </w:tc>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8134D" w:rsidR="005E3BD6" w:rsidP="4E60D266" w:rsidRDefault="1F325162" w14:paraId="2903FEE5" w14:textId="77777777">
            <w:pPr>
              <w:ind w:left="360" w:hanging="360"/>
              <w:jc w:val="center"/>
              <w:rPr>
                <w:rFonts w:ascii="Nunito Sans" w:hAnsi="Nunito Sans" w:eastAsia="Arial" w:cs="Calibri"/>
                <w:b/>
                <w:bCs/>
                <w:color w:val="FFFFFF" w:themeColor="background1"/>
                <w:sz w:val="18"/>
                <w:szCs w:val="18"/>
              </w:rPr>
            </w:pPr>
            <w:r w:rsidRPr="0098134D">
              <w:rPr>
                <w:rFonts w:ascii="Nunito Sans" w:hAnsi="Nunito Sans" w:eastAsia="Arial" w:cs="Calibri"/>
                <w:b/>
                <w:bCs/>
                <w:color w:val="FFFFFF" w:themeColor="background1"/>
                <w:sz w:val="18"/>
                <w:szCs w:val="18"/>
              </w:rPr>
              <w:t>ESTADO</w:t>
            </w:r>
          </w:p>
          <w:p w:rsidRPr="0098134D" w:rsidR="005E3BD6" w:rsidP="4E60D266" w:rsidRDefault="1F325162" w14:paraId="19565A41" w14:textId="77777777">
            <w:pPr>
              <w:ind w:left="360" w:hanging="360"/>
              <w:jc w:val="center"/>
              <w:rPr>
                <w:rFonts w:ascii="Nunito Sans" w:hAnsi="Nunito Sans" w:eastAsia="Arial" w:cs="Calibri"/>
                <w:b/>
                <w:bCs/>
                <w:color w:val="FFFFFF" w:themeColor="background1"/>
                <w:sz w:val="18"/>
                <w:szCs w:val="18"/>
              </w:rPr>
            </w:pPr>
            <w:r w:rsidRPr="0098134D">
              <w:rPr>
                <w:rFonts w:ascii="Nunito Sans" w:hAnsi="Nunito Sans" w:eastAsia="Arial" w:cs="Calibri"/>
                <w:b/>
                <w:bCs/>
                <w:color w:val="FFFFFF" w:themeColor="background1"/>
                <w:sz w:val="18"/>
                <w:szCs w:val="18"/>
              </w:rPr>
              <w:t>TO–BE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8134D" w:rsidR="005E3BD6" w:rsidP="00644777" w:rsidRDefault="00DB0F7B" w14:paraId="20D138E5" w14:textId="203BF7B6">
            <w:pPr>
              <w:ind w:left="38" w:hanging="38"/>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DESCRIPCIÓN DE LA BRECHA</w:t>
            </w:r>
          </w:p>
        </w:tc>
        <w:tc>
          <w:tcPr>
            <w:tcW w:w="240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98134D" w:rsidR="005E3BD6" w:rsidP="4E60D266" w:rsidRDefault="1F325162" w14:paraId="15807565" w14:textId="77777777">
            <w:pPr>
              <w:ind w:left="360" w:hanging="360"/>
              <w:jc w:val="center"/>
              <w:rPr>
                <w:rFonts w:ascii="Nunito Sans" w:hAnsi="Nunito Sans" w:eastAsia="Arial" w:cs="Calibri"/>
                <w:b/>
                <w:bCs/>
                <w:color w:val="FFFFFF" w:themeColor="background1"/>
                <w:sz w:val="18"/>
                <w:szCs w:val="18"/>
              </w:rPr>
            </w:pPr>
            <w:r w:rsidRPr="0098134D">
              <w:rPr>
                <w:rFonts w:ascii="Nunito Sans" w:hAnsi="Nunito Sans" w:eastAsia="Arial" w:cs="Calibri"/>
                <w:b/>
                <w:bCs/>
                <w:color w:val="FFFFFF" w:themeColor="background1"/>
                <w:sz w:val="18"/>
                <w:szCs w:val="18"/>
              </w:rPr>
              <w:t>ACCIÓN PROPUESTA</w:t>
            </w:r>
          </w:p>
        </w:tc>
      </w:tr>
      <w:tr w:rsidRPr="00222E47" w:rsidR="005E3BD6" w:rsidTr="00763BE3" w14:paraId="5E8ED028" w14:textId="77777777">
        <w:trPr>
          <w:cantSplit/>
          <w:trHeight w:val="1134"/>
        </w:trPr>
        <w:tc>
          <w:tcPr>
            <w:tcW w:w="567" w:type="dxa"/>
            <w:tcBorders>
              <w:top w:val="single" w:color="FFFFFF" w:themeColor="background1" w:sz="4" w:space="0"/>
            </w:tcBorders>
            <w:textDirection w:val="btLr"/>
            <w:vAlign w:val="center"/>
            <w:hideMark/>
          </w:tcPr>
          <w:p w:rsidRPr="00644777" w:rsidR="005E3BD6" w:rsidP="4E60D266" w:rsidRDefault="1F325162" w14:paraId="1D610E0F"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B01</w:t>
            </w:r>
          </w:p>
        </w:tc>
        <w:tc>
          <w:tcPr>
            <w:tcW w:w="567" w:type="dxa"/>
            <w:tcBorders>
              <w:top w:val="single" w:color="FFFFFF" w:themeColor="background1" w:sz="4" w:space="0"/>
            </w:tcBorders>
            <w:textDirection w:val="btLr"/>
            <w:vAlign w:val="center"/>
            <w:hideMark/>
          </w:tcPr>
          <w:p w:rsidRPr="00644777" w:rsidR="005E3BD6" w:rsidP="00644777" w:rsidRDefault="1F325162" w14:paraId="2F6505EE"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Gobernanza de Seguridad Sectorial</w:t>
            </w:r>
          </w:p>
        </w:tc>
        <w:tc>
          <w:tcPr>
            <w:tcW w:w="1984" w:type="dxa"/>
            <w:tcBorders>
              <w:top w:val="single" w:color="FFFFFF" w:themeColor="background1" w:sz="4" w:space="0"/>
            </w:tcBorders>
            <w:vAlign w:val="center"/>
            <w:hideMark/>
          </w:tcPr>
          <w:p w:rsidRPr="00644777" w:rsidR="005E3BD6" w:rsidP="00644777" w:rsidRDefault="1F325162" w14:paraId="51A142F1" w14:textId="77777777">
            <w:pPr>
              <w:ind w:left="37" w:hanging="37"/>
              <w:jc w:val="center"/>
              <w:rPr>
                <w:rFonts w:ascii="Nunito Sans" w:hAnsi="Nunito Sans" w:eastAsia="Arial" w:cs="Calibri"/>
                <w:sz w:val="18"/>
                <w:szCs w:val="18"/>
              </w:rPr>
            </w:pPr>
            <w:r w:rsidRPr="00644777">
              <w:rPr>
                <w:rFonts w:ascii="Nunito Sans" w:hAnsi="Nunito Sans" w:eastAsia="Arial" w:cs="Calibri"/>
                <w:sz w:val="18"/>
                <w:szCs w:val="18"/>
              </w:rPr>
              <w:t>Gestión aislada por entidad</w:t>
            </w:r>
          </w:p>
        </w:tc>
        <w:tc>
          <w:tcPr>
            <w:tcW w:w="1985" w:type="dxa"/>
            <w:tcBorders>
              <w:top w:val="single" w:color="FFFFFF" w:themeColor="background1" w:sz="4" w:space="0"/>
            </w:tcBorders>
            <w:vAlign w:val="center"/>
            <w:hideMark/>
          </w:tcPr>
          <w:p w:rsidRPr="00644777" w:rsidR="005E3BD6" w:rsidP="00644777" w:rsidRDefault="1F325162" w14:paraId="3291FC55" w14:textId="77777777">
            <w:pPr>
              <w:ind w:left="29"/>
              <w:jc w:val="center"/>
              <w:rPr>
                <w:rFonts w:ascii="Nunito Sans" w:hAnsi="Nunito Sans" w:eastAsia="Arial" w:cs="Calibri"/>
                <w:sz w:val="18"/>
                <w:szCs w:val="18"/>
              </w:rPr>
            </w:pPr>
            <w:r w:rsidRPr="00644777">
              <w:rPr>
                <w:rFonts w:ascii="Nunito Sans" w:hAnsi="Nunito Sans" w:eastAsia="Arial" w:cs="Calibri"/>
                <w:sz w:val="18"/>
                <w:szCs w:val="18"/>
              </w:rPr>
              <w:t>Coordinación sectorial orientadora</w:t>
            </w:r>
          </w:p>
        </w:tc>
        <w:tc>
          <w:tcPr>
            <w:tcW w:w="1843" w:type="dxa"/>
            <w:tcBorders>
              <w:top w:val="single" w:color="FFFFFF" w:themeColor="background1" w:sz="4" w:space="0"/>
            </w:tcBorders>
            <w:vAlign w:val="center"/>
            <w:hideMark/>
          </w:tcPr>
          <w:p w:rsidRPr="00644777" w:rsidR="005E3BD6" w:rsidP="00644777" w:rsidRDefault="1F325162" w14:paraId="258A081F" w14:textId="77777777">
            <w:pPr>
              <w:ind w:left="38" w:hanging="38"/>
              <w:jc w:val="center"/>
              <w:rPr>
                <w:rFonts w:ascii="Nunito Sans" w:hAnsi="Nunito Sans" w:eastAsia="Arial" w:cs="Calibri"/>
                <w:sz w:val="18"/>
                <w:szCs w:val="18"/>
              </w:rPr>
            </w:pPr>
            <w:r w:rsidRPr="00644777">
              <w:rPr>
                <w:rFonts w:ascii="Nunito Sans" w:hAnsi="Nunito Sans" w:eastAsia="Arial" w:cs="Calibri"/>
                <w:sz w:val="18"/>
                <w:szCs w:val="18"/>
              </w:rPr>
              <w:t>No existe modelo de articulación ni lineamientos técnicos homogéneos</w:t>
            </w:r>
          </w:p>
        </w:tc>
        <w:tc>
          <w:tcPr>
            <w:tcW w:w="2409" w:type="dxa"/>
            <w:tcBorders>
              <w:top w:val="single" w:color="FFFFFF" w:themeColor="background1" w:sz="4" w:space="0"/>
            </w:tcBorders>
            <w:vAlign w:val="center"/>
            <w:hideMark/>
          </w:tcPr>
          <w:p w:rsidRPr="00644777" w:rsidR="005E3BD6" w:rsidP="00644777" w:rsidRDefault="1F325162" w14:paraId="3B664C6D" w14:textId="77777777">
            <w:pPr>
              <w:jc w:val="center"/>
              <w:rPr>
                <w:rFonts w:ascii="Nunito Sans" w:hAnsi="Nunito Sans" w:eastAsia="Arial" w:cs="Calibri"/>
                <w:sz w:val="18"/>
                <w:szCs w:val="18"/>
              </w:rPr>
            </w:pPr>
            <w:r w:rsidRPr="00644777">
              <w:rPr>
                <w:rFonts w:ascii="Nunito Sans" w:hAnsi="Nunito Sans" w:eastAsia="Arial" w:cs="Calibri"/>
                <w:sz w:val="18"/>
                <w:szCs w:val="18"/>
              </w:rPr>
              <w:t>Establecer lineamientos sectoriales orientadores basados en MSPI/ISO27001 vinculados al Centro de Monitoreo Sectorial como instancia articuladora.</w:t>
            </w:r>
          </w:p>
        </w:tc>
      </w:tr>
      <w:tr w:rsidRPr="00222E47" w:rsidR="005E3BD6" w:rsidTr="00763BE3" w14:paraId="29D6CF88" w14:textId="77777777">
        <w:trPr>
          <w:cantSplit/>
          <w:trHeight w:val="1134"/>
        </w:trPr>
        <w:tc>
          <w:tcPr>
            <w:tcW w:w="567" w:type="dxa"/>
            <w:textDirection w:val="btLr"/>
            <w:vAlign w:val="center"/>
            <w:hideMark/>
          </w:tcPr>
          <w:p w:rsidRPr="00644777" w:rsidR="005E3BD6" w:rsidP="4E60D266" w:rsidRDefault="1F325162" w14:paraId="27D47137"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B02</w:t>
            </w:r>
          </w:p>
        </w:tc>
        <w:tc>
          <w:tcPr>
            <w:tcW w:w="567" w:type="dxa"/>
            <w:textDirection w:val="btLr"/>
            <w:vAlign w:val="center"/>
            <w:hideMark/>
          </w:tcPr>
          <w:p w:rsidRPr="00644777" w:rsidR="005E3BD6" w:rsidP="00644777" w:rsidRDefault="1F325162" w14:paraId="1C0806ED" w14:textId="77777777">
            <w:pPr>
              <w:ind w:left="113" w:right="113"/>
              <w:jc w:val="center"/>
              <w:rPr>
                <w:rFonts w:ascii="Nunito Sans" w:hAnsi="Nunito Sans" w:eastAsia="Arial" w:cs="Calibri"/>
                <w:sz w:val="18"/>
                <w:szCs w:val="18"/>
              </w:rPr>
            </w:pPr>
            <w:r w:rsidRPr="00644777">
              <w:rPr>
                <w:rFonts w:ascii="Nunito Sans" w:hAnsi="Nunito Sans" w:eastAsia="Arial" w:cs="Calibri"/>
                <w:sz w:val="18"/>
                <w:szCs w:val="18"/>
              </w:rPr>
              <w:t>SOC y Monitoreo</w:t>
            </w:r>
          </w:p>
        </w:tc>
        <w:tc>
          <w:tcPr>
            <w:tcW w:w="1984" w:type="dxa"/>
            <w:vAlign w:val="center"/>
            <w:hideMark/>
          </w:tcPr>
          <w:p w:rsidRPr="00644777" w:rsidR="005E3BD6" w:rsidP="00644777" w:rsidRDefault="1F325162" w14:paraId="7AFE718F" w14:textId="77777777">
            <w:pPr>
              <w:jc w:val="center"/>
              <w:rPr>
                <w:rFonts w:ascii="Nunito Sans" w:hAnsi="Nunito Sans" w:eastAsia="Arial" w:cs="Calibri"/>
                <w:sz w:val="18"/>
                <w:szCs w:val="18"/>
              </w:rPr>
            </w:pPr>
            <w:r w:rsidRPr="00644777">
              <w:rPr>
                <w:rFonts w:ascii="Nunito Sans" w:hAnsi="Nunito Sans" w:eastAsia="Arial" w:cs="Calibri"/>
                <w:sz w:val="18"/>
                <w:szCs w:val="18"/>
              </w:rPr>
              <w:t>Monitoreo individual con capacidades desiguales</w:t>
            </w:r>
          </w:p>
        </w:tc>
        <w:tc>
          <w:tcPr>
            <w:tcW w:w="1985" w:type="dxa"/>
            <w:vAlign w:val="center"/>
            <w:hideMark/>
          </w:tcPr>
          <w:p w:rsidRPr="00644777" w:rsidR="005E3BD6" w:rsidP="00644777" w:rsidRDefault="1F325162" w14:paraId="0E577563" w14:textId="77777777">
            <w:pPr>
              <w:jc w:val="center"/>
              <w:rPr>
                <w:rFonts w:ascii="Nunito Sans" w:hAnsi="Nunito Sans" w:eastAsia="Arial" w:cs="Calibri"/>
                <w:sz w:val="18"/>
                <w:szCs w:val="18"/>
              </w:rPr>
            </w:pPr>
            <w:r w:rsidRPr="00644777">
              <w:rPr>
                <w:rFonts w:ascii="Nunito Sans" w:hAnsi="Nunito Sans" w:eastAsia="Arial" w:cs="Calibri"/>
                <w:sz w:val="18"/>
                <w:szCs w:val="18"/>
              </w:rPr>
              <w:t>Centro de Monitoreo Sectorial con NOC–SOC progresivo</w:t>
            </w:r>
          </w:p>
        </w:tc>
        <w:tc>
          <w:tcPr>
            <w:tcW w:w="1843" w:type="dxa"/>
            <w:vAlign w:val="center"/>
            <w:hideMark/>
          </w:tcPr>
          <w:p w:rsidRPr="00644777" w:rsidR="005E3BD6" w:rsidP="00644777" w:rsidRDefault="1F325162" w14:paraId="4C3F02F3" w14:textId="77777777">
            <w:pPr>
              <w:jc w:val="center"/>
              <w:rPr>
                <w:rFonts w:ascii="Nunito Sans" w:hAnsi="Nunito Sans" w:eastAsia="Arial" w:cs="Calibri"/>
                <w:sz w:val="18"/>
                <w:szCs w:val="18"/>
              </w:rPr>
            </w:pPr>
            <w:r w:rsidRPr="00644777">
              <w:rPr>
                <w:rFonts w:ascii="Nunito Sans" w:hAnsi="Nunito Sans" w:eastAsia="Arial" w:cs="Calibri"/>
                <w:sz w:val="18"/>
                <w:szCs w:val="18"/>
              </w:rPr>
              <w:t>No hay observabilidad ni correlación de eventos a nivel sectorial</w:t>
            </w:r>
          </w:p>
        </w:tc>
        <w:tc>
          <w:tcPr>
            <w:tcW w:w="2409" w:type="dxa"/>
            <w:vAlign w:val="center"/>
            <w:hideMark/>
          </w:tcPr>
          <w:p w:rsidRPr="00644777" w:rsidR="005E3BD6" w:rsidP="00644777" w:rsidRDefault="1F325162" w14:paraId="2860EFA8" w14:textId="77777777">
            <w:pPr>
              <w:jc w:val="center"/>
              <w:rPr>
                <w:rFonts w:ascii="Nunito Sans" w:hAnsi="Nunito Sans" w:eastAsia="Arial" w:cs="Calibri"/>
                <w:sz w:val="18"/>
                <w:szCs w:val="18"/>
              </w:rPr>
            </w:pPr>
            <w:r w:rsidRPr="00644777">
              <w:rPr>
                <w:rFonts w:ascii="Nunito Sans" w:hAnsi="Nunito Sans" w:eastAsia="Arial" w:cs="Calibri"/>
                <w:sz w:val="18"/>
                <w:szCs w:val="18"/>
              </w:rPr>
              <w:t>Implementar intercambio de alertas y trazabilidad mínima, y activación progresiva de servicios SOC del Centro Sectorial (Fase CSIRT joven).</w:t>
            </w:r>
          </w:p>
        </w:tc>
      </w:tr>
      <w:tr w:rsidRPr="00222E47" w:rsidR="005E3BD6" w:rsidTr="00763BE3" w14:paraId="45D8A64F" w14:textId="77777777">
        <w:trPr>
          <w:cantSplit/>
          <w:trHeight w:val="1134"/>
        </w:trPr>
        <w:tc>
          <w:tcPr>
            <w:tcW w:w="567" w:type="dxa"/>
            <w:textDirection w:val="btLr"/>
            <w:vAlign w:val="center"/>
            <w:hideMark/>
          </w:tcPr>
          <w:p w:rsidRPr="00644777" w:rsidR="005E3BD6" w:rsidP="4E60D266" w:rsidRDefault="1F325162" w14:paraId="30E46388"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B03</w:t>
            </w:r>
          </w:p>
        </w:tc>
        <w:tc>
          <w:tcPr>
            <w:tcW w:w="567" w:type="dxa"/>
            <w:textDirection w:val="btLr"/>
            <w:vAlign w:val="center"/>
            <w:hideMark/>
          </w:tcPr>
          <w:p w:rsidRPr="00644777" w:rsidR="005E3BD6" w:rsidP="00644777" w:rsidRDefault="1F325162" w14:paraId="44CB2B0D" w14:textId="77777777">
            <w:pPr>
              <w:ind w:left="113" w:right="113"/>
              <w:jc w:val="center"/>
              <w:rPr>
                <w:rFonts w:ascii="Nunito Sans" w:hAnsi="Nunito Sans" w:eastAsia="Arial" w:cs="Calibri"/>
                <w:sz w:val="18"/>
                <w:szCs w:val="18"/>
              </w:rPr>
            </w:pPr>
            <w:r w:rsidRPr="00644777">
              <w:rPr>
                <w:rFonts w:ascii="Nunito Sans" w:hAnsi="Nunito Sans" w:eastAsia="Arial" w:cs="Calibri"/>
                <w:sz w:val="18"/>
                <w:szCs w:val="18"/>
              </w:rPr>
              <w:t>Respuesta a Incidentes (CSIRT)</w:t>
            </w:r>
          </w:p>
        </w:tc>
        <w:tc>
          <w:tcPr>
            <w:tcW w:w="1984" w:type="dxa"/>
            <w:vAlign w:val="center"/>
            <w:hideMark/>
          </w:tcPr>
          <w:p w:rsidRPr="00644777" w:rsidR="005E3BD6" w:rsidP="00644777" w:rsidRDefault="1F325162" w14:paraId="413F78F9" w14:textId="77777777">
            <w:pPr>
              <w:jc w:val="center"/>
              <w:rPr>
                <w:rFonts w:ascii="Nunito Sans" w:hAnsi="Nunito Sans" w:eastAsia="Arial" w:cs="Calibri"/>
                <w:sz w:val="18"/>
                <w:szCs w:val="18"/>
              </w:rPr>
            </w:pPr>
            <w:r w:rsidRPr="00644777">
              <w:rPr>
                <w:rFonts w:ascii="Nunito Sans" w:hAnsi="Nunito Sans" w:eastAsia="Arial" w:cs="Calibri"/>
                <w:sz w:val="18"/>
                <w:szCs w:val="18"/>
              </w:rPr>
              <w:t>Sin coordinación multi–entidad; respuesta reactiva</w:t>
            </w:r>
          </w:p>
        </w:tc>
        <w:tc>
          <w:tcPr>
            <w:tcW w:w="1985" w:type="dxa"/>
            <w:vAlign w:val="center"/>
            <w:hideMark/>
          </w:tcPr>
          <w:p w:rsidRPr="00644777" w:rsidR="005E3BD6" w:rsidP="00644777" w:rsidRDefault="1F325162" w14:paraId="3B10CDD6" w14:textId="77777777">
            <w:pPr>
              <w:jc w:val="center"/>
              <w:rPr>
                <w:rFonts w:ascii="Nunito Sans" w:hAnsi="Nunito Sans" w:eastAsia="Arial" w:cs="Calibri"/>
                <w:sz w:val="18"/>
                <w:szCs w:val="18"/>
              </w:rPr>
            </w:pPr>
            <w:r w:rsidRPr="00644777">
              <w:rPr>
                <w:rFonts w:ascii="Nunito Sans" w:hAnsi="Nunito Sans" w:eastAsia="Arial" w:cs="Calibri"/>
                <w:sz w:val="18"/>
                <w:szCs w:val="18"/>
              </w:rPr>
              <w:t xml:space="preserve">CSIRT sectorial joven </w:t>
            </w:r>
            <w:r w:rsidRPr="00644777">
              <w:rPr>
                <w:rFonts w:hint="eastAsia"/>
                <w:sz w:val="18"/>
                <w:szCs w:val="18"/>
              </w:rPr>
              <w:t>→</w:t>
            </w:r>
            <w:r w:rsidRPr="00644777">
              <w:rPr>
                <w:rFonts w:ascii="Nunito Sans" w:hAnsi="Nunito Sans" w:eastAsia="Arial" w:cs="Calibri"/>
                <w:sz w:val="18"/>
                <w:szCs w:val="18"/>
              </w:rPr>
              <w:t xml:space="preserve"> maduro en 48 meses</w:t>
            </w:r>
          </w:p>
        </w:tc>
        <w:tc>
          <w:tcPr>
            <w:tcW w:w="1843" w:type="dxa"/>
            <w:vAlign w:val="center"/>
            <w:hideMark/>
          </w:tcPr>
          <w:p w:rsidRPr="00644777" w:rsidR="005E3BD6" w:rsidP="00644777" w:rsidRDefault="1F325162" w14:paraId="0EB55B5E" w14:textId="77777777">
            <w:pPr>
              <w:jc w:val="center"/>
              <w:rPr>
                <w:rFonts w:ascii="Nunito Sans" w:hAnsi="Nunito Sans" w:eastAsia="Arial" w:cs="Calibri"/>
                <w:sz w:val="18"/>
                <w:szCs w:val="18"/>
              </w:rPr>
            </w:pPr>
            <w:r w:rsidRPr="00644777">
              <w:rPr>
                <w:rFonts w:ascii="Nunito Sans" w:hAnsi="Nunito Sans" w:eastAsia="Arial" w:cs="Calibri"/>
                <w:sz w:val="18"/>
                <w:szCs w:val="18"/>
              </w:rPr>
              <w:t>No hay protocolo sectorial de reacción, forensia y escalamiento</w:t>
            </w:r>
          </w:p>
        </w:tc>
        <w:tc>
          <w:tcPr>
            <w:tcW w:w="2409" w:type="dxa"/>
            <w:vAlign w:val="center"/>
            <w:hideMark/>
          </w:tcPr>
          <w:p w:rsidRPr="00644777" w:rsidR="005E3BD6" w:rsidP="00644777" w:rsidRDefault="1F325162" w14:paraId="5E7EE9B5" w14:textId="77777777">
            <w:pPr>
              <w:jc w:val="center"/>
              <w:rPr>
                <w:rFonts w:ascii="Nunito Sans" w:hAnsi="Nunito Sans" w:eastAsia="Arial" w:cs="Calibri"/>
                <w:sz w:val="18"/>
                <w:szCs w:val="18"/>
              </w:rPr>
            </w:pPr>
            <w:r w:rsidRPr="00644777">
              <w:rPr>
                <w:rFonts w:ascii="Nunito Sans" w:hAnsi="Nunito Sans" w:eastAsia="Arial" w:cs="Calibri"/>
                <w:sz w:val="18"/>
                <w:szCs w:val="18"/>
              </w:rPr>
              <w:t>Implementar protocolo sectorial de incidentes (detección, contención, forensia, comunicación, cierre) alineado al CSIRT joven.</w:t>
            </w:r>
          </w:p>
        </w:tc>
      </w:tr>
      <w:tr w:rsidRPr="00222E47" w:rsidR="005E3BD6" w:rsidTr="00763BE3" w14:paraId="44F4AAF4" w14:textId="77777777">
        <w:trPr>
          <w:cantSplit/>
          <w:trHeight w:val="1134"/>
        </w:trPr>
        <w:tc>
          <w:tcPr>
            <w:tcW w:w="567" w:type="dxa"/>
            <w:textDirection w:val="btLr"/>
            <w:vAlign w:val="center"/>
            <w:hideMark/>
          </w:tcPr>
          <w:p w:rsidRPr="00644777" w:rsidR="005E3BD6" w:rsidP="4E60D266" w:rsidRDefault="1F325162" w14:paraId="23711192"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B04</w:t>
            </w:r>
          </w:p>
        </w:tc>
        <w:tc>
          <w:tcPr>
            <w:tcW w:w="567" w:type="dxa"/>
            <w:textDirection w:val="btLr"/>
            <w:vAlign w:val="center"/>
            <w:hideMark/>
          </w:tcPr>
          <w:p w:rsidRPr="00644777" w:rsidR="005E3BD6" w:rsidP="00644777" w:rsidRDefault="1F325162" w14:paraId="43BBE4F5" w14:textId="77777777">
            <w:pPr>
              <w:ind w:left="113" w:right="113"/>
              <w:jc w:val="center"/>
              <w:rPr>
                <w:rFonts w:ascii="Nunito Sans" w:hAnsi="Nunito Sans" w:eastAsia="Arial" w:cs="Calibri"/>
                <w:sz w:val="18"/>
                <w:szCs w:val="18"/>
              </w:rPr>
            </w:pPr>
            <w:r w:rsidRPr="00644777">
              <w:rPr>
                <w:rFonts w:ascii="Nunito Sans" w:hAnsi="Nunito Sans" w:eastAsia="Arial" w:cs="Calibri"/>
                <w:sz w:val="18"/>
                <w:szCs w:val="18"/>
              </w:rPr>
              <w:t>Forensia Digital</w:t>
            </w:r>
          </w:p>
        </w:tc>
        <w:tc>
          <w:tcPr>
            <w:tcW w:w="1984" w:type="dxa"/>
            <w:vAlign w:val="center"/>
            <w:hideMark/>
          </w:tcPr>
          <w:p w:rsidRPr="00644777" w:rsidR="005E3BD6" w:rsidP="00644777" w:rsidRDefault="1F325162" w14:paraId="1A4B5975" w14:textId="77777777">
            <w:pPr>
              <w:jc w:val="center"/>
              <w:rPr>
                <w:rFonts w:ascii="Nunito Sans" w:hAnsi="Nunito Sans" w:eastAsia="Arial" w:cs="Calibri"/>
                <w:sz w:val="18"/>
                <w:szCs w:val="18"/>
              </w:rPr>
            </w:pPr>
            <w:r w:rsidRPr="00644777">
              <w:rPr>
                <w:rFonts w:ascii="Nunito Sans" w:hAnsi="Nunito Sans" w:eastAsia="Arial" w:cs="Calibri"/>
                <w:sz w:val="18"/>
                <w:szCs w:val="18"/>
              </w:rPr>
              <w:t>Dependencia plena de proveedores, sin laboratorio compartido</w:t>
            </w:r>
          </w:p>
        </w:tc>
        <w:tc>
          <w:tcPr>
            <w:tcW w:w="1985" w:type="dxa"/>
            <w:vAlign w:val="center"/>
            <w:hideMark/>
          </w:tcPr>
          <w:p w:rsidRPr="00644777" w:rsidR="005E3BD6" w:rsidP="00644777" w:rsidRDefault="1F325162" w14:paraId="57B397CC" w14:textId="77777777">
            <w:pPr>
              <w:jc w:val="center"/>
              <w:rPr>
                <w:rFonts w:ascii="Nunito Sans" w:hAnsi="Nunito Sans" w:eastAsia="Arial" w:cs="Calibri"/>
                <w:sz w:val="18"/>
                <w:szCs w:val="18"/>
              </w:rPr>
            </w:pPr>
            <w:r w:rsidRPr="00644777">
              <w:rPr>
                <w:rFonts w:ascii="Nunito Sans" w:hAnsi="Nunito Sans" w:eastAsia="Arial" w:cs="Calibri"/>
                <w:sz w:val="18"/>
                <w:szCs w:val="18"/>
              </w:rPr>
              <w:t>Laboratorio Forense Sectorial</w:t>
            </w:r>
          </w:p>
        </w:tc>
        <w:tc>
          <w:tcPr>
            <w:tcW w:w="1843" w:type="dxa"/>
            <w:vAlign w:val="center"/>
            <w:hideMark/>
          </w:tcPr>
          <w:p w:rsidRPr="00644777" w:rsidR="005E3BD6" w:rsidP="00644777" w:rsidRDefault="1F325162" w14:paraId="1FD35317" w14:textId="77777777">
            <w:pPr>
              <w:jc w:val="center"/>
              <w:rPr>
                <w:rFonts w:ascii="Nunito Sans" w:hAnsi="Nunito Sans" w:eastAsia="Arial" w:cs="Calibri"/>
                <w:sz w:val="18"/>
                <w:szCs w:val="18"/>
              </w:rPr>
            </w:pPr>
            <w:r w:rsidRPr="00644777">
              <w:rPr>
                <w:rFonts w:ascii="Nunito Sans" w:hAnsi="Nunito Sans" w:eastAsia="Arial" w:cs="Calibri"/>
                <w:sz w:val="18"/>
                <w:szCs w:val="18"/>
              </w:rPr>
              <w:t>No existe repositorio ni cadena de custodia unificada</w:t>
            </w:r>
          </w:p>
        </w:tc>
        <w:tc>
          <w:tcPr>
            <w:tcW w:w="2409" w:type="dxa"/>
            <w:vAlign w:val="center"/>
            <w:hideMark/>
          </w:tcPr>
          <w:p w:rsidRPr="00644777" w:rsidR="005E3BD6" w:rsidP="00644777" w:rsidRDefault="1F325162" w14:paraId="09275501" w14:textId="77777777">
            <w:pPr>
              <w:jc w:val="center"/>
              <w:rPr>
                <w:rFonts w:ascii="Nunito Sans" w:hAnsi="Nunito Sans" w:eastAsia="Arial" w:cs="Calibri"/>
                <w:sz w:val="18"/>
                <w:szCs w:val="18"/>
              </w:rPr>
            </w:pPr>
            <w:r w:rsidRPr="00644777">
              <w:rPr>
                <w:rFonts w:ascii="Nunito Sans" w:hAnsi="Nunito Sans" w:eastAsia="Arial" w:cs="Calibri"/>
                <w:sz w:val="18"/>
                <w:szCs w:val="18"/>
              </w:rPr>
              <w:t>Implementar cadena de custodia sectorial y laboratorio forense coordinado alojado en el Centro de Monitoreo.</w:t>
            </w:r>
          </w:p>
        </w:tc>
      </w:tr>
      <w:tr w:rsidRPr="00222E47" w:rsidR="005E3BD6" w:rsidTr="00763BE3" w14:paraId="431DCDFE" w14:textId="77777777">
        <w:trPr>
          <w:cantSplit/>
          <w:trHeight w:val="1134"/>
        </w:trPr>
        <w:tc>
          <w:tcPr>
            <w:tcW w:w="567" w:type="dxa"/>
            <w:textDirection w:val="btLr"/>
            <w:vAlign w:val="center"/>
            <w:hideMark/>
          </w:tcPr>
          <w:p w:rsidRPr="00644777" w:rsidR="005E3BD6" w:rsidP="4E60D266" w:rsidRDefault="1F325162" w14:paraId="794F3731"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B05</w:t>
            </w:r>
          </w:p>
        </w:tc>
        <w:tc>
          <w:tcPr>
            <w:tcW w:w="567" w:type="dxa"/>
            <w:textDirection w:val="btLr"/>
            <w:vAlign w:val="center"/>
            <w:hideMark/>
          </w:tcPr>
          <w:p w:rsidRPr="00644777" w:rsidR="005E3BD6" w:rsidP="00644777" w:rsidRDefault="1F325162" w14:paraId="6F0549DC" w14:textId="77777777">
            <w:pPr>
              <w:ind w:left="113" w:right="113"/>
              <w:jc w:val="center"/>
              <w:rPr>
                <w:rFonts w:ascii="Nunito Sans" w:hAnsi="Nunito Sans" w:eastAsia="Arial" w:cs="Calibri"/>
                <w:sz w:val="18"/>
                <w:szCs w:val="18"/>
              </w:rPr>
            </w:pPr>
            <w:r w:rsidRPr="00644777">
              <w:rPr>
                <w:rFonts w:ascii="Nunito Sans" w:hAnsi="Nunito Sans" w:eastAsia="Arial" w:cs="Calibri"/>
                <w:sz w:val="18"/>
                <w:szCs w:val="18"/>
              </w:rPr>
              <w:t>Continuidad Operacional</w:t>
            </w:r>
          </w:p>
        </w:tc>
        <w:tc>
          <w:tcPr>
            <w:tcW w:w="1984" w:type="dxa"/>
            <w:vAlign w:val="center"/>
            <w:hideMark/>
          </w:tcPr>
          <w:p w:rsidRPr="00644777" w:rsidR="005E3BD6" w:rsidP="00644777" w:rsidRDefault="1F325162" w14:paraId="38EF6EE3" w14:textId="77777777">
            <w:pPr>
              <w:jc w:val="center"/>
              <w:rPr>
                <w:rFonts w:ascii="Nunito Sans" w:hAnsi="Nunito Sans" w:eastAsia="Arial" w:cs="Calibri"/>
                <w:sz w:val="18"/>
                <w:szCs w:val="18"/>
              </w:rPr>
            </w:pPr>
            <w:r w:rsidRPr="00644777">
              <w:rPr>
                <w:rFonts w:ascii="Nunito Sans" w:hAnsi="Nunito Sans" w:eastAsia="Arial" w:cs="Calibri"/>
                <w:sz w:val="18"/>
                <w:szCs w:val="18"/>
              </w:rPr>
              <w:t>BCP/DRP y BIA desiguales sin pruebas conjuntas</w:t>
            </w:r>
          </w:p>
        </w:tc>
        <w:tc>
          <w:tcPr>
            <w:tcW w:w="1985" w:type="dxa"/>
            <w:vAlign w:val="center"/>
            <w:hideMark/>
          </w:tcPr>
          <w:p w:rsidRPr="00644777" w:rsidR="005E3BD6" w:rsidP="00644777" w:rsidRDefault="1F325162" w14:paraId="547DDEF1" w14:textId="77777777">
            <w:pPr>
              <w:jc w:val="center"/>
              <w:rPr>
                <w:rFonts w:ascii="Nunito Sans" w:hAnsi="Nunito Sans" w:eastAsia="Arial" w:cs="Calibri"/>
                <w:sz w:val="18"/>
                <w:szCs w:val="18"/>
              </w:rPr>
            </w:pPr>
            <w:r w:rsidRPr="00644777">
              <w:rPr>
                <w:rFonts w:ascii="Nunito Sans" w:hAnsi="Nunito Sans" w:eastAsia="Arial" w:cs="Calibri"/>
                <w:sz w:val="18"/>
                <w:szCs w:val="18"/>
              </w:rPr>
              <w:t>CDA/DRP sectorial con Data Center principal + alterno</w:t>
            </w:r>
          </w:p>
        </w:tc>
        <w:tc>
          <w:tcPr>
            <w:tcW w:w="1843" w:type="dxa"/>
            <w:vAlign w:val="center"/>
            <w:hideMark/>
          </w:tcPr>
          <w:p w:rsidRPr="00644777" w:rsidR="005E3BD6" w:rsidP="00644777" w:rsidRDefault="1F325162" w14:paraId="7BDEB3A4" w14:textId="77777777">
            <w:pPr>
              <w:jc w:val="center"/>
              <w:rPr>
                <w:rFonts w:ascii="Nunito Sans" w:hAnsi="Nunito Sans" w:eastAsia="Arial" w:cs="Calibri"/>
                <w:sz w:val="18"/>
                <w:szCs w:val="18"/>
              </w:rPr>
            </w:pPr>
            <w:r w:rsidRPr="00644777">
              <w:rPr>
                <w:rFonts w:ascii="Nunito Sans" w:hAnsi="Nunito Sans" w:eastAsia="Arial" w:cs="Calibri"/>
                <w:sz w:val="18"/>
                <w:szCs w:val="18"/>
              </w:rPr>
              <w:t>No hay continuidad sectorial ni pruebas multi–entidad</w:t>
            </w:r>
          </w:p>
        </w:tc>
        <w:tc>
          <w:tcPr>
            <w:tcW w:w="2409" w:type="dxa"/>
            <w:vAlign w:val="center"/>
            <w:hideMark/>
          </w:tcPr>
          <w:p w:rsidRPr="00644777" w:rsidR="005E3BD6" w:rsidP="00644777" w:rsidRDefault="1F325162" w14:paraId="299E9098" w14:textId="77777777">
            <w:pPr>
              <w:jc w:val="center"/>
              <w:rPr>
                <w:rFonts w:ascii="Nunito Sans" w:hAnsi="Nunito Sans" w:eastAsia="Arial" w:cs="Calibri"/>
                <w:sz w:val="18"/>
                <w:szCs w:val="18"/>
              </w:rPr>
            </w:pPr>
            <w:r w:rsidRPr="00644777">
              <w:rPr>
                <w:rFonts w:ascii="Nunito Sans" w:hAnsi="Nunito Sans" w:eastAsia="Arial" w:cs="Calibri"/>
                <w:sz w:val="18"/>
                <w:szCs w:val="18"/>
              </w:rPr>
              <w:t>Establecer estándares mínimos de RTO/RPO, pruebas escalonadas de continuidad y activación sectorial de salas de crisis.</w:t>
            </w:r>
          </w:p>
        </w:tc>
      </w:tr>
      <w:tr w:rsidRPr="00222E47" w:rsidR="005E3BD6" w:rsidTr="00763BE3" w14:paraId="4EA6345D" w14:textId="77777777">
        <w:trPr>
          <w:cantSplit/>
          <w:trHeight w:val="1134"/>
        </w:trPr>
        <w:tc>
          <w:tcPr>
            <w:tcW w:w="567" w:type="dxa"/>
            <w:textDirection w:val="btLr"/>
            <w:vAlign w:val="center"/>
            <w:hideMark/>
          </w:tcPr>
          <w:p w:rsidRPr="00644777" w:rsidR="005E3BD6" w:rsidP="4E60D266" w:rsidRDefault="1F325162" w14:paraId="69745AA5" w14:textId="77777777">
            <w:pPr>
              <w:ind w:left="473" w:right="113" w:hanging="360"/>
              <w:jc w:val="center"/>
              <w:rPr>
                <w:rFonts w:ascii="Nunito Sans" w:hAnsi="Nunito Sans" w:eastAsia="Arial" w:cs="Calibri"/>
                <w:sz w:val="18"/>
                <w:szCs w:val="18"/>
              </w:rPr>
            </w:pPr>
            <w:r w:rsidRPr="00644777">
              <w:rPr>
                <w:rFonts w:ascii="Nunito Sans" w:hAnsi="Nunito Sans" w:eastAsia="Arial" w:cs="Calibri"/>
                <w:sz w:val="18"/>
                <w:szCs w:val="18"/>
              </w:rPr>
              <w:t>B06</w:t>
            </w:r>
          </w:p>
        </w:tc>
        <w:tc>
          <w:tcPr>
            <w:tcW w:w="567" w:type="dxa"/>
            <w:textDirection w:val="btLr"/>
            <w:vAlign w:val="center"/>
            <w:hideMark/>
          </w:tcPr>
          <w:p w:rsidRPr="00644777" w:rsidR="005E3BD6" w:rsidP="00644777" w:rsidRDefault="1F325162" w14:paraId="2FC64FD2" w14:textId="77777777">
            <w:pPr>
              <w:ind w:left="113" w:right="113"/>
              <w:jc w:val="center"/>
              <w:rPr>
                <w:rFonts w:ascii="Nunito Sans" w:hAnsi="Nunito Sans" w:eastAsia="Arial" w:cs="Calibri"/>
                <w:sz w:val="18"/>
                <w:szCs w:val="18"/>
              </w:rPr>
            </w:pPr>
            <w:r w:rsidRPr="00644777">
              <w:rPr>
                <w:rFonts w:ascii="Nunito Sans" w:hAnsi="Nunito Sans" w:eastAsia="Arial" w:cs="Calibri"/>
                <w:sz w:val="18"/>
                <w:szCs w:val="18"/>
              </w:rPr>
              <w:t>Protección de Datos Personales</w:t>
            </w:r>
          </w:p>
        </w:tc>
        <w:tc>
          <w:tcPr>
            <w:tcW w:w="1984" w:type="dxa"/>
            <w:vAlign w:val="center"/>
            <w:hideMark/>
          </w:tcPr>
          <w:p w:rsidRPr="00644777" w:rsidR="005E3BD6" w:rsidP="00644777" w:rsidRDefault="1F325162" w14:paraId="65F109FF" w14:textId="77777777">
            <w:pPr>
              <w:jc w:val="center"/>
              <w:rPr>
                <w:rFonts w:ascii="Nunito Sans" w:hAnsi="Nunito Sans" w:eastAsia="Arial" w:cs="Calibri"/>
                <w:sz w:val="18"/>
                <w:szCs w:val="18"/>
              </w:rPr>
            </w:pPr>
            <w:r w:rsidRPr="00644777">
              <w:rPr>
                <w:rFonts w:ascii="Nunito Sans" w:hAnsi="Nunito Sans" w:eastAsia="Arial" w:cs="Calibri"/>
                <w:sz w:val="18"/>
                <w:szCs w:val="18"/>
              </w:rPr>
              <w:t>Cumplimiento jurídico, pero sin controles técnicos homogéneos</w:t>
            </w:r>
          </w:p>
        </w:tc>
        <w:tc>
          <w:tcPr>
            <w:tcW w:w="1985" w:type="dxa"/>
            <w:vAlign w:val="center"/>
            <w:hideMark/>
          </w:tcPr>
          <w:p w:rsidRPr="00644777" w:rsidR="005E3BD6" w:rsidP="00644777" w:rsidRDefault="1F325162" w14:paraId="6B196C40" w14:textId="77777777">
            <w:pPr>
              <w:jc w:val="center"/>
              <w:rPr>
                <w:rFonts w:ascii="Nunito Sans" w:hAnsi="Nunito Sans" w:eastAsia="Arial" w:cs="Calibri"/>
                <w:sz w:val="18"/>
                <w:szCs w:val="18"/>
              </w:rPr>
            </w:pPr>
            <w:r w:rsidRPr="00644777">
              <w:rPr>
                <w:rFonts w:ascii="Nunito Sans" w:hAnsi="Nunito Sans" w:eastAsia="Arial" w:cs="Calibri"/>
                <w:sz w:val="18"/>
                <w:szCs w:val="18"/>
              </w:rPr>
              <w:t>Estándares técnicos mínimos sectoriales (DLP, cifrado, trazabilidad)</w:t>
            </w:r>
          </w:p>
        </w:tc>
        <w:tc>
          <w:tcPr>
            <w:tcW w:w="1843" w:type="dxa"/>
            <w:vAlign w:val="center"/>
            <w:hideMark/>
          </w:tcPr>
          <w:p w:rsidRPr="00644777" w:rsidR="005E3BD6" w:rsidP="00644777" w:rsidRDefault="1F325162" w14:paraId="495AD3AD" w14:textId="77777777">
            <w:pPr>
              <w:jc w:val="center"/>
              <w:rPr>
                <w:rFonts w:ascii="Nunito Sans" w:hAnsi="Nunito Sans" w:eastAsia="Arial" w:cs="Calibri"/>
                <w:sz w:val="18"/>
                <w:szCs w:val="18"/>
              </w:rPr>
            </w:pPr>
            <w:r w:rsidRPr="00644777">
              <w:rPr>
                <w:rFonts w:ascii="Nunito Sans" w:hAnsi="Nunito Sans" w:eastAsia="Arial" w:cs="Calibri"/>
                <w:sz w:val="18"/>
                <w:szCs w:val="18"/>
              </w:rPr>
              <w:t>Falta de criterios de anonimización, retención, trazabilidad y DLP comunes</w:t>
            </w:r>
          </w:p>
        </w:tc>
        <w:tc>
          <w:tcPr>
            <w:tcW w:w="2409" w:type="dxa"/>
            <w:vAlign w:val="center"/>
            <w:hideMark/>
          </w:tcPr>
          <w:p w:rsidRPr="00644777" w:rsidR="005E3BD6" w:rsidP="00644777" w:rsidRDefault="1F325162" w14:paraId="3C777A93" w14:textId="77777777">
            <w:pPr>
              <w:jc w:val="center"/>
              <w:rPr>
                <w:rFonts w:ascii="Nunito Sans" w:hAnsi="Nunito Sans" w:eastAsia="Arial" w:cs="Calibri"/>
                <w:sz w:val="18"/>
                <w:szCs w:val="18"/>
              </w:rPr>
            </w:pPr>
            <w:r w:rsidRPr="00644777">
              <w:rPr>
                <w:rFonts w:ascii="Nunito Sans" w:hAnsi="Nunito Sans" w:eastAsia="Arial" w:cs="Calibri"/>
                <w:sz w:val="18"/>
                <w:szCs w:val="18"/>
              </w:rPr>
              <w:t>Desarrollar lineamiento sectorial técnico de privacidad con controles mínimos exigibles a las entidades, coordinado desde el Centro de Monitoreo.</w:t>
            </w:r>
          </w:p>
        </w:tc>
      </w:tr>
      <w:tr w:rsidRPr="00222E47" w:rsidR="005E3BD6" w:rsidTr="00763BE3" w14:paraId="0A508536" w14:textId="77777777">
        <w:trPr>
          <w:cantSplit/>
          <w:trHeight w:val="1134"/>
        </w:trPr>
        <w:tc>
          <w:tcPr>
            <w:tcW w:w="567" w:type="dxa"/>
            <w:textDirection w:val="btLr"/>
            <w:vAlign w:val="center"/>
            <w:hideMark/>
          </w:tcPr>
          <w:p w:rsidRPr="00222E47" w:rsidR="005E3BD6" w:rsidP="00DB0F7B" w:rsidRDefault="1F325162" w14:paraId="5933C141" w14:textId="77777777">
            <w:pPr>
              <w:ind w:left="473" w:right="113" w:hanging="360"/>
              <w:jc w:val="center"/>
              <w:rPr>
                <w:rFonts w:ascii="Nunito Sans" w:hAnsi="Nunito Sans" w:eastAsia="Arial" w:cs="Calibri"/>
                <w:sz w:val="18"/>
                <w:szCs w:val="18"/>
              </w:rPr>
            </w:pPr>
            <w:r w:rsidRPr="4E60D266">
              <w:rPr>
                <w:rFonts w:ascii="Nunito Sans" w:hAnsi="Nunito Sans" w:eastAsia="Arial" w:cs="Calibri"/>
                <w:sz w:val="18"/>
                <w:szCs w:val="18"/>
              </w:rPr>
              <w:lastRenderedPageBreak/>
              <w:t>B07</w:t>
            </w:r>
          </w:p>
        </w:tc>
        <w:tc>
          <w:tcPr>
            <w:tcW w:w="567" w:type="dxa"/>
            <w:textDirection w:val="btLr"/>
            <w:vAlign w:val="center"/>
            <w:hideMark/>
          </w:tcPr>
          <w:p w:rsidRPr="00222E47" w:rsidR="005E3BD6" w:rsidP="00DB0F7B" w:rsidRDefault="1F325162" w14:paraId="3189C2EA" w14:textId="77777777">
            <w:pPr>
              <w:ind w:left="113" w:right="113"/>
              <w:jc w:val="center"/>
              <w:rPr>
                <w:rFonts w:ascii="Nunito Sans" w:hAnsi="Nunito Sans" w:eastAsia="Arial" w:cs="Calibri"/>
                <w:sz w:val="18"/>
                <w:szCs w:val="18"/>
              </w:rPr>
            </w:pPr>
            <w:r w:rsidRPr="4E60D266">
              <w:rPr>
                <w:rFonts w:ascii="Nunito Sans" w:hAnsi="Nunito Sans" w:eastAsia="Arial" w:cs="Calibri"/>
                <w:sz w:val="18"/>
                <w:szCs w:val="18"/>
              </w:rPr>
              <w:t>Gestión de Proveedores TIC</w:t>
            </w:r>
          </w:p>
        </w:tc>
        <w:tc>
          <w:tcPr>
            <w:tcW w:w="1984" w:type="dxa"/>
            <w:vAlign w:val="center"/>
            <w:hideMark/>
          </w:tcPr>
          <w:p w:rsidRPr="00222E47" w:rsidR="005E3BD6" w:rsidP="00DB0F7B" w:rsidRDefault="1F325162" w14:paraId="0D075EDB" w14:textId="77777777">
            <w:pPr>
              <w:jc w:val="center"/>
              <w:rPr>
                <w:rFonts w:ascii="Nunito Sans" w:hAnsi="Nunito Sans" w:eastAsia="Arial" w:cs="Calibri"/>
                <w:sz w:val="18"/>
                <w:szCs w:val="18"/>
              </w:rPr>
            </w:pPr>
            <w:r w:rsidRPr="4E60D266">
              <w:rPr>
                <w:rFonts w:ascii="Nunito Sans" w:hAnsi="Nunito Sans" w:eastAsia="Arial" w:cs="Calibri"/>
                <w:sz w:val="18"/>
                <w:szCs w:val="18"/>
              </w:rPr>
              <w:t>Contratación independiente con requisitos técnicos dispares</w:t>
            </w:r>
          </w:p>
        </w:tc>
        <w:tc>
          <w:tcPr>
            <w:tcW w:w="1985" w:type="dxa"/>
            <w:vAlign w:val="center"/>
            <w:hideMark/>
          </w:tcPr>
          <w:p w:rsidRPr="00222E47" w:rsidR="005E3BD6" w:rsidP="00DB0F7B" w:rsidRDefault="1F325162" w14:paraId="6ECEB4D9" w14:textId="77777777">
            <w:pPr>
              <w:jc w:val="center"/>
              <w:rPr>
                <w:rFonts w:ascii="Nunito Sans" w:hAnsi="Nunito Sans" w:eastAsia="Arial" w:cs="Calibri"/>
                <w:sz w:val="18"/>
                <w:szCs w:val="18"/>
              </w:rPr>
            </w:pPr>
            <w:r w:rsidRPr="4E60D266">
              <w:rPr>
                <w:rFonts w:ascii="Nunito Sans" w:hAnsi="Nunito Sans" w:eastAsia="Arial" w:cs="Calibri"/>
                <w:sz w:val="18"/>
                <w:szCs w:val="18"/>
              </w:rPr>
              <w:t>Lineamientos técnicos mínimos sectoriales para contratación</w:t>
            </w:r>
          </w:p>
        </w:tc>
        <w:tc>
          <w:tcPr>
            <w:tcW w:w="1843" w:type="dxa"/>
            <w:vAlign w:val="center"/>
            <w:hideMark/>
          </w:tcPr>
          <w:p w:rsidRPr="00222E47" w:rsidR="005E3BD6" w:rsidP="00DB0F7B" w:rsidRDefault="1F325162" w14:paraId="0AFCD901" w14:textId="77777777">
            <w:pPr>
              <w:jc w:val="center"/>
              <w:rPr>
                <w:rFonts w:ascii="Nunito Sans" w:hAnsi="Nunito Sans" w:eastAsia="Arial" w:cs="Calibri"/>
                <w:sz w:val="18"/>
                <w:szCs w:val="18"/>
              </w:rPr>
            </w:pPr>
            <w:r w:rsidRPr="4E60D266">
              <w:rPr>
                <w:rFonts w:ascii="Nunito Sans" w:hAnsi="Nunito Sans" w:eastAsia="Arial" w:cs="Calibri"/>
                <w:sz w:val="18"/>
                <w:szCs w:val="18"/>
              </w:rPr>
              <w:t>Falta de auditoría y estándares sectoriales para proveedores</w:t>
            </w:r>
          </w:p>
        </w:tc>
        <w:tc>
          <w:tcPr>
            <w:tcW w:w="2409" w:type="dxa"/>
            <w:vAlign w:val="center"/>
            <w:hideMark/>
          </w:tcPr>
          <w:p w:rsidRPr="00222E47" w:rsidR="005E3BD6" w:rsidP="00DB0F7B" w:rsidRDefault="1F325162" w14:paraId="211DABB2" w14:textId="77777777">
            <w:pPr>
              <w:jc w:val="center"/>
              <w:rPr>
                <w:rFonts w:ascii="Nunito Sans" w:hAnsi="Nunito Sans" w:eastAsia="Arial" w:cs="Calibri"/>
                <w:sz w:val="18"/>
                <w:szCs w:val="18"/>
              </w:rPr>
            </w:pPr>
            <w:r w:rsidRPr="4E60D266">
              <w:rPr>
                <w:rFonts w:ascii="Nunito Sans" w:hAnsi="Nunito Sans" w:eastAsia="Arial" w:cs="Calibri"/>
                <w:sz w:val="18"/>
                <w:szCs w:val="18"/>
              </w:rPr>
              <w:t>Establecer guía sectorial de contratación TIC (nube, SOC, telecom, aplicaciones), y requisitos de seguridad obligatorios para licitaciones.</w:t>
            </w:r>
          </w:p>
        </w:tc>
      </w:tr>
      <w:tr w:rsidRPr="00222E47" w:rsidR="005E3BD6" w:rsidTr="00763BE3" w14:paraId="1FBC6E48" w14:textId="77777777">
        <w:trPr>
          <w:cantSplit/>
          <w:trHeight w:val="1134"/>
        </w:trPr>
        <w:tc>
          <w:tcPr>
            <w:tcW w:w="567" w:type="dxa"/>
            <w:textDirection w:val="btLr"/>
            <w:vAlign w:val="center"/>
            <w:hideMark/>
          </w:tcPr>
          <w:p w:rsidRPr="00222E47" w:rsidR="005E3BD6" w:rsidP="00DB0F7B" w:rsidRDefault="1F325162" w14:paraId="4E132F46" w14:textId="77777777">
            <w:pPr>
              <w:ind w:left="473" w:right="113" w:hanging="360"/>
              <w:jc w:val="center"/>
              <w:rPr>
                <w:rFonts w:ascii="Nunito Sans" w:hAnsi="Nunito Sans" w:eastAsia="Arial" w:cs="Calibri"/>
                <w:sz w:val="18"/>
                <w:szCs w:val="18"/>
              </w:rPr>
            </w:pPr>
            <w:r w:rsidRPr="4E60D266">
              <w:rPr>
                <w:rFonts w:ascii="Nunito Sans" w:hAnsi="Nunito Sans" w:eastAsia="Arial" w:cs="Calibri"/>
                <w:sz w:val="18"/>
                <w:szCs w:val="18"/>
              </w:rPr>
              <w:t>B08</w:t>
            </w:r>
          </w:p>
        </w:tc>
        <w:tc>
          <w:tcPr>
            <w:tcW w:w="567" w:type="dxa"/>
            <w:textDirection w:val="btLr"/>
            <w:vAlign w:val="center"/>
            <w:hideMark/>
          </w:tcPr>
          <w:p w:rsidRPr="00222E47" w:rsidR="005E3BD6" w:rsidP="00DB0F7B" w:rsidRDefault="1F325162" w14:paraId="51097548" w14:textId="77777777">
            <w:pPr>
              <w:ind w:left="113" w:right="113"/>
              <w:jc w:val="center"/>
              <w:rPr>
                <w:rFonts w:ascii="Nunito Sans" w:hAnsi="Nunito Sans" w:eastAsia="Arial" w:cs="Calibri"/>
                <w:sz w:val="18"/>
                <w:szCs w:val="18"/>
              </w:rPr>
            </w:pPr>
            <w:r w:rsidRPr="4E60D266">
              <w:rPr>
                <w:rFonts w:ascii="Nunito Sans" w:hAnsi="Nunito Sans" w:eastAsia="Arial" w:cs="Calibri"/>
                <w:sz w:val="18"/>
                <w:szCs w:val="18"/>
              </w:rPr>
              <w:t>Seguridad de Aplicaciones / Desarrollo Seguro</w:t>
            </w:r>
          </w:p>
        </w:tc>
        <w:tc>
          <w:tcPr>
            <w:tcW w:w="1984" w:type="dxa"/>
            <w:vAlign w:val="center"/>
            <w:hideMark/>
          </w:tcPr>
          <w:p w:rsidRPr="00222E47" w:rsidR="005E3BD6" w:rsidP="00DB0F7B" w:rsidRDefault="1F325162" w14:paraId="72E537B9" w14:textId="77777777">
            <w:pPr>
              <w:jc w:val="center"/>
              <w:rPr>
                <w:rFonts w:ascii="Nunito Sans" w:hAnsi="Nunito Sans" w:eastAsia="Arial" w:cs="Calibri"/>
                <w:sz w:val="18"/>
                <w:szCs w:val="18"/>
              </w:rPr>
            </w:pPr>
            <w:r w:rsidRPr="4E60D266">
              <w:rPr>
                <w:rFonts w:ascii="Nunito Sans" w:hAnsi="Nunito Sans" w:eastAsia="Arial" w:cs="Calibri"/>
                <w:sz w:val="18"/>
                <w:szCs w:val="18"/>
              </w:rPr>
              <w:t>Prácticas dispares; baja cobertura SAST/DAST; riesgo en librerías y APIs</w:t>
            </w:r>
          </w:p>
        </w:tc>
        <w:tc>
          <w:tcPr>
            <w:tcW w:w="1985" w:type="dxa"/>
            <w:vAlign w:val="center"/>
            <w:hideMark/>
          </w:tcPr>
          <w:p w:rsidRPr="00222E47" w:rsidR="005E3BD6" w:rsidP="00DB0F7B" w:rsidRDefault="1F325162" w14:paraId="5E97BBFA" w14:textId="77777777">
            <w:pPr>
              <w:jc w:val="center"/>
              <w:rPr>
                <w:rFonts w:ascii="Nunito Sans" w:hAnsi="Nunito Sans" w:eastAsia="Arial" w:cs="Calibri"/>
                <w:sz w:val="18"/>
                <w:szCs w:val="18"/>
              </w:rPr>
            </w:pPr>
            <w:r w:rsidRPr="4E60D266">
              <w:rPr>
                <w:rFonts w:ascii="Nunito Sans" w:hAnsi="Nunito Sans" w:eastAsia="Arial" w:cs="Calibri"/>
                <w:sz w:val="18"/>
                <w:szCs w:val="18"/>
              </w:rPr>
              <w:t>Lineamientos DevSecOps sectoriales orientadores</w:t>
            </w:r>
          </w:p>
        </w:tc>
        <w:tc>
          <w:tcPr>
            <w:tcW w:w="1843" w:type="dxa"/>
            <w:vAlign w:val="center"/>
            <w:hideMark/>
          </w:tcPr>
          <w:p w:rsidRPr="00222E47" w:rsidR="005E3BD6" w:rsidP="00DB0F7B" w:rsidRDefault="1F325162" w14:paraId="7E1344C0" w14:textId="77777777">
            <w:pPr>
              <w:jc w:val="center"/>
              <w:rPr>
                <w:rFonts w:ascii="Nunito Sans" w:hAnsi="Nunito Sans" w:eastAsia="Arial" w:cs="Calibri"/>
                <w:sz w:val="18"/>
                <w:szCs w:val="18"/>
              </w:rPr>
            </w:pPr>
            <w:r w:rsidRPr="4E60D266">
              <w:rPr>
                <w:rFonts w:ascii="Nunito Sans" w:hAnsi="Nunito Sans" w:eastAsia="Arial" w:cs="Calibri"/>
                <w:sz w:val="18"/>
                <w:szCs w:val="18"/>
              </w:rPr>
              <w:t>No hay estándar común de seguridad en software institucional</w:t>
            </w:r>
          </w:p>
        </w:tc>
        <w:tc>
          <w:tcPr>
            <w:tcW w:w="2409" w:type="dxa"/>
            <w:vAlign w:val="center"/>
            <w:hideMark/>
          </w:tcPr>
          <w:p w:rsidRPr="00222E47" w:rsidR="005E3BD6" w:rsidP="00DB0F7B" w:rsidRDefault="1F325162" w14:paraId="44417F46" w14:textId="77777777">
            <w:pPr>
              <w:jc w:val="center"/>
              <w:rPr>
                <w:rFonts w:ascii="Nunito Sans" w:hAnsi="Nunito Sans" w:eastAsia="Arial" w:cs="Calibri"/>
                <w:sz w:val="18"/>
                <w:szCs w:val="18"/>
              </w:rPr>
            </w:pPr>
            <w:r w:rsidRPr="4E60D266">
              <w:rPr>
                <w:rFonts w:ascii="Nunito Sans" w:hAnsi="Nunito Sans" w:eastAsia="Arial" w:cs="Calibri"/>
                <w:sz w:val="18"/>
                <w:szCs w:val="18"/>
              </w:rPr>
              <w:t>Definir guía sectorial DevSecOps con requisitos mínimos: SAST, DAST, revisión de librerías/APIs, y pruebas obligatorias de vulnerabilidades.</w:t>
            </w:r>
          </w:p>
        </w:tc>
      </w:tr>
      <w:tr w:rsidRPr="00222E47" w:rsidR="005E3BD6" w:rsidTr="00763BE3" w14:paraId="63D56C5E" w14:textId="77777777">
        <w:trPr>
          <w:cantSplit/>
          <w:trHeight w:val="1134"/>
        </w:trPr>
        <w:tc>
          <w:tcPr>
            <w:tcW w:w="567" w:type="dxa"/>
            <w:textDirection w:val="btLr"/>
            <w:vAlign w:val="center"/>
            <w:hideMark/>
          </w:tcPr>
          <w:p w:rsidRPr="00222E47" w:rsidR="005E3BD6" w:rsidP="00DB0F7B" w:rsidRDefault="1F325162" w14:paraId="1ADF8F6F" w14:textId="77777777">
            <w:pPr>
              <w:ind w:left="473" w:right="113" w:hanging="360"/>
              <w:jc w:val="center"/>
              <w:rPr>
                <w:rFonts w:ascii="Nunito Sans" w:hAnsi="Nunito Sans" w:eastAsia="Arial" w:cs="Calibri"/>
                <w:sz w:val="18"/>
                <w:szCs w:val="18"/>
              </w:rPr>
            </w:pPr>
            <w:r w:rsidRPr="4E60D266">
              <w:rPr>
                <w:rFonts w:ascii="Nunito Sans" w:hAnsi="Nunito Sans" w:eastAsia="Arial" w:cs="Calibri"/>
                <w:sz w:val="18"/>
                <w:szCs w:val="18"/>
              </w:rPr>
              <w:t>B09</w:t>
            </w:r>
          </w:p>
        </w:tc>
        <w:tc>
          <w:tcPr>
            <w:tcW w:w="567" w:type="dxa"/>
            <w:textDirection w:val="btLr"/>
            <w:vAlign w:val="center"/>
            <w:hideMark/>
          </w:tcPr>
          <w:p w:rsidRPr="00222E47" w:rsidR="005E3BD6" w:rsidP="00DB0F7B" w:rsidRDefault="1F325162" w14:paraId="0D8E4F8C" w14:textId="77777777">
            <w:pPr>
              <w:ind w:left="113" w:right="113"/>
              <w:jc w:val="center"/>
              <w:rPr>
                <w:rFonts w:ascii="Nunito Sans" w:hAnsi="Nunito Sans" w:eastAsia="Arial" w:cs="Calibri"/>
                <w:sz w:val="18"/>
                <w:szCs w:val="18"/>
              </w:rPr>
            </w:pPr>
            <w:r w:rsidRPr="4E60D266">
              <w:rPr>
                <w:rFonts w:ascii="Nunito Sans" w:hAnsi="Nunito Sans" w:eastAsia="Arial" w:cs="Calibri"/>
                <w:sz w:val="18"/>
                <w:szCs w:val="18"/>
              </w:rPr>
              <w:t>Inventario y Clasificación de Activos</w:t>
            </w:r>
          </w:p>
        </w:tc>
        <w:tc>
          <w:tcPr>
            <w:tcW w:w="1984" w:type="dxa"/>
            <w:vAlign w:val="center"/>
            <w:hideMark/>
          </w:tcPr>
          <w:p w:rsidRPr="00222E47" w:rsidR="005E3BD6" w:rsidP="00DB0F7B" w:rsidRDefault="1F325162" w14:paraId="278E6682" w14:textId="77777777">
            <w:pPr>
              <w:jc w:val="center"/>
              <w:rPr>
                <w:rFonts w:ascii="Nunito Sans" w:hAnsi="Nunito Sans" w:eastAsia="Arial" w:cs="Calibri"/>
                <w:sz w:val="18"/>
                <w:szCs w:val="18"/>
              </w:rPr>
            </w:pPr>
            <w:r w:rsidRPr="4E60D266">
              <w:rPr>
                <w:rFonts w:ascii="Nunito Sans" w:hAnsi="Nunito Sans" w:eastAsia="Arial" w:cs="Calibri"/>
                <w:sz w:val="18"/>
                <w:szCs w:val="18"/>
              </w:rPr>
              <w:t>Inventarios existen, pero criticidad divergente</w:t>
            </w:r>
          </w:p>
        </w:tc>
        <w:tc>
          <w:tcPr>
            <w:tcW w:w="1985" w:type="dxa"/>
            <w:vAlign w:val="center"/>
            <w:hideMark/>
          </w:tcPr>
          <w:p w:rsidRPr="00222E47" w:rsidR="005E3BD6" w:rsidP="00DB0F7B" w:rsidRDefault="1F325162" w14:paraId="1CFF48FE" w14:textId="77777777">
            <w:pPr>
              <w:jc w:val="center"/>
              <w:rPr>
                <w:rFonts w:ascii="Nunito Sans" w:hAnsi="Nunito Sans" w:eastAsia="Arial" w:cs="Calibri"/>
                <w:sz w:val="18"/>
                <w:szCs w:val="18"/>
              </w:rPr>
            </w:pPr>
            <w:r w:rsidRPr="4E60D266">
              <w:rPr>
                <w:rFonts w:ascii="Nunito Sans" w:hAnsi="Nunito Sans" w:eastAsia="Arial" w:cs="Calibri"/>
                <w:sz w:val="18"/>
                <w:szCs w:val="18"/>
              </w:rPr>
              <w:t>Homologación sectorial de criticidad</w:t>
            </w:r>
          </w:p>
        </w:tc>
        <w:tc>
          <w:tcPr>
            <w:tcW w:w="1848" w:type="dxa"/>
            <w:vAlign w:val="center"/>
            <w:hideMark/>
          </w:tcPr>
          <w:p w:rsidRPr="00222E47" w:rsidR="005E3BD6" w:rsidP="00DB0F7B" w:rsidRDefault="1F325162" w14:paraId="08A001DB" w14:textId="77777777">
            <w:pPr>
              <w:jc w:val="center"/>
              <w:rPr>
                <w:rFonts w:ascii="Nunito Sans" w:hAnsi="Nunito Sans" w:eastAsia="Arial" w:cs="Calibri"/>
                <w:sz w:val="18"/>
                <w:szCs w:val="18"/>
              </w:rPr>
            </w:pPr>
            <w:r w:rsidRPr="4E60D266">
              <w:rPr>
                <w:rFonts w:ascii="Nunito Sans" w:hAnsi="Nunito Sans" w:eastAsia="Arial" w:cs="Calibri"/>
                <w:sz w:val="18"/>
                <w:szCs w:val="18"/>
              </w:rPr>
              <w:t>No existe convergencia para priorizar riesgos sectoriales</w:t>
            </w:r>
          </w:p>
        </w:tc>
        <w:tc>
          <w:tcPr>
            <w:tcW w:w="2404" w:type="dxa"/>
            <w:vAlign w:val="center"/>
            <w:hideMark/>
          </w:tcPr>
          <w:p w:rsidRPr="00222E47" w:rsidR="005E3BD6" w:rsidP="00DB0F7B" w:rsidRDefault="1F325162" w14:paraId="7D73F044" w14:textId="77777777">
            <w:pPr>
              <w:jc w:val="center"/>
              <w:rPr>
                <w:rFonts w:ascii="Nunito Sans" w:hAnsi="Nunito Sans" w:eastAsia="Arial" w:cs="Calibri"/>
                <w:sz w:val="18"/>
                <w:szCs w:val="18"/>
              </w:rPr>
            </w:pPr>
            <w:r w:rsidRPr="4E60D266">
              <w:rPr>
                <w:rFonts w:ascii="Nunito Sans" w:hAnsi="Nunito Sans" w:eastAsia="Arial" w:cs="Calibri"/>
                <w:sz w:val="18"/>
                <w:szCs w:val="18"/>
              </w:rPr>
              <w:t>Unificar criterios de criticidad y niveles de valoración de activos estratégicos (regulación, geología, planeación, operación territorial).</w:t>
            </w:r>
          </w:p>
        </w:tc>
      </w:tr>
    </w:tbl>
    <w:p w:rsidRPr="00EF5DE4" w:rsidR="005E3BD6" w:rsidP="005E3BD6" w:rsidRDefault="005E3BD6" w14:paraId="0DAB422B"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7E16344C" w14:textId="77777777">
      <w:pPr>
        <w:ind w:left="360" w:hanging="360"/>
        <w:rPr>
          <w:rFonts w:ascii="Nunito Sans" w:hAnsi="Nunito Sans" w:cs="Calibri" w:eastAsiaTheme="minorEastAsia"/>
        </w:rPr>
      </w:pPr>
    </w:p>
    <w:p w:rsidRPr="007E3FC8" w:rsidR="005E3BD6" w:rsidP="005E3BD6" w:rsidRDefault="005E3BD6" w14:paraId="34E14F28" w14:textId="77777777">
      <w:pPr>
        <w:jc w:val="both"/>
        <w:rPr>
          <w:rFonts w:ascii="Nunito Sans" w:hAnsi="Nunito Sans" w:eastAsia="Arial" w:cs="Calibri"/>
          <w:sz w:val="22"/>
          <w:szCs w:val="22"/>
        </w:rPr>
      </w:pPr>
      <w:r w:rsidRPr="007E3FC8">
        <w:rPr>
          <w:rFonts w:ascii="Nunito Sans" w:hAnsi="Nunito Sans" w:eastAsia="Arial" w:cs="Calibri"/>
          <w:sz w:val="22"/>
          <w:szCs w:val="22"/>
        </w:rPr>
        <w:t>De forma transversal, se observan proyectos similares realizados por separado, especialmente en:</w:t>
      </w:r>
    </w:p>
    <w:p w:rsidRPr="007E3FC8" w:rsidR="005E3BD6" w:rsidP="005E3BD6" w:rsidRDefault="005E3BD6" w14:paraId="42A67BA3" w14:textId="77777777">
      <w:pPr>
        <w:rPr>
          <w:rFonts w:ascii="Nunito Sans" w:hAnsi="Nunito Sans" w:eastAsia="Arial" w:cs="Calibri"/>
          <w:sz w:val="22"/>
          <w:szCs w:val="22"/>
        </w:rPr>
      </w:pPr>
    </w:p>
    <w:p w:rsidRPr="007E3FC8" w:rsidR="005E3BD6" w:rsidRDefault="005E3BD6" w14:paraId="07E1E859" w14:textId="77777777">
      <w:pPr>
        <w:pStyle w:val="Prrafodelista"/>
        <w:numPr>
          <w:ilvl w:val="0"/>
          <w:numId w:val="17"/>
        </w:numPr>
        <w:ind w:left="720"/>
        <w:rPr>
          <w:rFonts w:ascii="Nunito Sans" w:hAnsi="Nunito Sans" w:eastAsia="Arial" w:cs="Calibri"/>
          <w:sz w:val="22"/>
          <w:szCs w:val="22"/>
        </w:rPr>
      </w:pPr>
      <w:r w:rsidRPr="007E3FC8">
        <w:rPr>
          <w:rFonts w:ascii="Nunito Sans" w:hAnsi="Nunito Sans" w:eastAsia="Arial" w:cs="Calibri"/>
          <w:sz w:val="22"/>
          <w:szCs w:val="22"/>
        </w:rPr>
        <w:t>Clasificación de activos de información,</w:t>
      </w:r>
    </w:p>
    <w:p w:rsidRPr="007E3FC8" w:rsidR="005E3BD6" w:rsidRDefault="005E3BD6" w14:paraId="009B406E" w14:textId="77777777">
      <w:pPr>
        <w:pStyle w:val="Prrafodelista"/>
        <w:numPr>
          <w:ilvl w:val="0"/>
          <w:numId w:val="17"/>
        </w:numPr>
        <w:ind w:left="720"/>
        <w:rPr>
          <w:rFonts w:ascii="Nunito Sans" w:hAnsi="Nunito Sans" w:eastAsia="Arial" w:cs="Calibri"/>
          <w:sz w:val="22"/>
          <w:szCs w:val="22"/>
        </w:rPr>
      </w:pPr>
      <w:r w:rsidRPr="007E3FC8">
        <w:rPr>
          <w:rFonts w:ascii="Nunito Sans" w:hAnsi="Nunito Sans" w:eastAsia="Arial" w:cs="Calibri"/>
          <w:sz w:val="22"/>
          <w:szCs w:val="22"/>
        </w:rPr>
        <w:t>Implementación de ISO/27001/MSPI,</w:t>
      </w:r>
    </w:p>
    <w:p w:rsidRPr="007E3FC8" w:rsidR="005E3BD6" w:rsidRDefault="005E3BD6" w14:paraId="5F0361E0" w14:textId="77777777">
      <w:pPr>
        <w:pStyle w:val="Prrafodelista"/>
        <w:numPr>
          <w:ilvl w:val="0"/>
          <w:numId w:val="17"/>
        </w:numPr>
        <w:ind w:left="720"/>
        <w:rPr>
          <w:rFonts w:ascii="Nunito Sans" w:hAnsi="Nunito Sans" w:eastAsia="Arial" w:cs="Calibri"/>
          <w:sz w:val="22"/>
          <w:szCs w:val="22"/>
        </w:rPr>
      </w:pPr>
      <w:r w:rsidRPr="007E3FC8">
        <w:rPr>
          <w:rFonts w:ascii="Nunito Sans" w:hAnsi="Nunito Sans" w:eastAsia="Arial" w:cs="Calibri"/>
          <w:sz w:val="22"/>
          <w:szCs w:val="22"/>
        </w:rPr>
        <w:t>Tratamiento de datos personales (Ley 1581 de 2012),</w:t>
      </w:r>
    </w:p>
    <w:p w:rsidRPr="007E3FC8" w:rsidR="005E3BD6" w:rsidRDefault="005E3BD6" w14:paraId="1FCEA4C5" w14:textId="77777777">
      <w:pPr>
        <w:pStyle w:val="Prrafodelista"/>
        <w:numPr>
          <w:ilvl w:val="0"/>
          <w:numId w:val="17"/>
        </w:numPr>
        <w:ind w:left="720"/>
        <w:rPr>
          <w:rFonts w:ascii="Nunito Sans" w:hAnsi="Nunito Sans" w:eastAsia="Arial" w:cs="Calibri"/>
          <w:sz w:val="22"/>
          <w:szCs w:val="22"/>
        </w:rPr>
      </w:pPr>
      <w:r w:rsidRPr="007E3FC8">
        <w:rPr>
          <w:rFonts w:ascii="Nunito Sans" w:hAnsi="Nunito Sans" w:eastAsia="Arial" w:cs="Calibri"/>
          <w:sz w:val="22"/>
          <w:szCs w:val="22"/>
        </w:rPr>
        <w:t>Fortalecimiento de políticas y controles documentales.</w:t>
      </w:r>
    </w:p>
    <w:p w:rsidRPr="007E3FC8" w:rsidR="005E3BD6" w:rsidP="005E3BD6" w:rsidRDefault="005E3BD6" w14:paraId="5593E910" w14:textId="77777777">
      <w:pPr>
        <w:rPr>
          <w:rFonts w:ascii="Nunito Sans" w:hAnsi="Nunito Sans" w:eastAsia="Arial" w:cs="Calibri"/>
          <w:sz w:val="22"/>
          <w:szCs w:val="22"/>
        </w:rPr>
      </w:pPr>
    </w:p>
    <w:p w:rsidRPr="007E3FC8" w:rsidR="005E3BD6" w:rsidP="005E3BD6" w:rsidRDefault="005E3BD6" w14:paraId="2661004D" w14:textId="77777777">
      <w:pPr>
        <w:jc w:val="both"/>
        <w:rPr>
          <w:rFonts w:ascii="Nunito Sans" w:hAnsi="Nunito Sans" w:eastAsia="Arial" w:cs="Calibri"/>
          <w:sz w:val="22"/>
          <w:szCs w:val="22"/>
        </w:rPr>
      </w:pPr>
      <w:r w:rsidRPr="007E3FC8">
        <w:rPr>
          <w:rFonts w:ascii="Nunito Sans" w:hAnsi="Nunito Sans" w:eastAsia="Arial" w:cs="Calibri"/>
          <w:sz w:val="22"/>
          <w:szCs w:val="22"/>
        </w:rPr>
        <w:t>Esto genera duplicidad de esfuerzos, aumento innecesario de costos, ausencia de estándares compartidos y brechas en interoperabilidad segura. Adicionalmente, se identifica una baja priorización sectorial de la continuidad coordinada, pese a la interdependencia operativa entre entidades reguladoras, científicas, de planeación y de ejecución territorial energética</w:t>
      </w:r>
    </w:p>
    <w:p w:rsidRPr="007E3FC8" w:rsidR="005E3BD6" w:rsidP="005E3BD6" w:rsidRDefault="005E3BD6" w14:paraId="72555C9E" w14:textId="77777777">
      <w:pPr>
        <w:ind w:left="360" w:hanging="360"/>
        <w:rPr>
          <w:rFonts w:ascii="Nunito Sans" w:hAnsi="Nunito Sans" w:cs="Calibri" w:eastAsiaTheme="minorEastAsia"/>
        </w:rPr>
      </w:pPr>
    </w:p>
    <w:p w:rsidRPr="007E3FC8" w:rsidR="005E3BD6" w:rsidP="005E3BD6" w:rsidRDefault="005E3BD6" w14:paraId="4FCF00A6" w14:textId="77777777">
      <w:pPr>
        <w:ind w:left="360" w:hanging="360"/>
        <w:rPr>
          <w:rFonts w:ascii="Nunito Sans" w:hAnsi="Nunito Sans" w:cs="Calibri" w:eastAsiaTheme="minorEastAsia"/>
        </w:rPr>
      </w:pPr>
    </w:p>
    <w:p w:rsidR="005E3BD6" w:rsidRDefault="005E3BD6" w14:paraId="5358C5D5" w14:textId="668D5886">
      <w:pPr>
        <w:pStyle w:val="Ttulo2"/>
        <w:numPr>
          <w:ilvl w:val="1"/>
          <w:numId w:val="38"/>
        </w:numPr>
      </w:pPr>
      <w:bookmarkStart w:name="_Toc1468924548" w:id="541"/>
      <w:bookmarkStart w:name="_Toc234234528" w:id="542"/>
      <w:r w:rsidRPr="0E79E4E6">
        <w:t>Identificación y análisis de brechas Transformación Digital Sectorial</w:t>
      </w:r>
      <w:bookmarkEnd w:id="541"/>
      <w:bookmarkEnd w:id="542"/>
      <w:r w:rsidR="00F95861">
        <w:t xml:space="preserve"> </w:t>
      </w:r>
    </w:p>
    <w:p w:rsidRPr="00EB43A6" w:rsidR="005E3BD6" w:rsidP="005E3BD6" w:rsidRDefault="00211EAA" w14:paraId="0FAA5AF1" w14:textId="23DB5A1E">
      <w:pPr>
        <w:ind w:left="360" w:hanging="360"/>
        <w:jc w:val="center"/>
        <w:rPr>
          <w:rFonts w:ascii="Nunito Sans" w:hAnsi="Nunito Sans" w:cs="Calibri"/>
          <w:b/>
          <w:bCs/>
          <w:sz w:val="18"/>
          <w:szCs w:val="18"/>
        </w:rPr>
      </w:pPr>
      <w:bookmarkStart w:name="_Toc220664234" w:id="543"/>
      <w:r w:rsidRPr="00211EAA">
        <w:rPr>
          <w:rFonts w:ascii="Nunito Sans" w:hAnsi="Nunito Sans" w:cs="Calibri"/>
          <w:b/>
          <w:bCs/>
          <w:sz w:val="18"/>
          <w:szCs w:val="18"/>
        </w:rPr>
        <w:t xml:space="preserve">Tabla </w:t>
      </w:r>
      <w:r w:rsidRPr="00211EAA">
        <w:rPr>
          <w:rFonts w:ascii="Nunito Sans" w:hAnsi="Nunito Sans" w:cs="Calibri"/>
          <w:b/>
          <w:bCs/>
          <w:sz w:val="18"/>
          <w:szCs w:val="18"/>
        </w:rPr>
        <w:fldChar w:fldCharType="begin"/>
      </w:r>
      <w:r w:rsidRPr="00211EAA">
        <w:rPr>
          <w:rFonts w:ascii="Nunito Sans" w:hAnsi="Nunito Sans" w:cs="Calibri"/>
          <w:b/>
          <w:bCs/>
          <w:sz w:val="18"/>
          <w:szCs w:val="18"/>
        </w:rPr>
        <w:instrText xml:space="preserve"> SEQ Tabla \* ARABIC </w:instrText>
      </w:r>
      <w:r w:rsidRPr="00211EAA">
        <w:rPr>
          <w:rFonts w:ascii="Nunito Sans" w:hAnsi="Nunito Sans" w:cs="Calibri"/>
          <w:b/>
          <w:bCs/>
          <w:sz w:val="18"/>
          <w:szCs w:val="18"/>
        </w:rPr>
        <w:fldChar w:fldCharType="separate"/>
      </w:r>
      <w:r w:rsidR="00C57F7B">
        <w:rPr>
          <w:rFonts w:ascii="Nunito Sans" w:hAnsi="Nunito Sans" w:cs="Calibri"/>
          <w:b/>
          <w:bCs/>
          <w:noProof/>
          <w:sz w:val="18"/>
          <w:szCs w:val="18"/>
        </w:rPr>
        <w:t>63</w:t>
      </w:r>
      <w:r w:rsidRPr="00211EAA">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Brechas de Transformación Digital Sectorial</w:t>
      </w:r>
      <w:bookmarkEnd w:id="543"/>
    </w:p>
    <w:tbl>
      <w:tblPr>
        <w:tblW w:w="9355"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567"/>
        <w:gridCol w:w="567"/>
        <w:gridCol w:w="142"/>
        <w:gridCol w:w="1842"/>
        <w:gridCol w:w="1985"/>
        <w:gridCol w:w="1843"/>
        <w:gridCol w:w="2409"/>
      </w:tblGrid>
      <w:tr w:rsidRPr="00222E47" w:rsidR="008220D9" w:rsidTr="00763BE3" w14:paraId="47DFA246" w14:textId="77777777">
        <w:trPr>
          <w:cantSplit/>
          <w:trHeight w:val="1543"/>
        </w:trPr>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noWrap/>
            <w:vAlign w:val="center"/>
            <w:hideMark/>
          </w:tcPr>
          <w:p w:rsidRPr="00222E47" w:rsidR="008220D9" w:rsidP="008220D9" w:rsidRDefault="008220D9" w14:paraId="156F8BDF"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ID</w:t>
            </w:r>
          </w:p>
        </w:tc>
        <w:tc>
          <w:tcPr>
            <w:tcW w:w="567"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extDirection w:val="btLr"/>
            <w:vAlign w:val="center"/>
            <w:hideMark/>
          </w:tcPr>
          <w:p w:rsidRPr="00222E47" w:rsidR="008220D9" w:rsidP="008220D9" w:rsidRDefault="008220D9" w14:paraId="37CC6778" w14:textId="06CA2677">
            <w:pPr>
              <w:ind w:left="113" w:right="113"/>
              <w:jc w:val="center"/>
              <w:rPr>
                <w:rFonts w:ascii="Nunito Sans" w:hAnsi="Nunito Sans" w:eastAsia="Arial" w:cs="Calibri"/>
                <w:b/>
                <w:bCs/>
                <w:color w:val="FFFFFF" w:themeColor="background1"/>
                <w:sz w:val="18"/>
                <w:szCs w:val="18"/>
              </w:rPr>
            </w:pPr>
            <w:r w:rsidRPr="00DA4823">
              <w:rPr>
                <w:rFonts w:ascii="Nunito Sans" w:hAnsi="Nunito Sans" w:eastAsia="Arial" w:cs="Calibri"/>
                <w:b/>
                <w:bCs/>
                <w:color w:val="FFFFFF" w:themeColor="background1"/>
                <w:sz w:val="18"/>
                <w:szCs w:val="18"/>
              </w:rPr>
              <w:t>DOMINIO / LÍNEA</w:t>
            </w:r>
          </w:p>
        </w:tc>
        <w:tc>
          <w:tcPr>
            <w:tcW w:w="1984"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8220D9" w:rsidP="008220D9" w:rsidRDefault="008220D9" w14:paraId="37AA3ABD" w14:textId="77777777">
            <w:pPr>
              <w:ind w:left="-205" w:firstLine="205"/>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ESTADO AS-IS</w:t>
            </w:r>
          </w:p>
        </w:tc>
        <w:tc>
          <w:tcPr>
            <w:tcW w:w="1985"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8220D9" w:rsidP="008220D9" w:rsidRDefault="008220D9" w14:paraId="189C3DD4"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ESTADO TO-BE</w:t>
            </w:r>
          </w:p>
        </w:tc>
        <w:tc>
          <w:tcPr>
            <w:tcW w:w="1843"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8220D9" w:rsidP="008220D9" w:rsidRDefault="008220D9" w14:paraId="3CFCA756"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DESCRIPCIÓN DE LA BRECHA</w:t>
            </w:r>
          </w:p>
        </w:tc>
        <w:tc>
          <w:tcPr>
            <w:tcW w:w="2409"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222E47" w:rsidR="008220D9" w:rsidP="008220D9" w:rsidRDefault="008220D9" w14:paraId="43AC665C"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ACCIÓN PROPUESTA</w:t>
            </w:r>
          </w:p>
        </w:tc>
      </w:tr>
      <w:tr w:rsidRPr="00222E47" w:rsidR="005E3BD6" w:rsidTr="00763BE3" w14:paraId="7F3E4C47" w14:textId="77777777">
        <w:trPr>
          <w:cantSplit/>
          <w:trHeight w:val="1235"/>
        </w:trPr>
        <w:tc>
          <w:tcPr>
            <w:tcW w:w="567" w:type="dxa"/>
            <w:tcBorders>
              <w:top w:val="single" w:color="FFFFFF" w:themeColor="background1" w:sz="4" w:space="0"/>
            </w:tcBorders>
            <w:noWrap/>
            <w:textDirection w:val="btLr"/>
            <w:vAlign w:val="center"/>
            <w:hideMark/>
          </w:tcPr>
          <w:p w:rsidRPr="00222E47" w:rsidR="005E3BD6" w:rsidP="00B4771C" w:rsidRDefault="005E3BD6" w14:paraId="696142E0" w14:textId="77777777">
            <w:pPr>
              <w:ind w:left="113" w:right="113"/>
              <w:jc w:val="center"/>
              <w:rPr>
                <w:rFonts w:ascii="Nunito Sans" w:hAnsi="Nunito Sans" w:eastAsia="Arial" w:cs="Calibri"/>
                <w:color w:val="000000"/>
                <w:sz w:val="18"/>
                <w:szCs w:val="18"/>
              </w:rPr>
            </w:pPr>
            <w:r w:rsidRPr="00222E47">
              <w:rPr>
                <w:rFonts w:ascii="Nunito Sans" w:hAnsi="Nunito Sans" w:eastAsia="Arial" w:cs="Calibri"/>
                <w:sz w:val="18"/>
                <w:szCs w:val="18"/>
              </w:rPr>
              <w:lastRenderedPageBreak/>
              <w:t>BR-TD-01</w:t>
            </w:r>
          </w:p>
        </w:tc>
        <w:tc>
          <w:tcPr>
            <w:tcW w:w="709" w:type="dxa"/>
            <w:gridSpan w:val="2"/>
            <w:tcBorders>
              <w:top w:val="single" w:color="FFFFFF" w:themeColor="background1" w:sz="4" w:space="0"/>
            </w:tcBorders>
            <w:noWrap/>
            <w:textDirection w:val="btLr"/>
            <w:vAlign w:val="center"/>
            <w:hideMark/>
          </w:tcPr>
          <w:p w:rsidRPr="00222E47" w:rsidR="005E3BD6" w:rsidP="00B4771C" w:rsidRDefault="005E3BD6" w14:paraId="534F7759" w14:textId="77777777">
            <w:pPr>
              <w:ind w:left="113" w:right="113"/>
              <w:jc w:val="center"/>
              <w:rPr>
                <w:rFonts w:ascii="Nunito Sans" w:hAnsi="Nunito Sans" w:eastAsia="Arial" w:cs="Calibri"/>
                <w:color w:val="000000"/>
                <w:sz w:val="18"/>
                <w:szCs w:val="18"/>
              </w:rPr>
            </w:pPr>
            <w:r w:rsidRPr="00222E47">
              <w:rPr>
                <w:rFonts w:ascii="Nunito Sans" w:hAnsi="Nunito Sans" w:eastAsia="Arial" w:cs="Calibri"/>
                <w:sz w:val="18"/>
                <w:szCs w:val="18"/>
              </w:rPr>
              <w:t>Interoperabilidad</w:t>
            </w:r>
          </w:p>
        </w:tc>
        <w:tc>
          <w:tcPr>
            <w:tcW w:w="1842" w:type="dxa"/>
            <w:tcBorders>
              <w:top w:val="single" w:color="FFFFFF" w:themeColor="background1" w:sz="4" w:space="0"/>
            </w:tcBorders>
            <w:noWrap/>
            <w:vAlign w:val="center"/>
            <w:hideMark/>
          </w:tcPr>
          <w:p w:rsidRPr="00222E47" w:rsidR="005E3BD6" w:rsidP="00B4771C" w:rsidRDefault="005E3BD6" w14:paraId="2AA2615B" w14:textId="77777777">
            <w:pPr>
              <w:jc w:val="center"/>
              <w:rPr>
                <w:rFonts w:ascii="Nunito Sans" w:hAnsi="Nunito Sans" w:eastAsia="Arial" w:cs="Calibri"/>
                <w:sz w:val="18"/>
                <w:szCs w:val="18"/>
              </w:rPr>
            </w:pPr>
            <w:r w:rsidRPr="00222E47">
              <w:rPr>
                <w:rFonts w:ascii="Nunito Sans" w:hAnsi="Nunito Sans" w:eastAsia="Nunito Sans" w:cs="Nunito Sans"/>
                <w:sz w:val="18"/>
                <w:szCs w:val="18"/>
              </w:rPr>
              <w:t>La transformación digital se desarrolla mediante iniciativas aisladas por entidad, sin una estrategia sectorial unificada ni una estructura formal de I+D que articule prioridades, capacidades y esfuerzos de innovación a nivel sectorial.</w:t>
            </w:r>
          </w:p>
        </w:tc>
        <w:tc>
          <w:tcPr>
            <w:tcW w:w="1985" w:type="dxa"/>
            <w:tcBorders>
              <w:top w:val="single" w:color="FFFFFF" w:themeColor="background1" w:sz="4" w:space="0"/>
            </w:tcBorders>
            <w:noWrap/>
            <w:vAlign w:val="center"/>
            <w:hideMark/>
          </w:tcPr>
          <w:p w:rsidRPr="00222E47" w:rsidR="005E3BD6" w:rsidP="00B4771C" w:rsidRDefault="005E3BD6" w14:paraId="327DB999" w14:textId="77777777">
            <w:pPr>
              <w:jc w:val="center"/>
              <w:rPr>
                <w:rFonts w:ascii="Nunito Sans" w:hAnsi="Nunito Sans" w:eastAsia="Arial" w:cs="Calibri"/>
                <w:color w:val="000000"/>
                <w:sz w:val="18"/>
                <w:szCs w:val="18"/>
              </w:rPr>
            </w:pPr>
            <w:r w:rsidRPr="00222E47">
              <w:rPr>
                <w:rFonts w:ascii="Nunito Sans" w:hAnsi="Nunito Sans" w:eastAsia="Nunito Sans" w:cs="Nunito Sans"/>
                <w:sz w:val="18"/>
                <w:szCs w:val="18"/>
              </w:rPr>
              <w:t>El sector cuenta con una Estrategia Sectorial de Transformación Digital alineada con la Transición Energética Justa y el PND, apoyada por equipos de I+D sectoriales que coordinan, priorizan y escalan iniciativas de innovación con impacto transversal.</w:t>
            </w:r>
          </w:p>
        </w:tc>
        <w:tc>
          <w:tcPr>
            <w:tcW w:w="1843" w:type="dxa"/>
            <w:tcBorders>
              <w:top w:val="single" w:color="FFFFFF" w:themeColor="background1" w:sz="4" w:space="0"/>
            </w:tcBorders>
            <w:noWrap/>
            <w:vAlign w:val="center"/>
            <w:hideMark/>
          </w:tcPr>
          <w:p w:rsidRPr="00222E47" w:rsidR="005E3BD6" w:rsidP="00B4771C" w:rsidRDefault="005E3BD6" w14:paraId="1C45FEBF" w14:textId="77777777">
            <w:pPr>
              <w:jc w:val="center"/>
              <w:rPr>
                <w:rFonts w:ascii="Nunito Sans" w:hAnsi="Nunito Sans" w:eastAsia="Arial" w:cs="Calibri"/>
                <w:sz w:val="18"/>
                <w:szCs w:val="18"/>
              </w:rPr>
            </w:pPr>
            <w:r w:rsidRPr="00222E47">
              <w:rPr>
                <w:rFonts w:ascii="Nunito Sans" w:hAnsi="Nunito Sans" w:eastAsia="Nunito Sans" w:cs="Nunito Sans"/>
                <w:sz w:val="18"/>
                <w:szCs w:val="18"/>
              </w:rPr>
              <w:t>Existe una falta de articulación estratégica y organizacional que impide orientar la innovación de manera coherente y maximizar el impacto de las inversiones en transformación digital.</w:t>
            </w:r>
          </w:p>
        </w:tc>
        <w:tc>
          <w:tcPr>
            <w:tcW w:w="2409" w:type="dxa"/>
            <w:tcBorders>
              <w:top w:val="single" w:color="FFFFFF" w:themeColor="background1" w:sz="4" w:space="0"/>
            </w:tcBorders>
            <w:noWrap/>
            <w:vAlign w:val="center"/>
            <w:hideMark/>
          </w:tcPr>
          <w:p w:rsidRPr="00222E47" w:rsidR="005E3BD6" w:rsidP="00B4771C" w:rsidRDefault="005E3BD6" w14:paraId="444AA8E6" w14:textId="77777777">
            <w:pPr>
              <w:jc w:val="center"/>
              <w:rPr>
                <w:rFonts w:ascii="Nunito Sans" w:hAnsi="Nunito Sans" w:eastAsia="Arial" w:cs="Calibri"/>
                <w:sz w:val="18"/>
                <w:szCs w:val="18"/>
              </w:rPr>
            </w:pPr>
            <w:r w:rsidRPr="00222E47">
              <w:rPr>
                <w:rFonts w:ascii="Nunito Sans" w:hAnsi="Nunito Sans" w:eastAsia="Nunito Sans" w:cs="Nunito Sans"/>
                <w:sz w:val="18"/>
                <w:szCs w:val="18"/>
              </w:rPr>
              <w:t>Definir la Estrategia Sectorial de Transformación Digital y estructurar equipos de I+D con alcance sectorial para formular y ejecutar el Programa de Transformación Digital.</w:t>
            </w:r>
          </w:p>
        </w:tc>
      </w:tr>
      <w:tr w:rsidRPr="00222E47" w:rsidR="005E3BD6" w:rsidTr="008220D9" w14:paraId="5FD2BB0D" w14:textId="77777777">
        <w:trPr>
          <w:cantSplit/>
          <w:trHeight w:val="1235"/>
        </w:trPr>
        <w:tc>
          <w:tcPr>
            <w:tcW w:w="567" w:type="dxa"/>
            <w:noWrap/>
            <w:textDirection w:val="btLr"/>
            <w:vAlign w:val="center"/>
            <w:hideMark/>
          </w:tcPr>
          <w:p w:rsidRPr="00222E47" w:rsidR="005E3BD6" w:rsidP="00B4771C" w:rsidRDefault="005E3BD6" w14:paraId="14014000" w14:textId="77777777">
            <w:pPr>
              <w:ind w:left="113" w:right="113"/>
              <w:jc w:val="center"/>
              <w:rPr>
                <w:rFonts w:ascii="Nunito Sans" w:hAnsi="Nunito Sans" w:eastAsia="Arial" w:cs="Calibri"/>
                <w:color w:val="000000"/>
                <w:sz w:val="18"/>
                <w:szCs w:val="18"/>
              </w:rPr>
            </w:pPr>
            <w:r w:rsidRPr="00222E47">
              <w:rPr>
                <w:rFonts w:ascii="Nunito Sans" w:hAnsi="Nunito Sans" w:eastAsia="Arial" w:cs="Calibri"/>
                <w:sz w:val="18"/>
                <w:szCs w:val="18"/>
              </w:rPr>
              <w:t>BR-TD-02</w:t>
            </w:r>
          </w:p>
        </w:tc>
        <w:tc>
          <w:tcPr>
            <w:tcW w:w="709" w:type="dxa"/>
            <w:gridSpan w:val="2"/>
            <w:noWrap/>
            <w:textDirection w:val="btLr"/>
            <w:vAlign w:val="center"/>
            <w:hideMark/>
          </w:tcPr>
          <w:p w:rsidRPr="00222E47" w:rsidR="005E3BD6" w:rsidP="00B4771C" w:rsidRDefault="005E3BD6" w14:paraId="0F00EB63" w14:textId="77777777">
            <w:pPr>
              <w:ind w:left="113" w:right="113"/>
              <w:jc w:val="center"/>
              <w:rPr>
                <w:rFonts w:ascii="Nunito Sans" w:hAnsi="Nunito Sans" w:eastAsia="Arial" w:cs="Calibri"/>
                <w:sz w:val="18"/>
                <w:szCs w:val="18"/>
              </w:rPr>
            </w:pPr>
            <w:r w:rsidRPr="00222E47">
              <w:rPr>
                <w:rFonts w:ascii="Nunito Sans" w:hAnsi="Nunito Sans" w:eastAsia="Arial" w:cs="Calibri"/>
                <w:sz w:val="18"/>
                <w:szCs w:val="18"/>
              </w:rPr>
              <w:t>Transformación Digital</w:t>
            </w:r>
          </w:p>
        </w:tc>
        <w:tc>
          <w:tcPr>
            <w:tcW w:w="1842" w:type="dxa"/>
            <w:noWrap/>
            <w:vAlign w:val="center"/>
            <w:hideMark/>
          </w:tcPr>
          <w:p w:rsidRPr="00222E47" w:rsidR="005E3BD6" w:rsidP="00B4771C" w:rsidRDefault="005E3BD6" w14:paraId="3152EEF6" w14:textId="77777777">
            <w:pPr>
              <w:jc w:val="center"/>
              <w:rPr>
                <w:rFonts w:ascii="Nunito Sans" w:hAnsi="Nunito Sans" w:eastAsia="Arial" w:cs="Calibri"/>
                <w:color w:val="000000"/>
                <w:sz w:val="18"/>
                <w:szCs w:val="18"/>
              </w:rPr>
            </w:pPr>
            <w:r w:rsidRPr="00222E47">
              <w:rPr>
                <w:rFonts w:ascii="Nunito Sans" w:hAnsi="Nunito Sans" w:eastAsia="Nunito Sans" w:cs="Nunito Sans"/>
                <w:sz w:val="18"/>
                <w:szCs w:val="18"/>
              </w:rPr>
              <w:t>La Inteligencia Artificial se utiliza de forma incipiente, principalmente en pilotos o ejercicios institucionales aislados, con predominio de analítica descriptiva y sin articulación sectorial.</w:t>
            </w:r>
          </w:p>
        </w:tc>
        <w:tc>
          <w:tcPr>
            <w:tcW w:w="1985" w:type="dxa"/>
            <w:noWrap/>
            <w:vAlign w:val="center"/>
            <w:hideMark/>
          </w:tcPr>
          <w:p w:rsidRPr="00222E47" w:rsidR="005E3BD6" w:rsidP="00B4771C" w:rsidRDefault="005E3BD6" w14:paraId="55A61D78" w14:textId="77777777">
            <w:pPr>
              <w:jc w:val="center"/>
              <w:rPr>
                <w:rFonts w:ascii="Nunito Sans" w:hAnsi="Nunito Sans" w:eastAsia="Arial" w:cs="Calibri"/>
                <w:sz w:val="18"/>
                <w:szCs w:val="18"/>
              </w:rPr>
            </w:pPr>
            <w:r w:rsidRPr="00222E47">
              <w:rPr>
                <w:rFonts w:ascii="Nunito Sans" w:hAnsi="Nunito Sans" w:eastAsia="Nunito Sans" w:cs="Nunito Sans"/>
                <w:sz w:val="18"/>
                <w:szCs w:val="18"/>
              </w:rPr>
              <w:t>La Inteligencia Artificial se consolida como una capacidad sectorial para analítica predictiva y prescriptiva, integrada a los procesos de planeación, regulación y fiscalización del sector.</w:t>
            </w:r>
          </w:p>
        </w:tc>
        <w:tc>
          <w:tcPr>
            <w:tcW w:w="1843" w:type="dxa"/>
            <w:noWrap/>
            <w:vAlign w:val="center"/>
            <w:hideMark/>
          </w:tcPr>
          <w:p w:rsidRPr="00222E47" w:rsidR="005E3BD6" w:rsidP="00B4771C" w:rsidRDefault="005E3BD6" w14:paraId="60C57715" w14:textId="77777777">
            <w:pPr>
              <w:jc w:val="center"/>
              <w:rPr>
                <w:rFonts w:eastAsia="Arial"/>
                <w:sz w:val="18"/>
                <w:szCs w:val="18"/>
              </w:rPr>
            </w:pPr>
            <w:r w:rsidRPr="00222E47">
              <w:rPr>
                <w:rFonts w:ascii="Nunito Sans" w:hAnsi="Nunito Sans" w:eastAsia="Nunito Sans" w:cs="Nunito Sans"/>
                <w:sz w:val="18"/>
                <w:szCs w:val="18"/>
              </w:rPr>
              <w:t>Existe una brecha entre el uso experimental de la IA y su adopción sistemática como habilitador estratégico de la toma de decisiones sectoriales.</w:t>
            </w:r>
          </w:p>
        </w:tc>
        <w:tc>
          <w:tcPr>
            <w:tcW w:w="2409" w:type="dxa"/>
            <w:noWrap/>
            <w:vAlign w:val="center"/>
            <w:hideMark/>
          </w:tcPr>
          <w:p w:rsidRPr="00222E47" w:rsidR="005E3BD6" w:rsidP="00B4771C" w:rsidRDefault="005E3BD6" w14:paraId="12764F73" w14:textId="77777777">
            <w:pPr>
              <w:jc w:val="center"/>
              <w:rPr>
                <w:rFonts w:eastAsia="Arial"/>
                <w:sz w:val="18"/>
                <w:szCs w:val="18"/>
              </w:rPr>
            </w:pPr>
            <w:r w:rsidRPr="00222E47">
              <w:rPr>
                <w:rFonts w:ascii="Nunito Sans" w:hAnsi="Nunito Sans" w:eastAsia="Nunito Sans" w:cs="Nunito Sans"/>
                <w:sz w:val="18"/>
                <w:szCs w:val="18"/>
              </w:rPr>
              <w:t>Definir lineamientos sectoriales y priorizar casos de uso estratégicos para la implementación escalable y gobernada de modelos de Inteligencia Artificial.</w:t>
            </w:r>
          </w:p>
        </w:tc>
      </w:tr>
    </w:tbl>
    <w:p w:rsidRPr="00EF5DE4" w:rsidR="005E3BD6" w:rsidP="005E3BD6" w:rsidRDefault="005E3BD6" w14:paraId="325EDE7B"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7C89D8B7" w14:textId="77777777">
      <w:pPr>
        <w:rPr>
          <w:rFonts w:ascii="Nunito Sans" w:hAnsi="Nunito Sans" w:cs="Calibri" w:eastAsiaTheme="minorHAnsi"/>
          <w:lang w:val="es-ES"/>
        </w:rPr>
      </w:pPr>
    </w:p>
    <w:p w:rsidR="005E3BD6" w:rsidRDefault="00265D18" w14:paraId="4F4BE1FC" w14:textId="6DF7B51C">
      <w:pPr>
        <w:pStyle w:val="Ttulo1"/>
        <w:numPr>
          <w:ilvl w:val="0"/>
          <w:numId w:val="38"/>
        </w:numPr>
        <w:jc w:val="center"/>
      </w:pPr>
      <w:bookmarkStart w:name="_Toc1720617505" w:id="544"/>
      <w:r>
        <w:t xml:space="preserve"> </w:t>
      </w:r>
      <w:bookmarkStart w:name="_Toc234234529" w:id="545"/>
      <w:r w:rsidRPr="009E4057" w:rsidR="00133BF0">
        <w:t>PLANEACIÓN Y HOJA DE RUTA</w:t>
      </w:r>
      <w:bookmarkEnd w:id="544"/>
      <w:bookmarkEnd w:id="545"/>
    </w:p>
    <w:p w:rsidRPr="00264137" w:rsidR="00264137" w:rsidP="00264137" w:rsidRDefault="00264137" w14:paraId="03D4BF9E" w14:textId="77777777"/>
    <w:p w:rsidRPr="00847A7B" w:rsidR="005E3BD6" w:rsidP="005E3BD6" w:rsidRDefault="005E3BD6" w14:paraId="2D2963FA" w14:textId="774CDEC3">
      <w:pPr>
        <w:spacing w:after="240"/>
        <w:jc w:val="both"/>
        <w:rPr>
          <w:sz w:val="22"/>
          <w:szCs w:val="22"/>
        </w:rPr>
      </w:pPr>
      <w:r w:rsidRPr="00847A7B">
        <w:rPr>
          <w:rFonts w:ascii="Nunito Sans" w:hAnsi="Nunito Sans" w:eastAsia="Nunito Sans" w:cs="Nunito Sans"/>
          <w:sz w:val="22"/>
          <w:szCs w:val="22"/>
        </w:rPr>
        <w:t>La planeación estratégica de tecnologías de la información del Sector Minero-Energético se orienta a cerrar de manera progresiva las brechas identificadas entre la situación actual y el estado objetivo, priorizando aquellas iniciativas que habilitan la Transición Energética Justa, fortalecen la gobernanza sectorial y generan valor público sostenible. Este enfoque se alinea de manera directa con la Política de Gobierno Digital, particularmente con el principio de toma de decisiones basadas en datos, como eje fundamental para la formulación de políticas públicas, la planeación sectorial y la mejora de los servicios a ciudadanos y empresas.</w:t>
      </w:r>
    </w:p>
    <w:p w:rsidRPr="00847A7B" w:rsidR="005E3BD6" w:rsidP="005E3BD6" w:rsidRDefault="005E3BD6" w14:paraId="27ED4916" w14:textId="77777777">
      <w:pPr>
        <w:spacing w:before="240" w:after="240"/>
        <w:jc w:val="both"/>
        <w:rPr>
          <w:sz w:val="22"/>
          <w:szCs w:val="22"/>
        </w:rPr>
      </w:pPr>
      <w:r w:rsidRPr="00847A7B">
        <w:rPr>
          <w:rFonts w:ascii="Nunito Sans" w:hAnsi="Nunito Sans" w:eastAsia="Nunito Sans" w:cs="Nunito Sans"/>
          <w:sz w:val="22"/>
          <w:szCs w:val="22"/>
        </w:rPr>
        <w:t>La hoja de ruta se concibe como un instrumento de gestión estratégica que permite ordenar, priorizar y secuenciar las iniciativas sectoriales en horizontes temporales definidos, asegurando su coherencia con los objetivos misionales del sector, el Plan Nacional de Desarrollo y los lineamientos del Marco de Referencia de Arquitectura Empresarial del Estado. Esta planeación reconoce la heterogeneidad en los niveles de madurez de las entidades y adopta un modelo progresivo y federado, que facilita la evolución coordinada de las capacidades tecnológicas sin afectar la continuidad operativa ni la autonomía institucional.</w:t>
      </w:r>
    </w:p>
    <w:p w:rsidRPr="00847A7B" w:rsidR="005E3BD6" w:rsidP="005E3BD6" w:rsidRDefault="005E3BD6" w14:paraId="55198D9C" w14:textId="77777777">
      <w:pPr>
        <w:spacing w:before="240" w:after="240"/>
        <w:jc w:val="both"/>
        <w:rPr>
          <w:sz w:val="22"/>
          <w:szCs w:val="22"/>
        </w:rPr>
      </w:pPr>
      <w:r w:rsidRPr="00847A7B">
        <w:rPr>
          <w:rFonts w:ascii="Nunito Sans" w:hAnsi="Nunito Sans" w:eastAsia="Nunito Sans" w:cs="Nunito Sans"/>
          <w:sz w:val="22"/>
          <w:szCs w:val="22"/>
        </w:rPr>
        <w:lastRenderedPageBreak/>
        <w:t xml:space="preserve">En este contexto, la planeación y la hoja de ruta permiten orientar la inversión pública, articular los esfuerzos institucionales y consolidar capacidades compartidas que soporten la gestión integral del dato, la interoperabilidad, la modernización tecnológica, la seguridad digital y la innovación con propósito. </w:t>
      </w:r>
    </w:p>
    <w:p w:rsidRPr="00847A7B" w:rsidR="005E3BD6" w:rsidP="005E3BD6" w:rsidRDefault="005E3BD6" w14:paraId="505A717D" w14:textId="77777777">
      <w:pPr>
        <w:spacing w:before="240" w:after="240"/>
        <w:jc w:val="both"/>
        <w:rPr>
          <w:rFonts w:ascii="Nunito Sans" w:hAnsi="Nunito Sans" w:eastAsia="Nunito Sans" w:cs="Nunito Sans"/>
          <w:sz w:val="22"/>
          <w:szCs w:val="22"/>
        </w:rPr>
      </w:pPr>
      <w:r w:rsidRPr="00847A7B">
        <w:rPr>
          <w:rFonts w:ascii="Nunito Sans" w:hAnsi="Nunito Sans" w:eastAsia="Nunito Sans" w:cs="Nunito Sans"/>
          <w:sz w:val="22"/>
          <w:szCs w:val="22"/>
        </w:rPr>
        <w:t>Los costos asociados a la inversión requerida para la ejecución de la hoja de ruta del PETI Sectorial han sido estimados con base en los recursos presupuestales del Ministerio de Minas y Energía. No obstante, dada la naturaleza sectorial de las iniciativas propuestas, las entidades adscritas podrán aunar recursos financieros, técnicos y operativos para la implementación de proyectos comunes, con el fin de optimizar el uso de los recursos públicos, generar economías de escala y fortalecer la articulación institucional en el cumplimiento de los objetivos estratégicos del sector.</w:t>
      </w:r>
    </w:p>
    <w:p w:rsidRPr="00847A7B" w:rsidR="005E3BD6" w:rsidP="005E3BD6" w:rsidRDefault="1F325162" w14:paraId="38C09DC1" w14:textId="77777777">
      <w:pPr>
        <w:spacing w:before="240" w:after="240"/>
        <w:jc w:val="both"/>
        <w:rPr>
          <w:rFonts w:ascii="Nunito Sans" w:hAnsi="Nunito Sans" w:eastAsia="Nunito Sans" w:cs="Nunito Sans"/>
          <w:sz w:val="22"/>
          <w:szCs w:val="22"/>
        </w:rPr>
      </w:pPr>
      <w:r w:rsidRPr="00847A7B">
        <w:rPr>
          <w:rFonts w:ascii="Nunito Sans" w:hAnsi="Nunito Sans" w:eastAsia="Nunito Sans" w:cs="Nunito Sans"/>
          <w:sz w:val="22"/>
          <w:szCs w:val="22"/>
        </w:rPr>
        <w:t>Par</w:t>
      </w:r>
      <w:r w:rsidRPr="00847A7B">
        <w:rPr>
          <w:rFonts w:ascii="Nunito Sans" w:hAnsi="Nunito Sans" w:eastAsia="Nunito Sans" w:cs="Nunito Sans"/>
          <w:b/>
          <w:bCs/>
          <w:sz w:val="22"/>
          <w:szCs w:val="22"/>
        </w:rPr>
        <w:t>a la planeación y estructuración d</w:t>
      </w:r>
      <w:r w:rsidRPr="00847A7B">
        <w:rPr>
          <w:rFonts w:ascii="Nunito Sans" w:hAnsi="Nunito Sans" w:eastAsia="Nunito Sans" w:cs="Nunito Sans"/>
          <w:sz w:val="22"/>
          <w:szCs w:val="22"/>
        </w:rPr>
        <w:t xml:space="preserve">e los proyectos de inversión se definieron los ítems técnicos, funcionales y estratégicos relevantes, los cuales sirven como insumo para la formulación, priorización y ejecución de las </w:t>
      </w:r>
      <w:r w:rsidRPr="00847A7B">
        <w:rPr>
          <w:rFonts w:ascii="Nunito Sans" w:hAnsi="Nunito Sans" w:eastAsia="Nunito Sans" w:cs="Nunito Sans"/>
          <w:b/>
          <w:bCs/>
          <w:sz w:val="22"/>
          <w:szCs w:val="22"/>
        </w:rPr>
        <w:t>iniciativas estratégicas sectoriales</w:t>
      </w:r>
      <w:r w:rsidRPr="00847A7B">
        <w:rPr>
          <w:rFonts w:ascii="Nunito Sans" w:hAnsi="Nunito Sans" w:eastAsia="Nunito Sans" w:cs="Nunito Sans"/>
          <w:sz w:val="22"/>
          <w:szCs w:val="22"/>
        </w:rPr>
        <w:t>.</w:t>
      </w:r>
    </w:p>
    <w:p w:rsidRPr="00847A7B" w:rsidR="005E3BD6" w:rsidP="005E3BD6" w:rsidRDefault="005E3BD6" w14:paraId="5070CAAE" w14:textId="77777777">
      <w:pPr>
        <w:spacing w:before="240" w:after="240"/>
        <w:jc w:val="both"/>
        <w:rPr>
          <w:rFonts w:ascii="Nunito Sans" w:hAnsi="Nunito Sans" w:eastAsia="Nunito Sans" w:cs="Nunito Sans"/>
          <w:sz w:val="22"/>
          <w:szCs w:val="22"/>
        </w:rPr>
      </w:pPr>
      <w:r w:rsidRPr="00847A7B">
        <w:rPr>
          <w:rFonts w:ascii="Nunito Sans" w:hAnsi="Nunito Sans" w:eastAsia="Nunito Sans" w:cs="Nunito Sans"/>
          <w:sz w:val="22"/>
          <w:szCs w:val="22"/>
        </w:rPr>
        <w:t>Lo anterior, tomando como base los proyectos del PETI 2025–2028 institucional del MME, permitió adelantar el seguimiento a su ejecución y analizar la evolución de su alcance, identificándose diez (10) proyectos cuya ampliación las llevó a incorporar de manera integral al Ministerio de Minas y Energía y a las entidades adscritas, razón por la cual fueron integradas y alineadas al PETI Sectorial 2025–2030.</w:t>
      </w:r>
    </w:p>
    <w:p w:rsidRPr="00847A7B" w:rsidR="005E3BD6" w:rsidP="005E3BD6" w:rsidRDefault="005E3BD6" w14:paraId="121C5FB0" w14:textId="77777777">
      <w:pPr>
        <w:spacing w:before="240" w:after="240"/>
        <w:jc w:val="both"/>
        <w:rPr>
          <w:sz w:val="22"/>
          <w:szCs w:val="22"/>
        </w:rPr>
      </w:pPr>
      <w:r w:rsidRPr="00847A7B">
        <w:rPr>
          <w:rFonts w:ascii="Nunito Sans" w:hAnsi="Nunito Sans" w:eastAsia="Nunito Sans" w:cs="Nunito Sans"/>
          <w:sz w:val="22"/>
          <w:szCs w:val="22"/>
        </w:rPr>
        <w:t>A continuación, se presentan las líneas de acción estratégicas definidas para materializar esta hoja de ruta y garantizar el avance efectivo del sector hacia un ecosistema digital que respalde la toma de decisiones basada en datos y el cumplimiento de la Política de Gobierno Digital:</w:t>
      </w:r>
    </w:p>
    <w:p w:rsidRPr="00A4531F" w:rsidR="00A4531F" w:rsidRDefault="00A4531F" w14:paraId="556FA455" w14:textId="77777777">
      <w:pPr>
        <w:pStyle w:val="Prrafodelista"/>
        <w:keepNext/>
        <w:keepLines/>
        <w:numPr>
          <w:ilvl w:val="0"/>
          <w:numId w:val="38"/>
        </w:numPr>
        <w:spacing w:before="40" w:after="240" w:line="276" w:lineRule="auto"/>
        <w:contextualSpacing w:val="0"/>
        <w:jc w:val="both"/>
        <w:outlineLvl w:val="1"/>
        <w:rPr>
          <w:rFonts w:ascii="Nunito Sans" w:hAnsi="Nunito Sans" w:eastAsia="Nunito Sans" w:cs="Nunito Sans"/>
          <w:b/>
          <w:bCs/>
          <w:iCs/>
          <w:vanish/>
          <w:color w:val="E4B300"/>
          <w:sz w:val="30"/>
          <w:szCs w:val="28"/>
          <w:lang w:val="es-ES"/>
        </w:rPr>
      </w:pPr>
      <w:bookmarkStart w:name="_Toc220407562" w:id="546"/>
      <w:bookmarkStart w:name="_Toc220407796" w:id="547"/>
      <w:bookmarkStart w:name="_Toc220408054" w:id="548"/>
      <w:bookmarkStart w:name="_Toc220614539" w:id="549"/>
      <w:bookmarkStart w:name="_Toc220664365" w:id="550"/>
      <w:bookmarkStart w:name="_Toc234231900" w:id="551"/>
      <w:bookmarkStart w:name="_Toc234232142" w:id="552"/>
      <w:bookmarkStart w:name="_Toc234232263" w:id="553"/>
      <w:bookmarkStart w:name="_Toc234232384" w:id="554"/>
      <w:bookmarkStart w:name="_Toc234233435" w:id="555"/>
      <w:bookmarkStart w:name="_Toc234233556" w:id="556"/>
      <w:bookmarkStart w:name="_Toc234233678" w:id="557"/>
      <w:bookmarkStart w:name="_Toc234233800" w:id="558"/>
      <w:bookmarkStart w:name="_Toc234233922" w:id="559"/>
      <w:bookmarkStart w:name="_Toc234234043" w:id="560"/>
      <w:bookmarkStart w:name="_Toc234234166" w:id="561"/>
      <w:bookmarkStart w:name="_Toc234234288" w:id="562"/>
      <w:bookmarkStart w:name="_Toc234234409" w:id="563"/>
      <w:bookmarkStart w:name="_Toc234234530" w:id="564"/>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Pr="00222E47" w:rsidR="005E3BD6" w:rsidRDefault="005E3BD6" w14:paraId="658F9AAF" w14:textId="2003A627">
      <w:pPr>
        <w:pStyle w:val="Ttulo2"/>
        <w:numPr>
          <w:ilvl w:val="1"/>
          <w:numId w:val="39"/>
        </w:numPr>
        <w:ind w:left="851" w:hanging="491"/>
      </w:pPr>
      <w:bookmarkStart w:name="_Toc234234531" w:id="565"/>
      <w:r>
        <w:t>Gobernanza Análisis y Explotación Estratégica de Datos Sectoriales</w:t>
      </w:r>
      <w:bookmarkEnd w:id="565"/>
    </w:p>
    <w:p w:rsidRPr="00C043A4" w:rsidR="005E3BD6" w:rsidP="005E3BD6" w:rsidRDefault="00A96E69" w14:paraId="512E0ACF" w14:textId="15B175F1">
      <w:pPr>
        <w:ind w:left="360" w:hanging="360"/>
        <w:jc w:val="center"/>
        <w:rPr>
          <w:rFonts w:ascii="Nunito Sans" w:hAnsi="Nunito Sans" w:cs="Calibri"/>
          <w:b/>
          <w:bCs/>
          <w:sz w:val="18"/>
          <w:szCs w:val="18"/>
        </w:rPr>
      </w:pPr>
      <w:bookmarkStart w:name="_Toc220664235" w:id="566"/>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64</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Ficha de Proyecto ID P-SEC 001</w:t>
      </w:r>
      <w:bookmarkEnd w:id="566"/>
    </w:p>
    <w:tbl>
      <w:tblPr>
        <w:tblW w:w="0" w:type="auto"/>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42"/>
        <w:gridCol w:w="6514"/>
      </w:tblGrid>
      <w:tr w:rsidRPr="00222E47" w:rsidR="005E3BD6" w:rsidTr="00FA19EF" w14:paraId="2CD9D73B" w14:textId="77777777">
        <w:trPr>
          <w:trHeight w:val="303"/>
          <w:jc w:val="center"/>
        </w:trPr>
        <w:tc>
          <w:tcPr>
            <w:tcW w:w="8956"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222E47" w:rsidR="005E3BD6" w:rsidP="00B4771C" w:rsidRDefault="005E3BD6" w14:paraId="6E617BDE" w14:textId="77777777">
            <w:pPr>
              <w:spacing w:line="259" w:lineRule="auto"/>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w:t>
            </w:r>
            <w:r w:rsidRPr="00222E47">
              <w:rPr>
                <w:rFonts w:ascii="Nunito Sans" w:hAnsi="Nunito Sans" w:eastAsia="Arial" w:cs="Calibri"/>
                <w:b/>
                <w:bCs/>
                <w:color w:val="FFFFFF" w:themeColor="background1"/>
                <w:sz w:val="18"/>
                <w:szCs w:val="18"/>
                <w:shd w:val="clear" w:color="auto" w:fill="E1AF3B"/>
              </w:rPr>
              <w:t>TO</w:t>
            </w:r>
          </w:p>
        </w:tc>
      </w:tr>
      <w:tr w:rsidRPr="00222E47" w:rsidR="005E3BD6" w:rsidTr="00FA19EF" w14:paraId="34060B4B"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3C22B558"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ID PROYECTO</w:t>
            </w:r>
          </w:p>
        </w:tc>
        <w:tc>
          <w:tcPr>
            <w:tcW w:w="6514" w:type="dxa"/>
            <w:tcBorders>
              <w:top w:val="single" w:color="FFFFFF" w:themeColor="background1" w:sz="4" w:space="0"/>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1A93D2AE"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P-SEC 001</w:t>
            </w:r>
          </w:p>
        </w:tc>
      </w:tr>
      <w:tr w:rsidRPr="00222E47" w:rsidR="005E3BD6" w:rsidTr="00FA19EF" w14:paraId="2AEE8071"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66EC0AEB"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Nombre del Proyecto</w:t>
            </w:r>
          </w:p>
        </w:tc>
        <w:tc>
          <w:tcPr>
            <w:tcW w:w="6514" w:type="dxa"/>
            <w:tcBorders>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086BCEF0"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Unidad de Gestión Estratégica de Infraestructura y Aplicaciones de Tl del Sector Minero Energético (CTO), para la Implementación del modelo de gobierno de tecnologías de la información y del modelo de gobierno de datos del sector minero energético.</w:t>
            </w:r>
          </w:p>
        </w:tc>
      </w:tr>
      <w:tr w:rsidRPr="00222E47" w:rsidR="005E3BD6" w:rsidTr="00FA19EF" w14:paraId="7B939E4F"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1AC22BD2"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Descripción o Temática del Proyecto</w:t>
            </w:r>
          </w:p>
        </w:tc>
        <w:tc>
          <w:tcPr>
            <w:tcW w:w="6514" w:type="dxa"/>
            <w:tcBorders>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2617D6AE" w14:textId="77777777">
            <w:pPr>
              <w:jc w:val="both"/>
              <w:rPr>
                <w:rFonts w:ascii="Nunito Sans" w:hAnsi="Nunito Sans" w:eastAsia="Arial" w:cs="Calibri"/>
                <w:sz w:val="18"/>
                <w:szCs w:val="18"/>
              </w:rPr>
            </w:pPr>
            <w:r w:rsidRPr="00222E47">
              <w:rPr>
                <w:rFonts w:ascii="Nunito Sans" w:hAnsi="Nunito Sans" w:eastAsia="Arial" w:cs="Calibri"/>
                <w:sz w:val="18"/>
                <w:szCs w:val="18"/>
              </w:rPr>
              <w:t>Identificar, definir y aprobar las políticas y estándares que faciliten la gestión y la gobernabilidad de Tl y datos del sector minero energético colombiano, de conformidad con la Política de Gobierno Digital y la resolución 40199 de 2021.</w:t>
            </w:r>
          </w:p>
        </w:tc>
      </w:tr>
      <w:tr w:rsidRPr="00222E47" w:rsidR="005E3BD6" w:rsidTr="00FA19EF" w14:paraId="10AE87B3"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27062A95"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Objeto y Alcance</w:t>
            </w:r>
          </w:p>
        </w:tc>
        <w:tc>
          <w:tcPr>
            <w:tcW w:w="6514" w:type="dxa"/>
            <w:tcBorders>
              <w:left w:val="single" w:color="FFFFFF" w:themeColor="background1" w:sz="4" w:space="0"/>
            </w:tcBorders>
            <w:tcMar>
              <w:top w:w="0" w:type="dxa"/>
              <w:left w:w="60" w:type="dxa"/>
              <w:bottom w:w="0" w:type="dxa"/>
              <w:right w:w="60" w:type="dxa"/>
            </w:tcMar>
            <w:vAlign w:val="center"/>
          </w:tcPr>
          <w:p w:rsidRPr="00222E47" w:rsidR="005E3BD6" w:rsidP="00FA19EF" w:rsidRDefault="005E3BD6" w14:paraId="08BB335F" w14:textId="3A614A87">
            <w:pPr>
              <w:jc w:val="both"/>
              <w:rPr>
                <w:rFonts w:ascii="Nunito Sans" w:hAnsi="Nunito Sans" w:eastAsia="Arial" w:cs="Calibri"/>
                <w:sz w:val="18"/>
                <w:szCs w:val="18"/>
              </w:rPr>
            </w:pPr>
            <w:r w:rsidRPr="00222E47">
              <w:rPr>
                <w:rFonts w:ascii="Nunito Sans" w:hAnsi="Nunito Sans" w:eastAsia="Arial" w:cs="Calibri"/>
                <w:sz w:val="18"/>
                <w:szCs w:val="18"/>
              </w:rPr>
              <w:t>Crear la Unidad de Gestión Estratégica de Infraestructura y Aplicaciones de Tl del Sector Minero Energético (CTO), para la Implementación del Marco de Referencia de Arquitectura</w:t>
            </w:r>
            <w:r w:rsidR="00AA4D72">
              <w:rPr>
                <w:rFonts w:ascii="Nunito Sans" w:hAnsi="Nunito Sans" w:eastAsia="Arial" w:cs="Calibri"/>
                <w:sz w:val="18"/>
                <w:szCs w:val="18"/>
              </w:rPr>
              <w:t>.</w:t>
            </w:r>
          </w:p>
        </w:tc>
      </w:tr>
      <w:tr w:rsidRPr="00222E47" w:rsidR="005E3BD6" w:rsidTr="00FA19EF" w14:paraId="7A6EA545"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7B5A2410"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Prioridad</w:t>
            </w:r>
          </w:p>
        </w:tc>
        <w:tc>
          <w:tcPr>
            <w:tcW w:w="6514" w:type="dxa"/>
            <w:tcBorders>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4C26754B" w14:textId="77777777">
            <w:pPr>
              <w:jc w:val="both"/>
              <w:rPr>
                <w:rFonts w:ascii="Nunito Sans" w:hAnsi="Nunito Sans" w:eastAsia="Arial" w:cs="Calibri"/>
                <w:sz w:val="18"/>
                <w:szCs w:val="18"/>
              </w:rPr>
            </w:pPr>
            <w:r w:rsidRPr="00222E47">
              <w:rPr>
                <w:rFonts w:ascii="Nunito Sans" w:hAnsi="Nunito Sans" w:eastAsia="Arial" w:cs="Calibri"/>
                <w:sz w:val="18"/>
                <w:szCs w:val="18"/>
              </w:rPr>
              <w:t>MEDIO</w:t>
            </w:r>
          </w:p>
        </w:tc>
      </w:tr>
      <w:tr w:rsidRPr="00222E47" w:rsidR="005E3BD6" w:rsidTr="00FA19EF" w14:paraId="419C63D9"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707ABD57"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lastRenderedPageBreak/>
              <w:t>Tiempo de Implementación</w:t>
            </w:r>
          </w:p>
        </w:tc>
        <w:tc>
          <w:tcPr>
            <w:tcW w:w="6514" w:type="dxa"/>
            <w:tcBorders>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2FBEB116" w14:textId="77777777">
            <w:pPr>
              <w:jc w:val="both"/>
              <w:rPr>
                <w:rFonts w:ascii="Nunito Sans" w:hAnsi="Nunito Sans" w:eastAsia="Arial" w:cs="Calibri"/>
                <w:sz w:val="18"/>
                <w:szCs w:val="18"/>
              </w:rPr>
            </w:pPr>
            <w:r w:rsidRPr="00222E47">
              <w:rPr>
                <w:rFonts w:ascii="Nunito Sans" w:hAnsi="Nunito Sans" w:eastAsia="Arial" w:cs="Calibri"/>
                <w:sz w:val="18"/>
                <w:szCs w:val="18"/>
              </w:rPr>
              <w:t>48 Meses</w:t>
            </w:r>
          </w:p>
        </w:tc>
      </w:tr>
      <w:tr w:rsidRPr="00222E47" w:rsidR="005E3BD6" w:rsidTr="00FA19EF" w14:paraId="6DDA3027"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32B97FCB"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Área Líder</w:t>
            </w:r>
          </w:p>
        </w:tc>
        <w:tc>
          <w:tcPr>
            <w:tcW w:w="6514" w:type="dxa"/>
            <w:tcBorders>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11686AE9" w14:textId="3D0652C8">
            <w:pPr>
              <w:jc w:val="both"/>
              <w:rPr>
                <w:rFonts w:ascii="Nunito Sans" w:hAnsi="Nunito Sans" w:eastAsia="Arial" w:cs="Calibri"/>
                <w:sz w:val="18"/>
                <w:szCs w:val="18"/>
              </w:rPr>
            </w:pPr>
            <w:r w:rsidRPr="2FC2A464">
              <w:rPr>
                <w:rFonts w:ascii="Nunito Sans" w:hAnsi="Nunito Sans" w:eastAsia="Arial" w:cs="Calibri"/>
                <w:sz w:val="18"/>
                <w:szCs w:val="18"/>
              </w:rPr>
              <w:t>Grupo de Tecnologías de la Información y las Comunicaciones</w:t>
            </w:r>
            <w:r w:rsidRPr="2FC2A464" w:rsidR="03BA2D76">
              <w:rPr>
                <w:rFonts w:ascii="Nunito Sans" w:hAnsi="Nunito Sans" w:eastAsia="Arial" w:cs="Calibri"/>
                <w:sz w:val="18"/>
                <w:szCs w:val="18"/>
              </w:rPr>
              <w:t xml:space="preserve"> – </w:t>
            </w:r>
            <w:r w:rsidRPr="2FC2A464">
              <w:rPr>
                <w:rFonts w:ascii="Nunito Sans" w:hAnsi="Nunito Sans" w:eastAsia="Arial" w:cs="Calibri"/>
                <w:sz w:val="18"/>
                <w:szCs w:val="18"/>
              </w:rPr>
              <w:t>TIC</w:t>
            </w:r>
            <w:r w:rsidRPr="2FC2A464" w:rsidR="03BA2D76">
              <w:rPr>
                <w:rFonts w:ascii="Nunito Sans" w:hAnsi="Nunito Sans" w:eastAsia="Arial" w:cs="Calibri"/>
                <w:sz w:val="18"/>
                <w:szCs w:val="18"/>
              </w:rPr>
              <w:t xml:space="preserve"> – Unidad de Planeación Minero Energética - UPME</w:t>
            </w:r>
          </w:p>
        </w:tc>
      </w:tr>
      <w:tr w:rsidRPr="00222E47" w:rsidR="005E3BD6" w:rsidTr="00FA19EF" w14:paraId="13E01F9A" w14:textId="77777777">
        <w:trPr>
          <w:trHeight w:val="303"/>
          <w:jc w:val="center"/>
        </w:trPr>
        <w:tc>
          <w:tcPr>
            <w:tcW w:w="2442"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A19EF" w:rsidR="005E3BD6" w:rsidP="00B4771C" w:rsidRDefault="005E3BD6" w14:paraId="66763B41" w14:textId="77777777">
            <w:pPr>
              <w:rPr>
                <w:rFonts w:ascii="Nunito Sans" w:hAnsi="Nunito Sans" w:eastAsia="Arial" w:cs="Calibri"/>
                <w:color w:val="FFFFFF" w:themeColor="background1"/>
                <w:sz w:val="18"/>
                <w:szCs w:val="18"/>
              </w:rPr>
            </w:pPr>
            <w:r w:rsidRPr="00FA19EF">
              <w:rPr>
                <w:rFonts w:ascii="Nunito Sans" w:hAnsi="Nunito Sans" w:eastAsia="Arial" w:cs="Calibri"/>
                <w:color w:val="FFFFFF" w:themeColor="background1"/>
                <w:sz w:val="18"/>
                <w:szCs w:val="18"/>
              </w:rPr>
              <w:t>Proyecto de Inversión</w:t>
            </w:r>
          </w:p>
        </w:tc>
        <w:tc>
          <w:tcPr>
            <w:tcW w:w="6514" w:type="dxa"/>
            <w:tcBorders>
              <w:left w:val="single" w:color="FFFFFF" w:themeColor="background1" w:sz="4" w:space="0"/>
            </w:tcBorders>
            <w:tcMar>
              <w:top w:w="0" w:type="dxa"/>
              <w:left w:w="60" w:type="dxa"/>
              <w:bottom w:w="0" w:type="dxa"/>
              <w:right w:w="60" w:type="dxa"/>
            </w:tcMar>
            <w:vAlign w:val="center"/>
            <w:hideMark/>
          </w:tcPr>
          <w:p w:rsidRPr="00222E47" w:rsidR="005E3BD6" w:rsidP="00FA19EF" w:rsidRDefault="005E3BD6" w14:paraId="60CC2CD0"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0A3312" w:rsidR="005E3BD6" w:rsidP="005E3BD6" w:rsidRDefault="005E3BD6" w14:paraId="182909F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7258EE91" w14:textId="77777777">
      <w:pPr>
        <w:ind w:left="360" w:hanging="360"/>
        <w:jc w:val="center"/>
        <w:rPr>
          <w:rFonts w:ascii="Nunito Sans" w:hAnsi="Nunito Sans" w:cs="Calibri"/>
          <w:b/>
          <w:bCs/>
          <w:sz w:val="18"/>
          <w:szCs w:val="18"/>
        </w:rPr>
      </w:pPr>
    </w:p>
    <w:p w:rsidRPr="00C043A4" w:rsidR="005E3BD6" w:rsidP="005E3BD6" w:rsidRDefault="00A96E69" w14:paraId="58C51886" w14:textId="05477062">
      <w:pPr>
        <w:ind w:left="360" w:hanging="360"/>
        <w:jc w:val="center"/>
        <w:rPr>
          <w:rFonts w:ascii="Nunito Sans" w:hAnsi="Nunito Sans" w:cs="Calibri"/>
          <w:b/>
          <w:bCs/>
          <w:sz w:val="18"/>
          <w:szCs w:val="18"/>
        </w:rPr>
      </w:pPr>
      <w:bookmarkStart w:name="_Toc220664236" w:id="567"/>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65</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F</w:t>
      </w:r>
      <w:r w:rsidRPr="00C043A4" w:rsidR="005E3BD6">
        <w:rPr>
          <w:rFonts w:ascii="Nunito Sans" w:hAnsi="Nunito Sans" w:cs="Calibri"/>
          <w:b/>
          <w:bCs/>
          <w:sz w:val="18"/>
          <w:szCs w:val="18"/>
        </w:rPr>
        <w:t>icha de Proyecto ID P-SEC 002</w:t>
      </w:r>
      <w:bookmarkEnd w:id="567"/>
    </w:p>
    <w:tbl>
      <w:tblPr>
        <w:tblW w:w="8930" w:type="dxa"/>
        <w:tblInd w:w="276"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520"/>
      </w:tblGrid>
      <w:tr w:rsidRPr="007E3FC8" w:rsidR="005E3BD6" w:rsidTr="005D2E5F" w14:paraId="7B3E5BCE" w14:textId="77777777">
        <w:trPr>
          <w:trHeight w:val="300"/>
        </w:trPr>
        <w:tc>
          <w:tcPr>
            <w:tcW w:w="8930"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4197C" w:rsidR="005E3BD6" w:rsidP="00B4771C" w:rsidRDefault="005E3BD6" w14:paraId="1C4AC398" w14:textId="77777777">
            <w:pPr>
              <w:spacing w:line="259" w:lineRule="auto"/>
              <w:jc w:val="center"/>
              <w:rPr>
                <w:rFonts w:ascii="Nunito Sans" w:hAnsi="Nunito Sans" w:eastAsia="Arial" w:cs="Calibri"/>
                <w:b/>
                <w:bCs/>
                <w:color w:val="FFFFFF" w:themeColor="background1"/>
                <w:sz w:val="18"/>
                <w:szCs w:val="18"/>
              </w:rPr>
            </w:pPr>
            <w:r w:rsidRPr="00B4197C">
              <w:rPr>
                <w:rFonts w:ascii="Nunito Sans" w:hAnsi="Nunito Sans" w:eastAsia="Arial" w:cs="Calibri"/>
                <w:b/>
                <w:bCs/>
                <w:color w:val="FFFFFF" w:themeColor="background1"/>
                <w:sz w:val="18"/>
                <w:szCs w:val="18"/>
              </w:rPr>
              <w:t>FICHA DE PROYECTO</w:t>
            </w:r>
          </w:p>
        </w:tc>
      </w:tr>
      <w:tr w:rsidRPr="007E3FC8" w:rsidR="005E3BD6" w:rsidTr="005D2E5F" w14:paraId="592F0F5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2254F9E1"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ID PROYECTO</w:t>
            </w:r>
          </w:p>
        </w:tc>
        <w:tc>
          <w:tcPr>
            <w:tcW w:w="6520" w:type="dxa"/>
            <w:tcBorders>
              <w:top w:val="single" w:color="FFFFFF" w:themeColor="background1" w:sz="4" w:space="0"/>
              <w:left w:val="single" w:color="FFFFFF" w:themeColor="background1" w:sz="4" w:space="0"/>
            </w:tcBorders>
            <w:tcMar>
              <w:top w:w="0" w:type="dxa"/>
              <w:left w:w="60" w:type="dxa"/>
              <w:bottom w:w="0" w:type="dxa"/>
              <w:right w:w="60" w:type="dxa"/>
            </w:tcMar>
            <w:vAlign w:val="center"/>
            <w:hideMark/>
          </w:tcPr>
          <w:p w:rsidRPr="00B4197C" w:rsidR="005E3BD6" w:rsidP="00B4771C" w:rsidRDefault="005E3BD6" w14:paraId="3102F2F3" w14:textId="77777777">
            <w:pPr>
              <w:rPr>
                <w:rFonts w:ascii="Nunito Sans" w:hAnsi="Nunito Sans" w:eastAsia="Arial" w:cs="Calibri"/>
                <w:b/>
                <w:bCs/>
                <w:sz w:val="18"/>
                <w:szCs w:val="18"/>
              </w:rPr>
            </w:pPr>
            <w:r w:rsidRPr="00B4197C">
              <w:rPr>
                <w:rFonts w:ascii="Nunito Sans" w:hAnsi="Nunito Sans" w:eastAsia="Arial" w:cs="Calibri"/>
                <w:b/>
                <w:bCs/>
                <w:sz w:val="18"/>
                <w:szCs w:val="18"/>
              </w:rPr>
              <w:t>P-SEC 002</w:t>
            </w:r>
          </w:p>
        </w:tc>
      </w:tr>
      <w:tr w:rsidRPr="007E3FC8" w:rsidR="005E3BD6" w:rsidTr="005D2E5F" w14:paraId="0F55CF01"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7D6B9BB8"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Nombre del Proyecto</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58A2B229" w14:paraId="2441E75E" w14:textId="08F286C4">
            <w:pPr>
              <w:jc w:val="both"/>
            </w:pPr>
            <w:r w:rsidRPr="2FC2A464">
              <w:rPr>
                <w:rFonts w:ascii="Nunito Sans" w:hAnsi="Nunito Sans" w:eastAsia="Arial" w:cs="Calibri"/>
                <w:b/>
                <w:bCs/>
                <w:sz w:val="18"/>
                <w:szCs w:val="18"/>
              </w:rPr>
              <w:t xml:space="preserve">Consolidar la Infraestructura de Datos Espaciales del sector minero </w:t>
            </w:r>
            <w:r w:rsidRPr="2FC2A464" w:rsidR="517FF815">
              <w:rPr>
                <w:rFonts w:ascii="Nunito Sans" w:hAnsi="Nunito Sans" w:eastAsia="Arial" w:cs="Calibri"/>
                <w:b/>
                <w:bCs/>
                <w:sz w:val="18"/>
                <w:szCs w:val="18"/>
              </w:rPr>
              <w:t>energético (</w:t>
            </w:r>
            <w:r w:rsidRPr="2FC2A464">
              <w:rPr>
                <w:rFonts w:ascii="Nunito Sans" w:hAnsi="Nunito Sans" w:eastAsia="Arial" w:cs="Calibri"/>
                <w:b/>
                <w:bCs/>
                <w:sz w:val="18"/>
                <w:szCs w:val="18"/>
              </w:rPr>
              <w:t>IDE-ME)</w:t>
            </w:r>
          </w:p>
        </w:tc>
      </w:tr>
      <w:tr w:rsidRPr="007E3FC8" w:rsidR="005E3BD6" w:rsidTr="005D2E5F" w14:paraId="00C50A1A"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69F30246"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Descripción o Temática del Proyecto</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2AAB1804" w14:textId="77777777">
            <w:pPr>
              <w:jc w:val="both"/>
              <w:rPr>
                <w:rFonts w:ascii="Nunito Sans" w:hAnsi="Nunito Sans" w:eastAsia="Arial" w:cs="Calibri"/>
                <w:sz w:val="18"/>
                <w:szCs w:val="18"/>
              </w:rPr>
            </w:pPr>
            <w:r w:rsidRPr="00B4197C">
              <w:rPr>
                <w:rFonts w:ascii="Nunito Sans" w:hAnsi="Nunito Sans" w:eastAsia="Arial" w:cs="Calibri"/>
                <w:sz w:val="18"/>
                <w:szCs w:val="18"/>
              </w:rPr>
              <w:t>Desarrollar e implementar la herramienta de gestión de datos geoespaciales, consumidora de geoservicios y con múltiples funciones para los usuarios que permite la publicación de información geográfica.</w:t>
            </w:r>
          </w:p>
        </w:tc>
      </w:tr>
      <w:tr w:rsidRPr="007E3FC8" w:rsidR="005E3BD6" w:rsidTr="005D2E5F" w14:paraId="16FB641C"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35FC5FBA"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Objeto y Alcance</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2DF123E9" w14:textId="77777777">
            <w:pPr>
              <w:jc w:val="both"/>
              <w:rPr>
                <w:rFonts w:ascii="Nunito Sans" w:hAnsi="Nunito Sans" w:eastAsia="Arial" w:cs="Calibri"/>
                <w:sz w:val="18"/>
                <w:szCs w:val="18"/>
              </w:rPr>
            </w:pPr>
            <w:r w:rsidRPr="00B4197C">
              <w:rPr>
                <w:rFonts w:ascii="Nunito Sans" w:hAnsi="Nunito Sans" w:eastAsia="Arial" w:cs="Calibri"/>
                <w:sz w:val="18"/>
                <w:szCs w:val="18"/>
              </w:rPr>
              <w:t>Consolidar la Infraestructura de Datos Espaciales (IDE) del Ministerio de Minas y Energía.</w:t>
            </w:r>
          </w:p>
        </w:tc>
      </w:tr>
      <w:tr w:rsidRPr="007E3FC8" w:rsidR="005E3BD6" w:rsidTr="005D2E5F" w14:paraId="072DDCFE"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14BC3382"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Prioridad</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1310D0FB" w14:textId="77777777">
            <w:pPr>
              <w:jc w:val="both"/>
              <w:rPr>
                <w:rFonts w:ascii="Nunito Sans" w:hAnsi="Nunito Sans" w:eastAsia="Arial" w:cs="Calibri"/>
                <w:sz w:val="18"/>
                <w:szCs w:val="18"/>
              </w:rPr>
            </w:pPr>
            <w:r w:rsidRPr="00B4197C">
              <w:rPr>
                <w:rFonts w:ascii="Nunito Sans" w:hAnsi="Nunito Sans" w:eastAsia="Arial" w:cs="Calibri"/>
                <w:sz w:val="18"/>
                <w:szCs w:val="18"/>
              </w:rPr>
              <w:t>ALTO</w:t>
            </w:r>
          </w:p>
        </w:tc>
      </w:tr>
      <w:tr w:rsidRPr="007E3FC8" w:rsidR="005E3BD6" w:rsidTr="005D2E5F" w14:paraId="741C3F0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0583AB68"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Recursos</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275371ED" w14:textId="5BF6F37A">
            <w:pPr>
              <w:jc w:val="both"/>
              <w:rPr>
                <w:rFonts w:ascii="Nunito Sans" w:hAnsi="Nunito Sans" w:eastAsia="Arial" w:cs="Calibri"/>
                <w:sz w:val="18"/>
                <w:szCs w:val="18"/>
              </w:rPr>
            </w:pPr>
            <w:r w:rsidRPr="00B4197C">
              <w:rPr>
                <w:rFonts w:ascii="Nunito Sans" w:hAnsi="Nunito Sans" w:eastAsia="Arial" w:cs="Calibri"/>
                <w:sz w:val="18"/>
                <w:szCs w:val="18"/>
              </w:rPr>
              <w:t>Servicios especializados con un equipo mínimo:</w:t>
            </w:r>
            <w:r w:rsidR="001C6196">
              <w:rPr>
                <w:rFonts w:ascii="Nunito Sans" w:hAnsi="Nunito Sans" w:cs="Calibri"/>
                <w:sz w:val="18"/>
                <w:szCs w:val="18"/>
              </w:rPr>
              <w:t xml:space="preserve"> </w:t>
            </w:r>
            <w:r w:rsidRPr="00B4197C">
              <w:rPr>
                <w:rFonts w:ascii="Nunito Sans" w:hAnsi="Nunito Sans" w:eastAsia="Arial" w:cs="Calibri"/>
                <w:sz w:val="18"/>
                <w:szCs w:val="18"/>
              </w:rPr>
              <w:t>Administrador Geovisor</w:t>
            </w:r>
          </w:p>
          <w:p w:rsidRPr="00B4197C" w:rsidR="005E3BD6" w:rsidP="001C6196" w:rsidRDefault="005E3BD6" w14:paraId="47464CF7" w14:textId="77777777">
            <w:pPr>
              <w:jc w:val="both"/>
              <w:rPr>
                <w:rFonts w:ascii="Nunito Sans" w:hAnsi="Nunito Sans" w:eastAsia="Arial" w:cs="Calibri"/>
                <w:sz w:val="18"/>
                <w:szCs w:val="18"/>
              </w:rPr>
            </w:pPr>
            <w:r w:rsidRPr="00B4197C">
              <w:rPr>
                <w:rFonts w:ascii="Nunito Sans" w:hAnsi="Nunito Sans" w:eastAsia="Arial" w:cs="Calibri"/>
                <w:sz w:val="18"/>
                <w:szCs w:val="18"/>
              </w:rPr>
              <w:t>Desarrollador de Base de Datos Corporativa Geográfica (BDGC)</w:t>
            </w:r>
          </w:p>
          <w:p w:rsidRPr="00B4197C" w:rsidR="005E3BD6" w:rsidP="001C6196" w:rsidRDefault="005E3BD6" w14:paraId="6F037E96" w14:textId="77777777">
            <w:pPr>
              <w:jc w:val="both"/>
              <w:rPr>
                <w:rFonts w:ascii="Nunito Sans" w:hAnsi="Nunito Sans" w:eastAsia="Arial" w:cs="Calibri"/>
                <w:sz w:val="18"/>
                <w:szCs w:val="18"/>
              </w:rPr>
            </w:pPr>
            <w:r w:rsidRPr="00B4197C">
              <w:rPr>
                <w:rFonts w:ascii="Nunito Sans" w:hAnsi="Nunito Sans" w:eastAsia="Arial" w:cs="Calibri"/>
                <w:sz w:val="18"/>
                <w:szCs w:val="18"/>
              </w:rPr>
              <w:t>Desarrollador de aplicaciones SIG</w:t>
            </w:r>
          </w:p>
        </w:tc>
      </w:tr>
      <w:tr w:rsidRPr="007E3FC8" w:rsidR="005E3BD6" w:rsidTr="005D2E5F" w14:paraId="7DB5F473"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7AAB8141"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Tiempo de Implementación</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208A88FC" w14:textId="77777777">
            <w:pPr>
              <w:jc w:val="both"/>
              <w:rPr>
                <w:rFonts w:ascii="Nunito Sans" w:hAnsi="Nunito Sans" w:eastAsia="Arial" w:cs="Calibri"/>
                <w:sz w:val="18"/>
                <w:szCs w:val="18"/>
              </w:rPr>
            </w:pPr>
            <w:r w:rsidRPr="00B4197C">
              <w:rPr>
                <w:rFonts w:ascii="Nunito Sans" w:hAnsi="Nunito Sans" w:eastAsia="Arial" w:cs="Calibri"/>
                <w:sz w:val="18"/>
                <w:szCs w:val="18"/>
              </w:rPr>
              <w:t>48 Meses</w:t>
            </w:r>
          </w:p>
        </w:tc>
      </w:tr>
      <w:tr w:rsidRPr="007E3FC8" w:rsidR="005E3BD6" w:rsidTr="005D2E5F" w14:paraId="5F175C01"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49FB6821"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Área Líder</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4CD694CD" w14:textId="77777777">
            <w:pPr>
              <w:jc w:val="both"/>
              <w:rPr>
                <w:rFonts w:ascii="Nunito Sans" w:hAnsi="Nunito Sans" w:eastAsia="Arial" w:cs="Calibri"/>
                <w:sz w:val="18"/>
                <w:szCs w:val="18"/>
              </w:rPr>
            </w:pPr>
            <w:r w:rsidRPr="00B4197C">
              <w:rPr>
                <w:rFonts w:ascii="Nunito Sans" w:hAnsi="Nunito Sans" w:eastAsia="Arial" w:cs="Calibri"/>
                <w:sz w:val="18"/>
                <w:szCs w:val="18"/>
              </w:rPr>
              <w:t>Grupo de Tecnologías de la Información y las Comunicaciones - TIC</w:t>
            </w:r>
          </w:p>
        </w:tc>
      </w:tr>
      <w:tr w:rsidRPr="007E3FC8" w:rsidR="005E3BD6" w:rsidTr="005D2E5F" w14:paraId="4BA83A93"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5E3BD6" w:rsidP="00B4771C" w:rsidRDefault="005E3BD6" w14:paraId="1E3182E8"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Proyecto de Inversión</w:t>
            </w:r>
          </w:p>
        </w:tc>
        <w:tc>
          <w:tcPr>
            <w:tcW w:w="6520" w:type="dxa"/>
            <w:tcBorders>
              <w:left w:val="single" w:color="FFFFFF" w:themeColor="background1" w:sz="4" w:space="0"/>
            </w:tcBorders>
            <w:tcMar>
              <w:top w:w="0" w:type="dxa"/>
              <w:left w:w="60" w:type="dxa"/>
              <w:bottom w:w="0" w:type="dxa"/>
              <w:right w:w="60" w:type="dxa"/>
            </w:tcMar>
            <w:vAlign w:val="center"/>
            <w:hideMark/>
          </w:tcPr>
          <w:p w:rsidRPr="00B4197C" w:rsidR="005E3BD6" w:rsidP="001C6196" w:rsidRDefault="005E3BD6" w14:paraId="6C77D160" w14:textId="77777777">
            <w:pPr>
              <w:jc w:val="both"/>
              <w:rPr>
                <w:rFonts w:ascii="Nunito Sans" w:hAnsi="Nunito Sans" w:eastAsia="Arial" w:cs="Calibri"/>
                <w:sz w:val="18"/>
                <w:szCs w:val="18"/>
              </w:rPr>
            </w:pPr>
            <w:r w:rsidRPr="00B4197C">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0A3312" w:rsidR="005E3BD6" w:rsidP="005E3BD6" w:rsidRDefault="005E3BD6" w14:paraId="0FDBE60F"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1E547F" w:rsidP="005E3BD6" w:rsidRDefault="001E547F" w14:paraId="6C62DFF3" w14:textId="77777777">
      <w:pPr>
        <w:ind w:left="360" w:hanging="360"/>
        <w:jc w:val="center"/>
        <w:rPr>
          <w:rFonts w:ascii="Nunito Sans" w:hAnsi="Nunito Sans" w:cs="Calibri"/>
          <w:b/>
          <w:bCs/>
          <w:sz w:val="18"/>
          <w:szCs w:val="18"/>
        </w:rPr>
      </w:pPr>
    </w:p>
    <w:p w:rsidRPr="00C043A4" w:rsidR="005E3BD6" w:rsidP="005E3BD6" w:rsidRDefault="00A96E69" w14:paraId="021579F6" w14:textId="2F576FE7">
      <w:pPr>
        <w:ind w:left="360" w:hanging="360"/>
        <w:jc w:val="center"/>
        <w:rPr>
          <w:rFonts w:ascii="Nunito Sans" w:hAnsi="Nunito Sans" w:cs="Calibri"/>
          <w:b/>
          <w:bCs/>
          <w:sz w:val="18"/>
          <w:szCs w:val="18"/>
        </w:rPr>
      </w:pPr>
      <w:bookmarkStart w:name="_Toc220664237" w:id="568"/>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66</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Ficha de proyecto ID P-SEC 003</w:t>
      </w:r>
      <w:bookmarkEnd w:id="568"/>
    </w:p>
    <w:tbl>
      <w:tblPr>
        <w:tblW w:w="8930" w:type="dxa"/>
        <w:tblInd w:w="276"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520"/>
      </w:tblGrid>
      <w:tr w:rsidRPr="00222E47" w:rsidR="005E3BD6" w:rsidTr="005D2E5F" w14:paraId="1B244821" w14:textId="77777777">
        <w:trPr>
          <w:trHeight w:val="300"/>
        </w:trPr>
        <w:tc>
          <w:tcPr>
            <w:tcW w:w="8930"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222E47" w:rsidR="005E3BD6" w:rsidP="00B4771C" w:rsidRDefault="005E3BD6" w14:paraId="0CF481CD" w14:textId="77777777">
            <w:pPr>
              <w:spacing w:line="259" w:lineRule="auto"/>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23002D" w:rsidTr="005D2E5F" w14:paraId="478A994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59EFDC5D"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ID PROYECTO</w:t>
            </w:r>
          </w:p>
        </w:tc>
        <w:tc>
          <w:tcPr>
            <w:tcW w:w="6520" w:type="dxa"/>
            <w:tcBorders>
              <w:top w:val="single" w:color="FFFFFF" w:themeColor="background1" w:sz="4" w:space="0"/>
              <w:left w:val="single" w:color="FFFFFF" w:themeColor="background1" w:sz="4" w:space="0"/>
            </w:tcBorders>
            <w:tcMar>
              <w:top w:w="0" w:type="dxa"/>
              <w:left w:w="60" w:type="dxa"/>
              <w:bottom w:w="0" w:type="dxa"/>
              <w:right w:w="60" w:type="dxa"/>
            </w:tcMar>
            <w:vAlign w:val="center"/>
            <w:hideMark/>
          </w:tcPr>
          <w:p w:rsidRPr="00222E47" w:rsidR="0023002D" w:rsidP="0023002D" w:rsidRDefault="0023002D" w14:paraId="61E5CA31" w14:textId="47C99E17">
            <w:pPr>
              <w:rPr>
                <w:rFonts w:ascii="Nunito Sans" w:hAnsi="Nunito Sans" w:eastAsia="Arial" w:cs="Calibri"/>
                <w:b/>
                <w:bCs/>
                <w:sz w:val="18"/>
                <w:szCs w:val="18"/>
              </w:rPr>
            </w:pPr>
            <w:r>
              <w:rPr>
                <w:rStyle w:val="normaltextrun"/>
                <w:rFonts w:ascii="Nunito Sans" w:hAnsi="Nunito Sans" w:eastAsia="Nunito Sans" w:cs="Segoe UI"/>
                <w:b/>
                <w:bCs/>
                <w:sz w:val="18"/>
                <w:szCs w:val="18"/>
              </w:rPr>
              <w:t>P-SEC 003 </w:t>
            </w:r>
            <w:r>
              <w:rPr>
                <w:rStyle w:val="eop"/>
                <w:rFonts w:ascii="Nunito Sans" w:hAnsi="Nunito Sans" w:eastAsia="Nunito Sans" w:cs="Segoe UI"/>
                <w:sz w:val="18"/>
                <w:szCs w:val="18"/>
              </w:rPr>
              <w:t> </w:t>
            </w:r>
          </w:p>
        </w:tc>
      </w:tr>
      <w:tr w:rsidRPr="00222E47" w:rsidR="0023002D" w:rsidTr="005D2E5F" w14:paraId="56C1BD0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2B26628D"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Nombre del Proyecto</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7C214C55" w14:paraId="7A9F9270" w14:textId="44DEC906">
            <w:pPr>
              <w:jc w:val="both"/>
              <w:rPr>
                <w:rStyle w:val="eop"/>
                <w:rFonts w:ascii="Nunito Sans" w:hAnsi="Nunito Sans" w:eastAsia="Nunito Sans" w:cs="Segoe UI"/>
                <w:b/>
                <w:bCs/>
                <w:sz w:val="18"/>
                <w:szCs w:val="18"/>
              </w:rPr>
            </w:pPr>
            <w:r w:rsidRPr="005D2E5F">
              <w:rPr>
                <w:rStyle w:val="eop"/>
                <w:rFonts w:ascii="Nunito Sans" w:hAnsi="Nunito Sans" w:eastAsia="Nunito Sans" w:cs="Segoe UI"/>
                <w:b/>
                <w:bCs/>
                <w:sz w:val="18"/>
                <w:szCs w:val="18"/>
              </w:rPr>
              <w:t xml:space="preserve">Fortalecer la infraestructura de datos </w:t>
            </w:r>
            <w:r w:rsidRPr="005D2E5F" w:rsidR="582D59D8">
              <w:rPr>
                <w:rStyle w:val="eop"/>
                <w:rFonts w:ascii="Nunito Sans" w:hAnsi="Nunito Sans" w:eastAsia="Nunito Sans" w:cs="Segoe UI"/>
                <w:b/>
                <w:bCs/>
                <w:sz w:val="18"/>
                <w:szCs w:val="18"/>
              </w:rPr>
              <w:t>estadísticos</w:t>
            </w:r>
            <w:r w:rsidRPr="005D2E5F">
              <w:rPr>
                <w:rStyle w:val="eop"/>
                <w:rFonts w:ascii="Nunito Sans" w:hAnsi="Nunito Sans" w:eastAsia="Nunito Sans" w:cs="Segoe UI"/>
                <w:b/>
                <w:bCs/>
                <w:sz w:val="18"/>
                <w:szCs w:val="18"/>
              </w:rPr>
              <w:t xml:space="preserve">   del sector minero </w:t>
            </w:r>
            <w:r w:rsidRPr="005D2E5F" w:rsidR="3C6D188B">
              <w:rPr>
                <w:rStyle w:val="eop"/>
                <w:rFonts w:ascii="Nunito Sans" w:hAnsi="Nunito Sans" w:eastAsia="Nunito Sans" w:cs="Segoe UI"/>
                <w:b/>
                <w:bCs/>
                <w:sz w:val="18"/>
                <w:szCs w:val="18"/>
              </w:rPr>
              <w:t>energético</w:t>
            </w:r>
            <w:r w:rsidRPr="005D2E5F">
              <w:rPr>
                <w:rStyle w:val="eop"/>
                <w:rFonts w:ascii="Nunito Sans" w:hAnsi="Nunito Sans" w:eastAsia="Nunito Sans" w:cs="Segoe UI"/>
                <w:b/>
                <w:bCs/>
                <w:sz w:val="18"/>
                <w:szCs w:val="18"/>
              </w:rPr>
              <w:t xml:space="preserve"> (</w:t>
            </w:r>
            <w:r w:rsidRPr="005D2E5F" w:rsidR="49A7E921">
              <w:rPr>
                <w:rStyle w:val="eop"/>
                <w:rFonts w:ascii="Nunito Sans" w:hAnsi="Nunito Sans" w:eastAsia="Nunito Sans" w:cs="Segoe UI"/>
                <w:b/>
                <w:bCs/>
                <w:sz w:val="18"/>
                <w:szCs w:val="18"/>
              </w:rPr>
              <w:t>intégrame</w:t>
            </w:r>
            <w:r w:rsidRPr="005D2E5F">
              <w:rPr>
                <w:rStyle w:val="eop"/>
                <w:rFonts w:ascii="Nunito Sans" w:hAnsi="Nunito Sans" w:eastAsia="Nunito Sans" w:cs="Segoe UI"/>
                <w:b/>
                <w:bCs/>
                <w:sz w:val="18"/>
                <w:szCs w:val="18"/>
              </w:rPr>
              <w:t>)</w:t>
            </w:r>
          </w:p>
        </w:tc>
      </w:tr>
      <w:tr w:rsidRPr="00222E47" w:rsidR="0023002D" w:rsidTr="005D2E5F" w14:paraId="21DF68BD"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617CEC56"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Descripción o Temática del Proyecto</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66B4D90B" w14:paraId="10838DB1" w14:textId="1379C8A4">
            <w:pPr>
              <w:jc w:val="both"/>
              <w:rPr>
                <w:rFonts w:ascii="Nunito Sans" w:hAnsi="Nunito Sans" w:eastAsia="Arial" w:cs="Calibri"/>
                <w:sz w:val="18"/>
                <w:szCs w:val="18"/>
              </w:rPr>
            </w:pPr>
            <w:r w:rsidRPr="005D2E5F">
              <w:rPr>
                <w:rFonts w:ascii="Nunito Sans" w:hAnsi="Nunito Sans" w:eastAsia="Nunito Sans" w:cs="Nunito Sans"/>
                <w:sz w:val="18"/>
                <w:szCs w:val="18"/>
              </w:rPr>
              <w:t>Mantener y evolucionar el sistema INTÉGRAME incluida la actualización e implementación de modelos de analítica de datos del sector Minero Energético.</w:t>
            </w:r>
            <w:r w:rsidRPr="005D2E5F">
              <w:rPr>
                <w:rStyle w:val="normaltextrun"/>
                <w:rFonts w:ascii="Nunito Sans" w:hAnsi="Nunito Sans" w:eastAsia="Nunito Sans" w:cs="Segoe UI"/>
                <w:color w:val="242424"/>
                <w:sz w:val="18"/>
                <w:szCs w:val="18"/>
              </w:rPr>
              <w:t xml:space="preserve"> </w:t>
            </w:r>
            <w:r w:rsidRPr="005D2E5F" w:rsidR="201B5B99">
              <w:rPr>
                <w:rStyle w:val="normaltextrun"/>
                <w:rFonts w:ascii="Nunito Sans" w:hAnsi="Nunito Sans" w:eastAsia="Nunito Sans" w:cs="Segoe UI"/>
                <w:color w:val="242424"/>
                <w:sz w:val="18"/>
                <w:szCs w:val="18"/>
              </w:rPr>
              <w:t> </w:t>
            </w:r>
            <w:r w:rsidRPr="005D2E5F" w:rsidR="201B5B99">
              <w:rPr>
                <w:rStyle w:val="eop"/>
                <w:rFonts w:ascii="Nunito Sans" w:hAnsi="Nunito Sans" w:eastAsia="Nunito Sans" w:cs="Segoe UI"/>
                <w:color w:val="242424"/>
                <w:sz w:val="18"/>
                <w:szCs w:val="18"/>
              </w:rPr>
              <w:t> </w:t>
            </w:r>
          </w:p>
        </w:tc>
      </w:tr>
      <w:tr w:rsidRPr="00222E47" w:rsidR="0023002D" w:rsidTr="005D2E5F" w14:paraId="506D58F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1B1E58B8"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Objeto y Alcance</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019711BF" w14:paraId="763E55C5" w14:textId="68EBAF5A">
            <w:pPr>
              <w:jc w:val="both"/>
              <w:rPr>
                <w:rFonts w:ascii="Nunito Sans" w:hAnsi="Nunito Sans"/>
              </w:rPr>
            </w:pPr>
            <w:r w:rsidRPr="005D2E5F">
              <w:rPr>
                <w:rFonts w:ascii="Nunito Sans" w:hAnsi="Nunito Sans" w:eastAsia="Nunito Sans" w:cs="Nunito Sans"/>
                <w:sz w:val="18"/>
                <w:szCs w:val="18"/>
              </w:rPr>
              <w:t xml:space="preserve">Fortalecer las acciones encaminadas a cumplir los objetivos de la plataforma Intégrame, así como garantizar su mantenimiento, evolución y soporte continuo. Esto incluye la aplicación de políticas de calidad de datos y su respectivo sistema de aseguramiento, manteniendo los estándares iniciales de la plataforma. </w:t>
            </w:r>
          </w:p>
        </w:tc>
      </w:tr>
      <w:tr w:rsidRPr="00222E47" w:rsidR="0023002D" w:rsidTr="005D2E5F" w14:paraId="4001A8DE"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00FB43FD"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Prioridad</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0023002D" w14:paraId="426BE374" w14:textId="1172E8E4">
            <w:pPr>
              <w:jc w:val="both"/>
              <w:rPr>
                <w:rFonts w:ascii="Nunito Sans" w:hAnsi="Nunito Sans" w:eastAsia="Arial" w:cs="Calibri"/>
                <w:sz w:val="18"/>
                <w:szCs w:val="18"/>
              </w:rPr>
            </w:pPr>
            <w:r w:rsidRPr="005D2E5F">
              <w:rPr>
                <w:rStyle w:val="normaltextrun"/>
                <w:rFonts w:ascii="Nunito Sans" w:hAnsi="Nunito Sans" w:eastAsia="Nunito Sans" w:cs="Segoe UI"/>
                <w:sz w:val="18"/>
                <w:szCs w:val="18"/>
              </w:rPr>
              <w:t>MEDIO</w:t>
            </w:r>
            <w:r w:rsidRPr="005D2E5F">
              <w:rPr>
                <w:rStyle w:val="eop"/>
                <w:rFonts w:ascii="Nunito Sans" w:hAnsi="Nunito Sans" w:eastAsia="Nunito Sans" w:cs="Segoe UI"/>
                <w:sz w:val="18"/>
                <w:szCs w:val="18"/>
              </w:rPr>
              <w:t> </w:t>
            </w:r>
          </w:p>
        </w:tc>
      </w:tr>
      <w:tr w:rsidRPr="00222E47" w:rsidR="0023002D" w:rsidTr="005D2E5F" w14:paraId="5DC1D066"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1AB815C8"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Recursos</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0023002D" w14:paraId="232857EC" w14:textId="1114AA31">
            <w:pPr>
              <w:jc w:val="both"/>
              <w:rPr>
                <w:rFonts w:ascii="Nunito Sans" w:hAnsi="Nunito Sans" w:eastAsia="Arial" w:cs="Calibri"/>
                <w:sz w:val="18"/>
                <w:szCs w:val="18"/>
              </w:rPr>
            </w:pPr>
            <w:r w:rsidRPr="005D2E5F">
              <w:rPr>
                <w:rStyle w:val="normaltextrun"/>
                <w:rFonts w:ascii="Nunito Sans" w:hAnsi="Nunito Sans" w:eastAsia="Nunito Sans" w:cs="Segoe UI"/>
                <w:sz w:val="18"/>
                <w:szCs w:val="18"/>
              </w:rPr>
              <w:t>Servicios especializados </w:t>
            </w:r>
            <w:r w:rsidRPr="005D2E5F">
              <w:rPr>
                <w:rStyle w:val="eop"/>
                <w:rFonts w:ascii="Nunito Sans" w:hAnsi="Nunito Sans" w:eastAsia="Nunito Sans" w:cs="Segoe UI"/>
                <w:sz w:val="18"/>
                <w:szCs w:val="18"/>
              </w:rPr>
              <w:t> </w:t>
            </w:r>
          </w:p>
        </w:tc>
      </w:tr>
      <w:tr w:rsidRPr="00222E47" w:rsidR="0023002D" w:rsidTr="005D2E5F" w14:paraId="2AFD1A98"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6F64C6D2"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Tiempo de Implementación</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0023002D" w14:paraId="082C6A77" w14:textId="6CA0129D">
            <w:pPr>
              <w:jc w:val="both"/>
              <w:rPr>
                <w:rFonts w:ascii="Nunito Sans" w:hAnsi="Nunito Sans" w:eastAsia="Arial" w:cs="Calibri"/>
                <w:sz w:val="18"/>
                <w:szCs w:val="18"/>
              </w:rPr>
            </w:pPr>
            <w:r w:rsidRPr="005D2E5F">
              <w:rPr>
                <w:rStyle w:val="normaltextrun"/>
                <w:rFonts w:ascii="Nunito Sans" w:hAnsi="Nunito Sans" w:eastAsia="Nunito Sans" w:cs="Segoe UI"/>
                <w:sz w:val="18"/>
                <w:szCs w:val="18"/>
              </w:rPr>
              <w:t>36 Meses</w:t>
            </w:r>
            <w:r w:rsidRPr="005D2E5F">
              <w:rPr>
                <w:rStyle w:val="eop"/>
                <w:rFonts w:ascii="Nunito Sans" w:hAnsi="Nunito Sans" w:eastAsia="Nunito Sans" w:cs="Segoe UI"/>
                <w:sz w:val="18"/>
                <w:szCs w:val="18"/>
              </w:rPr>
              <w:t> </w:t>
            </w:r>
          </w:p>
        </w:tc>
      </w:tr>
      <w:tr w:rsidRPr="00222E47" w:rsidR="0023002D" w:rsidTr="005D2E5F" w14:paraId="307444A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2E8B39B2"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Área Líder</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201B5B99" w14:paraId="2E3132BD" w14:textId="0F01006C">
            <w:pPr>
              <w:jc w:val="both"/>
              <w:rPr>
                <w:rFonts w:ascii="Nunito Sans" w:hAnsi="Nunito Sans" w:eastAsia="Arial" w:cs="Calibri"/>
                <w:sz w:val="18"/>
                <w:szCs w:val="18"/>
              </w:rPr>
            </w:pPr>
            <w:r w:rsidRPr="005D2E5F">
              <w:rPr>
                <w:rStyle w:val="normaltextrun"/>
                <w:rFonts w:ascii="Nunito Sans" w:hAnsi="Nunito Sans" w:eastAsia="Nunito Sans" w:cs="Segoe UI"/>
                <w:sz w:val="18"/>
                <w:szCs w:val="18"/>
              </w:rPr>
              <w:t>Secretaría General: Grupo de Tecnologías de la Información y las Comunicaciones – TIC / Estrategia de Gobierno y Monitoreo del Dato</w:t>
            </w:r>
            <w:r w:rsidRPr="005D2E5F" w:rsidR="28B74BC8">
              <w:rPr>
                <w:rStyle w:val="normaltextrun"/>
                <w:rFonts w:ascii="Nunito Sans" w:hAnsi="Nunito Sans" w:eastAsia="Nunito Sans" w:cs="Segoe UI"/>
                <w:sz w:val="18"/>
                <w:szCs w:val="18"/>
              </w:rPr>
              <w:t xml:space="preserve"> </w:t>
            </w:r>
            <w:r w:rsidRPr="005D2E5F" w:rsidR="28B74BC8">
              <w:rPr>
                <w:rFonts w:ascii="Nunito Sans" w:hAnsi="Nunito Sans" w:eastAsia="Arial" w:cs="Calibri"/>
                <w:sz w:val="18"/>
                <w:szCs w:val="18"/>
              </w:rPr>
              <w:t>– Unidad de Planeación Minero Energética - UPME</w:t>
            </w:r>
          </w:p>
        </w:tc>
      </w:tr>
      <w:tr w:rsidRPr="00222E47" w:rsidR="0023002D" w:rsidTr="005D2E5F" w14:paraId="66945BEA"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5D2E5F" w:rsidR="0023002D" w:rsidP="0023002D" w:rsidRDefault="0023002D" w14:paraId="777B1CF3"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Proyecto de Inversión</w:t>
            </w:r>
          </w:p>
        </w:tc>
        <w:tc>
          <w:tcPr>
            <w:tcW w:w="6520" w:type="dxa"/>
            <w:tcBorders>
              <w:left w:val="single" w:color="FFFFFF" w:themeColor="background1" w:sz="4" w:space="0"/>
            </w:tcBorders>
            <w:tcMar>
              <w:top w:w="0" w:type="dxa"/>
              <w:left w:w="60" w:type="dxa"/>
              <w:bottom w:w="0" w:type="dxa"/>
              <w:right w:w="60" w:type="dxa"/>
            </w:tcMar>
            <w:vAlign w:val="center"/>
            <w:hideMark/>
          </w:tcPr>
          <w:p w:rsidRPr="005D2E5F" w:rsidR="0023002D" w:rsidP="001C6196" w:rsidRDefault="0023002D" w14:paraId="49128565" w14:textId="3D3A984A">
            <w:pPr>
              <w:jc w:val="both"/>
              <w:rPr>
                <w:rFonts w:ascii="Nunito Sans" w:hAnsi="Nunito Sans" w:eastAsia="Arial" w:cs="Calibri"/>
                <w:sz w:val="18"/>
                <w:szCs w:val="18"/>
              </w:rPr>
            </w:pPr>
            <w:r w:rsidRPr="005D2E5F">
              <w:rPr>
                <w:rStyle w:val="normaltextrun"/>
                <w:rFonts w:ascii="Nunito Sans" w:hAnsi="Nunito Sans" w:eastAsia="Nunito Sans" w:cs="Segoe UI"/>
                <w:sz w:val="18"/>
                <w:szCs w:val="18"/>
              </w:rPr>
              <w:t>Fortalecimiento del desempeño institucional del Ministerio de Minas y Energía a Nivel</w:t>
            </w:r>
            <w:r w:rsidRPr="005D2E5F">
              <w:rPr>
                <w:rStyle w:val="normaltextrun"/>
                <w:rFonts w:hint="eastAsia"/>
                <w:sz w:val="18"/>
                <w:szCs w:val="18"/>
              </w:rPr>
              <w:t> </w:t>
            </w:r>
            <w:r w:rsidRPr="005D2E5F">
              <w:rPr>
                <w:rStyle w:val="normaltextrun"/>
                <w:rFonts w:ascii="Nunito Sans" w:hAnsi="Nunito Sans" w:eastAsia="Nunito Sans" w:cs="Segoe UI"/>
                <w:sz w:val="18"/>
                <w:szCs w:val="18"/>
              </w:rPr>
              <w:t>Nacional</w:t>
            </w:r>
            <w:r w:rsidRPr="005D2E5F">
              <w:rPr>
                <w:rStyle w:val="eop"/>
                <w:rFonts w:ascii="Nunito Sans" w:hAnsi="Nunito Sans" w:eastAsia="Nunito Sans" w:cs="Segoe UI"/>
                <w:sz w:val="18"/>
                <w:szCs w:val="18"/>
              </w:rPr>
              <w:t> </w:t>
            </w:r>
          </w:p>
        </w:tc>
      </w:tr>
    </w:tbl>
    <w:p w:rsidR="005E3BD6" w:rsidP="005E3BD6" w:rsidRDefault="005E3BD6" w14:paraId="6497133F" w14:textId="77777777">
      <w:pPr>
        <w:pStyle w:val="Default"/>
        <w:spacing w:line="360" w:lineRule="auto"/>
        <w:jc w:val="center"/>
        <w:rPr>
          <w:rFonts w:ascii="Nunito Sans" w:hAnsi="Nunito Sans" w:eastAsia="CIDFont+F9" w:cs="Calibri"/>
          <w:color w:val="000000" w:themeColor="text1"/>
          <w:sz w:val="18"/>
          <w:szCs w:val="18"/>
        </w:rPr>
      </w:pPr>
      <w:r w:rsidRPr="007E3FC8">
        <w:rPr>
          <w:rFonts w:ascii="Nunito Sans" w:hAnsi="Nunito Sans" w:eastAsia="CIDFont+F9" w:cs="Calibri"/>
          <w:color w:val="000000" w:themeColor="text1"/>
          <w:sz w:val="18"/>
          <w:szCs w:val="18"/>
        </w:rPr>
        <w:lastRenderedPageBreak/>
        <w:t>Fuente: Elaboración propia</w:t>
      </w:r>
    </w:p>
    <w:p w:rsidRPr="000A3312" w:rsidR="005E3BD6" w:rsidP="001C6196" w:rsidRDefault="005E3BD6" w14:paraId="12CA3FAA" w14:textId="77777777">
      <w:pPr>
        <w:pStyle w:val="Default"/>
        <w:spacing w:line="360" w:lineRule="auto"/>
        <w:rPr>
          <w:rFonts w:ascii="Nunito Sans" w:hAnsi="Nunito Sans" w:cs="Calibri"/>
        </w:rPr>
      </w:pPr>
    </w:p>
    <w:p w:rsidRPr="00C043A4" w:rsidR="005E3BD6" w:rsidP="005E3BD6" w:rsidRDefault="00A96E69" w14:paraId="73F9262F" w14:textId="049F8406">
      <w:pPr>
        <w:ind w:left="360" w:hanging="360"/>
        <w:jc w:val="center"/>
        <w:rPr>
          <w:rFonts w:ascii="Nunito Sans" w:hAnsi="Nunito Sans" w:cs="Calibri"/>
          <w:b/>
          <w:bCs/>
          <w:sz w:val="18"/>
          <w:szCs w:val="18"/>
        </w:rPr>
      </w:pPr>
      <w:bookmarkStart w:name="_Toc220664238" w:id="569"/>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67</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043A4" w:rsidR="005E3BD6">
        <w:rPr>
          <w:rFonts w:ascii="Nunito Sans" w:hAnsi="Nunito Sans" w:cs="Calibri"/>
          <w:b/>
          <w:bCs/>
          <w:sz w:val="18"/>
          <w:szCs w:val="18"/>
        </w:rPr>
        <w:t>Ficha de Proyecto ID P-SEC 004</w:t>
      </w:r>
      <w:bookmarkEnd w:id="569"/>
    </w:p>
    <w:tbl>
      <w:tblPr>
        <w:tblW w:w="9095" w:type="dxa"/>
        <w:tblInd w:w="274"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4A0" w:firstRow="1" w:lastRow="0" w:firstColumn="1" w:lastColumn="0" w:noHBand="0" w:noVBand="1"/>
      </w:tblPr>
      <w:tblGrid>
        <w:gridCol w:w="2410"/>
        <w:gridCol w:w="6667"/>
        <w:gridCol w:w="18"/>
      </w:tblGrid>
      <w:tr w:rsidRPr="00222E47" w:rsidR="005E3BD6" w:rsidTr="00753895" w14:paraId="44B9CA06" w14:textId="77777777">
        <w:trPr>
          <w:trHeight w:val="270"/>
        </w:trPr>
        <w:tc>
          <w:tcPr>
            <w:tcW w:w="9095" w:type="dxa"/>
            <w:gridSpan w:val="3"/>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222E47" w:rsidR="005E3BD6" w:rsidP="00B4771C" w:rsidRDefault="005E3BD6" w14:paraId="383AD994"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753895" w14:paraId="47FAF057" w14:textId="77777777">
        <w:trPr>
          <w:gridAfter w:val="1"/>
          <w:wAfter w:w="18" w:type="dxa"/>
          <w:trHeight w:val="34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2688180E"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ID PROYECTO</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4E0F9CB0"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P-SEC 004</w:t>
            </w:r>
          </w:p>
        </w:tc>
      </w:tr>
      <w:tr w:rsidRPr="00222E47" w:rsidR="005E3BD6" w:rsidTr="00753895" w14:paraId="49A45D14" w14:textId="77777777">
        <w:trPr>
          <w:gridAfter w:val="1"/>
          <w:wAfter w:w="18" w:type="dxa"/>
          <w:trHeight w:val="34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00E322BC"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Nombre del Proyecto</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24B833B5" w14:textId="77777777">
            <w:pPr>
              <w:jc w:val="both"/>
              <w:rPr>
                <w:rFonts w:ascii="Nunito Sans" w:hAnsi="Nunito Sans" w:eastAsia="Arial" w:cs="Calibri"/>
                <w:b/>
                <w:bCs/>
                <w:color w:val="000000" w:themeColor="text1"/>
                <w:sz w:val="18"/>
                <w:szCs w:val="18"/>
              </w:rPr>
            </w:pPr>
            <w:r w:rsidRPr="00222E47">
              <w:rPr>
                <w:rFonts w:ascii="Nunito Sans" w:hAnsi="Nunito Sans" w:eastAsia="Arial" w:cs="Calibri"/>
                <w:b/>
                <w:bCs/>
                <w:color w:val="000000" w:themeColor="text1"/>
                <w:sz w:val="18"/>
                <w:szCs w:val="18"/>
              </w:rPr>
              <w:t>Levantamiento y saneamiento del inventario de activos de infraestructura y recursos entregados en administración</w:t>
            </w:r>
          </w:p>
        </w:tc>
      </w:tr>
      <w:tr w:rsidRPr="00222E47" w:rsidR="005E3BD6" w:rsidTr="00753895" w14:paraId="6C0D0CBD" w14:textId="77777777">
        <w:trPr>
          <w:gridAfter w:val="1"/>
          <w:wAfter w:w="18" w:type="dxa"/>
          <w:trHeight w:val="58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4193A1B1"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Descripción o Temática del Proyecto</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57AEE827"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 xml:space="preserve">Levantamiento de información a nivel nacional, para la actualización del inventario de activos (infraestructura eléctrica principalmente) y sistematización para la generación de análisis.  De igual forma se contempla el desarrollo e implementación de cuatro (4) módulos o sistemas de información para el análisis de la información generada. </w:t>
            </w:r>
          </w:p>
        </w:tc>
      </w:tr>
      <w:tr w:rsidRPr="00222E47" w:rsidR="005E3BD6" w:rsidTr="00753895" w14:paraId="2B5AB16E" w14:textId="77777777">
        <w:trPr>
          <w:gridAfter w:val="1"/>
          <w:wAfter w:w="18" w:type="dxa"/>
          <w:trHeight w:val="58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79D58A94"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Objeto y Alcance</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10324E79"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 xml:space="preserve">Realizar el levantamiento de información a nivel nacional, para la actualización del inventario de activos (infraestructura eléctrica principalmente), con las siguientes metas:  </w:t>
            </w:r>
          </w:p>
          <w:p w:rsidRPr="00222E47" w:rsidR="005E3BD6" w:rsidP="001C6196" w:rsidRDefault="005E3BD6" w14:paraId="74F9316D"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1. Generación de análisis con la generación de ocho (8) documentos técnicos</w:t>
            </w:r>
          </w:p>
          <w:p w:rsidRPr="00222E47" w:rsidR="005E3BD6" w:rsidP="001C6196" w:rsidRDefault="005E3BD6" w14:paraId="16EA08A7"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2. Desarrollo e implementación de cuatro (4) módulos o sistemas de información para el análisis de la información generada.</w:t>
            </w:r>
          </w:p>
        </w:tc>
      </w:tr>
      <w:tr w:rsidRPr="00222E47" w:rsidR="005E3BD6" w:rsidTr="00753895" w14:paraId="7988DE3E" w14:textId="77777777">
        <w:trPr>
          <w:gridAfter w:val="1"/>
          <w:wAfter w:w="18" w:type="dxa"/>
          <w:trHeight w:val="34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6B021B3F"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Prioridad</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4ADC1E72"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MEDIO</w:t>
            </w:r>
          </w:p>
        </w:tc>
      </w:tr>
      <w:tr w:rsidRPr="00222E47" w:rsidR="005E3BD6" w:rsidTr="00753895" w14:paraId="78D285F1" w14:textId="77777777">
        <w:trPr>
          <w:gridAfter w:val="1"/>
          <w:wAfter w:w="18" w:type="dxa"/>
          <w:trHeight w:val="69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12C2E0C5"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Recursos</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59359CF0"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 xml:space="preserve">Servicios especializados </w:t>
            </w:r>
          </w:p>
        </w:tc>
      </w:tr>
      <w:tr w:rsidRPr="00222E47" w:rsidR="005E3BD6" w:rsidTr="00753895" w14:paraId="0D384CBD" w14:textId="77777777">
        <w:trPr>
          <w:gridAfter w:val="1"/>
          <w:wAfter w:w="18" w:type="dxa"/>
          <w:trHeight w:val="34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3F6957D3"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Tiempo de Implementación</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475B1B6F"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36 Meses</w:t>
            </w:r>
          </w:p>
        </w:tc>
      </w:tr>
      <w:tr w:rsidRPr="00222E47" w:rsidR="005E3BD6" w:rsidTr="00753895" w14:paraId="50EA4297" w14:textId="77777777">
        <w:trPr>
          <w:gridAfter w:val="1"/>
          <w:wAfter w:w="18" w:type="dxa"/>
          <w:trHeight w:val="28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06F93CBD"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Área Líder</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229BDFED"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Convenio Organización Internacional para las Migraciones (OIM)</w:t>
            </w:r>
          </w:p>
        </w:tc>
      </w:tr>
      <w:tr w:rsidRPr="00222E47" w:rsidR="005E3BD6" w:rsidTr="00753895" w14:paraId="7491BE2A" w14:textId="77777777">
        <w:trPr>
          <w:gridAfter w:val="1"/>
          <w:wAfter w:w="18" w:type="dxa"/>
          <w:trHeight w:val="285"/>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left w:w="70" w:type="dxa"/>
              <w:right w:w="70" w:type="dxa"/>
            </w:tcMar>
            <w:vAlign w:val="center"/>
          </w:tcPr>
          <w:p w:rsidRPr="005D2E5F" w:rsidR="005E3BD6" w:rsidP="00B4771C" w:rsidRDefault="005E3BD6" w14:paraId="46097D3C" w14:textId="77777777">
            <w:pPr>
              <w:rPr>
                <w:rFonts w:ascii="Nunito Sans" w:hAnsi="Nunito Sans" w:eastAsia="Arial" w:cs="Calibri"/>
                <w:color w:val="FFFFFF" w:themeColor="background1"/>
                <w:sz w:val="18"/>
                <w:szCs w:val="18"/>
              </w:rPr>
            </w:pPr>
            <w:r w:rsidRPr="005D2E5F">
              <w:rPr>
                <w:rFonts w:ascii="Nunito Sans" w:hAnsi="Nunito Sans" w:eastAsia="Arial" w:cs="Calibri"/>
                <w:color w:val="FFFFFF" w:themeColor="background1"/>
                <w:sz w:val="18"/>
                <w:szCs w:val="18"/>
              </w:rPr>
              <w:t>Proyecto de Inversión</w:t>
            </w:r>
          </w:p>
        </w:tc>
        <w:tc>
          <w:tcPr>
            <w:tcW w:w="6667" w:type="dxa"/>
            <w:tcBorders>
              <w:left w:val="single" w:color="FFFFFF" w:themeColor="background1" w:sz="4" w:space="0"/>
            </w:tcBorders>
            <w:tcMar>
              <w:left w:w="70" w:type="dxa"/>
              <w:right w:w="70" w:type="dxa"/>
            </w:tcMar>
            <w:vAlign w:val="center"/>
          </w:tcPr>
          <w:p w:rsidRPr="00222E47" w:rsidR="005E3BD6" w:rsidP="001C6196" w:rsidRDefault="005E3BD6" w14:paraId="75165397" w14:textId="77777777">
            <w:pPr>
              <w:jc w:val="both"/>
              <w:rPr>
                <w:rFonts w:ascii="Nunito Sans" w:hAnsi="Nunito Sans" w:eastAsia="Arial" w:cs="Calibri"/>
                <w:color w:val="000000" w:themeColor="text1"/>
                <w:sz w:val="18"/>
                <w:szCs w:val="18"/>
              </w:rPr>
            </w:pPr>
            <w:r w:rsidRPr="00222E47">
              <w:rPr>
                <w:rFonts w:ascii="Nunito Sans" w:hAnsi="Nunito Sans" w:eastAsia="Arial" w:cs="Calibri"/>
                <w:color w:val="000000" w:themeColor="text1"/>
                <w:sz w:val="18"/>
                <w:szCs w:val="18"/>
              </w:rPr>
              <w:t>Fortalecimiento del desempeño institucional del Ministerio de Minas y Energía a Nivel Nacional</w:t>
            </w:r>
          </w:p>
        </w:tc>
      </w:tr>
    </w:tbl>
    <w:p w:rsidRPr="000A3312" w:rsidR="005E3BD6" w:rsidP="005E3BD6" w:rsidRDefault="005E3BD6" w14:paraId="16394A45" w14:textId="77777777">
      <w:pPr>
        <w:pStyle w:val="Default"/>
        <w:spacing w:line="360" w:lineRule="auto"/>
        <w:jc w:val="center"/>
        <w:rPr>
          <w:rFonts w:ascii="Nunito Sans" w:hAnsi="Nunito Sans" w:eastAsia="CIDFont+F9" w:cs="Calibri"/>
          <w:color w:val="000000" w:themeColor="text1"/>
          <w:sz w:val="18"/>
          <w:szCs w:val="18"/>
        </w:rPr>
      </w:pPr>
      <w:bookmarkStart w:name="_Toc417289290" w:id="570"/>
      <w:r w:rsidRPr="007E3FC8">
        <w:rPr>
          <w:rFonts w:ascii="Nunito Sans" w:hAnsi="Nunito Sans" w:eastAsia="CIDFont+F9" w:cs="Calibri"/>
          <w:color w:val="000000" w:themeColor="text1"/>
          <w:sz w:val="18"/>
          <w:szCs w:val="18"/>
        </w:rPr>
        <w:t>Fuente: Elaboración propia</w:t>
      </w:r>
    </w:p>
    <w:p w:rsidRPr="009E4057" w:rsidR="009E4057" w:rsidRDefault="009E4057" w14:paraId="1216A1EC" w14:textId="77777777">
      <w:pPr>
        <w:pStyle w:val="Prrafodelista"/>
        <w:keepNext/>
        <w:keepLines/>
        <w:numPr>
          <w:ilvl w:val="0"/>
          <w:numId w:val="24"/>
        </w:numPr>
        <w:spacing w:before="40" w:after="240" w:line="276" w:lineRule="auto"/>
        <w:contextualSpacing w:val="0"/>
        <w:jc w:val="both"/>
        <w:outlineLvl w:val="1"/>
        <w:rPr>
          <w:rFonts w:ascii="Nunito Sans" w:hAnsi="Nunito Sans" w:eastAsia="Nunito Sans" w:cs="Nunito Sans"/>
          <w:b/>
          <w:bCs/>
          <w:i/>
          <w:iCs/>
          <w:vanish/>
          <w:color w:val="E1AF3B"/>
          <w:sz w:val="28"/>
          <w:szCs w:val="28"/>
          <w:lang w:val="es-ES"/>
        </w:rPr>
      </w:pPr>
      <w:bookmarkStart w:name="_Toc220362633" w:id="571"/>
      <w:bookmarkStart w:name="_Toc220406920" w:id="572"/>
      <w:bookmarkStart w:name="_Toc220407564" w:id="573"/>
      <w:bookmarkStart w:name="_Toc220407798" w:id="574"/>
      <w:bookmarkStart w:name="_Toc220408056" w:id="575"/>
      <w:bookmarkStart w:name="_Toc220614541" w:id="576"/>
      <w:bookmarkStart w:name="_Toc220664367" w:id="577"/>
      <w:bookmarkStart w:name="_Toc234231902" w:id="578"/>
      <w:bookmarkStart w:name="_Toc234232144" w:id="579"/>
      <w:bookmarkStart w:name="_Toc234232265" w:id="580"/>
      <w:bookmarkStart w:name="_Toc234232386" w:id="581"/>
      <w:bookmarkStart w:name="_Toc234233437" w:id="582"/>
      <w:bookmarkStart w:name="_Toc234233558" w:id="583"/>
      <w:bookmarkStart w:name="_Toc234233680" w:id="584"/>
      <w:bookmarkStart w:name="_Toc234233802" w:id="585"/>
      <w:bookmarkStart w:name="_Toc234233924" w:id="586"/>
      <w:bookmarkStart w:name="_Toc234234045" w:id="587"/>
      <w:bookmarkStart w:name="_Toc234234168" w:id="588"/>
      <w:bookmarkStart w:name="_Toc234234290" w:id="589"/>
      <w:bookmarkStart w:name="_Toc234234411" w:id="590"/>
      <w:bookmarkStart w:name="_Toc234234532" w:id="591"/>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rsidRPr="009E44F5" w:rsidR="005E3BD6" w:rsidRDefault="005E3BD6" w14:paraId="2EE2FA08" w14:textId="724CA29C">
      <w:pPr>
        <w:pStyle w:val="Ttulo2"/>
        <w:numPr>
          <w:ilvl w:val="1"/>
          <w:numId w:val="39"/>
        </w:numPr>
        <w:rPr>
          <w:rFonts w:cs="Calibri"/>
          <w:sz w:val="22"/>
          <w:szCs w:val="22"/>
          <w:highlight w:val="white"/>
        </w:rPr>
      </w:pPr>
      <w:bookmarkStart w:name="_Toc220362634" w:id="592"/>
      <w:bookmarkStart w:name="_Toc234234533" w:id="593"/>
      <w:bookmarkEnd w:id="592"/>
      <w:r>
        <w:t xml:space="preserve">Interoperabilidad </w:t>
      </w:r>
      <w:r w:rsidR="00F95861">
        <w:t>D</w:t>
      </w:r>
      <w:r>
        <w:t xml:space="preserve">atos </w:t>
      </w:r>
      <w:r w:rsidR="00F95861">
        <w:t>S</w:t>
      </w:r>
      <w:r>
        <w:t>ectoriales</w:t>
      </w:r>
      <w:bookmarkEnd w:id="593"/>
      <w:r>
        <w:t xml:space="preserve"> </w:t>
      </w:r>
      <w:r>
        <w:tab/>
      </w:r>
      <w:bookmarkEnd w:id="570"/>
      <w:r w:rsidRPr="009E44F5">
        <w:rPr>
          <w:rFonts w:eastAsia="Arial" w:cs="Calibri"/>
          <w:highlight w:val="white"/>
        </w:rPr>
        <w:tab/>
      </w:r>
      <w:r w:rsidRPr="009E44F5">
        <w:rPr>
          <w:rFonts w:eastAsia="Arial" w:cs="Calibri"/>
          <w:highlight w:val="white"/>
        </w:rPr>
        <w:tab/>
      </w:r>
    </w:p>
    <w:p w:rsidRPr="00A96E69" w:rsidR="005E3BD6" w:rsidP="005E3BD6" w:rsidRDefault="00A96E69" w14:paraId="549ECAE3" w14:textId="53ED289E">
      <w:pPr>
        <w:ind w:left="360" w:hanging="360"/>
        <w:jc w:val="center"/>
        <w:rPr>
          <w:rFonts w:ascii="Nunito Sans" w:hAnsi="Nunito Sans" w:cs="Calibri"/>
          <w:b/>
          <w:bCs/>
          <w:sz w:val="18"/>
          <w:szCs w:val="18"/>
        </w:rPr>
      </w:pPr>
      <w:bookmarkStart w:name="_Toc220664239" w:id="594"/>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68</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w:t>
      </w:r>
      <w:r w:rsidRPr="00C043A4" w:rsidR="005E3BD6">
        <w:rPr>
          <w:rFonts w:ascii="Nunito Sans" w:hAnsi="Nunito Sans" w:cs="Calibri"/>
          <w:b/>
          <w:bCs/>
          <w:sz w:val="18"/>
          <w:szCs w:val="18"/>
        </w:rPr>
        <w:t xml:space="preserve"> Ficha de Proyecto ID P-SEC 005</w:t>
      </w:r>
      <w:bookmarkEnd w:id="594"/>
    </w:p>
    <w:tbl>
      <w:tblPr>
        <w:tblW w:w="9072"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662"/>
      </w:tblGrid>
      <w:tr w:rsidRPr="00222E47" w:rsidR="005E3BD6" w:rsidTr="00B477F8" w14:paraId="55A1D6D0" w14:textId="77777777">
        <w:trPr>
          <w:trHeight w:val="300"/>
        </w:trPr>
        <w:tc>
          <w:tcPr>
            <w:tcW w:w="9072"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222E47" w:rsidR="005E3BD6" w:rsidP="00B4771C" w:rsidRDefault="005E3BD6" w14:paraId="6ADA5954" w14:textId="77777777">
            <w:pPr>
              <w:spacing w:line="259" w:lineRule="auto"/>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B477F8" w14:paraId="52FB2D9F"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3CBAC799"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ID PROYECTO</w:t>
            </w:r>
          </w:p>
        </w:tc>
        <w:tc>
          <w:tcPr>
            <w:tcW w:w="6662" w:type="dxa"/>
            <w:tcBorders>
              <w:top w:val="single" w:color="FFFFFF" w:themeColor="background1" w:sz="4" w:space="0"/>
              <w:left w:val="single" w:color="FFFFFF" w:themeColor="background1" w:sz="4" w:space="0"/>
            </w:tcBorders>
            <w:tcMar>
              <w:top w:w="0" w:type="dxa"/>
              <w:left w:w="60" w:type="dxa"/>
              <w:bottom w:w="0" w:type="dxa"/>
              <w:right w:w="60" w:type="dxa"/>
            </w:tcMar>
            <w:vAlign w:val="center"/>
            <w:hideMark/>
          </w:tcPr>
          <w:p w:rsidRPr="00222E47" w:rsidR="005E3BD6" w:rsidP="00B4771C" w:rsidRDefault="005E3BD6" w14:paraId="648810D8" w14:textId="77777777">
            <w:pPr>
              <w:rPr>
                <w:rFonts w:ascii="Nunito Sans" w:hAnsi="Nunito Sans" w:eastAsia="Arial" w:cs="Calibri"/>
                <w:b/>
                <w:bCs/>
                <w:sz w:val="18"/>
                <w:szCs w:val="18"/>
              </w:rPr>
            </w:pPr>
            <w:r w:rsidRPr="00222E47">
              <w:rPr>
                <w:rFonts w:ascii="Nunito Sans" w:hAnsi="Nunito Sans" w:eastAsia="Arial" w:cs="Calibri"/>
                <w:b/>
                <w:bCs/>
                <w:sz w:val="18"/>
                <w:szCs w:val="18"/>
              </w:rPr>
              <w:t>P-SEC 005</w:t>
            </w:r>
          </w:p>
        </w:tc>
      </w:tr>
      <w:tr w:rsidRPr="00222E47" w:rsidR="005E3BD6" w:rsidTr="00B477F8" w14:paraId="0B232220"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09120FF8"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Nombre del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05E3BD6" w14:paraId="14FB6374"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Evolución a la implementación del Marco de Interoperabilidad definido por MINTIC y las mejores prácticas, como solución de intercambio de información con otras entidades.</w:t>
            </w:r>
          </w:p>
        </w:tc>
      </w:tr>
      <w:tr w:rsidRPr="00222E47" w:rsidR="005E3BD6" w:rsidTr="00B477F8" w14:paraId="707FD4E1"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5DE0D5F4"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Descripción o Temática del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93C64EC" w14:paraId="157CD18D" w14:textId="256405D7">
            <w:pPr>
              <w:jc w:val="both"/>
            </w:pPr>
            <w:r w:rsidRPr="2FC2A464">
              <w:rPr>
                <w:rFonts w:ascii="Nunito Sans" w:hAnsi="Nunito Sans" w:eastAsia="Arial" w:cs="Calibri"/>
                <w:sz w:val="18"/>
                <w:szCs w:val="18"/>
              </w:rPr>
              <w:t>Implementar el Marco de Interoperabilidad de MinTIC y fortalecer las capacidades institucionales y sectoriales para el intercambio seguro, estandarizado y reutilizable de información mediante la plataforma X-Road y otros habilitadores de interoperabilidad.</w:t>
            </w:r>
          </w:p>
        </w:tc>
      </w:tr>
      <w:tr w:rsidRPr="00222E47" w:rsidR="005E3BD6" w:rsidTr="00B477F8" w14:paraId="60FB8935"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34D788F3"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Objeto y Alcance</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05E3BD6" w14:paraId="4BADAE10" w14:textId="77777777">
            <w:pPr>
              <w:jc w:val="both"/>
              <w:rPr>
                <w:rFonts w:ascii="Nunito Sans" w:hAnsi="Nunito Sans" w:eastAsia="Arial" w:cs="Calibri"/>
                <w:sz w:val="18"/>
                <w:szCs w:val="18"/>
              </w:rPr>
            </w:pPr>
            <w:r w:rsidRPr="00222E47">
              <w:rPr>
                <w:rFonts w:ascii="Nunito Sans" w:hAnsi="Nunito Sans" w:eastAsia="Arial" w:cs="Calibri"/>
                <w:sz w:val="18"/>
                <w:szCs w:val="18"/>
              </w:rPr>
              <w:t>Implementar el marco definido por MINTIC y las mejores prácticas, como solución de intercambio de información con otras entidades</w:t>
            </w:r>
          </w:p>
        </w:tc>
      </w:tr>
      <w:tr w:rsidRPr="00222E47" w:rsidR="005E3BD6" w:rsidTr="00B477F8" w14:paraId="12736DF7"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6AF0D2A8"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Prioridad</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05E3BD6" w14:paraId="33CE7536" w14:textId="77777777">
            <w:pPr>
              <w:jc w:val="both"/>
              <w:rPr>
                <w:rFonts w:ascii="Nunito Sans" w:hAnsi="Nunito Sans" w:eastAsia="Arial" w:cs="Calibri"/>
                <w:sz w:val="18"/>
                <w:szCs w:val="18"/>
              </w:rPr>
            </w:pPr>
            <w:r w:rsidRPr="00222E47">
              <w:rPr>
                <w:rFonts w:ascii="Nunito Sans" w:hAnsi="Nunito Sans" w:eastAsia="Arial" w:cs="Calibri"/>
                <w:sz w:val="18"/>
                <w:szCs w:val="18"/>
              </w:rPr>
              <w:t>ALTO</w:t>
            </w:r>
          </w:p>
        </w:tc>
      </w:tr>
      <w:tr w:rsidRPr="00222E47" w:rsidR="005E3BD6" w:rsidTr="00B477F8" w14:paraId="7985DF0A"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714E4BEF"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Recursos</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05E3BD6" w14:paraId="63C3FA4C" w14:textId="393EA7F1">
            <w:pPr>
              <w:jc w:val="both"/>
              <w:rPr>
                <w:rFonts w:ascii="Nunito Sans" w:hAnsi="Nunito Sans" w:eastAsia="Arial" w:cs="Calibri"/>
                <w:sz w:val="18"/>
                <w:szCs w:val="18"/>
              </w:rPr>
            </w:pPr>
            <w:r w:rsidRPr="00222E47">
              <w:rPr>
                <w:rFonts w:ascii="Nunito Sans" w:hAnsi="Nunito Sans" w:eastAsia="Arial" w:cs="Calibri"/>
                <w:sz w:val="18"/>
                <w:szCs w:val="18"/>
              </w:rPr>
              <w:t>Servicios especializados con un equipo mínimo:</w:t>
            </w:r>
            <w:r w:rsidR="00AC406F">
              <w:rPr>
                <w:rFonts w:ascii="Nunito Sans" w:hAnsi="Nunito Sans" w:cs="Calibri"/>
                <w:sz w:val="18"/>
                <w:szCs w:val="18"/>
              </w:rPr>
              <w:t xml:space="preserve"> </w:t>
            </w:r>
            <w:r w:rsidRPr="00222E47">
              <w:rPr>
                <w:rFonts w:ascii="Nunito Sans" w:hAnsi="Nunito Sans" w:eastAsia="Arial" w:cs="Calibri"/>
                <w:sz w:val="18"/>
                <w:szCs w:val="18"/>
              </w:rPr>
              <w:t xml:space="preserve">Gerente de Proyecto </w:t>
            </w:r>
          </w:p>
          <w:p w:rsidRPr="00222E47" w:rsidR="005E3BD6" w:rsidP="00AC406F" w:rsidRDefault="005E3BD6" w14:paraId="706613CB"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Administrador Base de Datos </w:t>
            </w:r>
          </w:p>
          <w:p w:rsidRPr="00222E47" w:rsidR="005E3BD6" w:rsidP="00AC406F" w:rsidRDefault="005E3BD6" w14:paraId="171238F3"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Arquitecto de Software </w:t>
            </w:r>
          </w:p>
          <w:p w:rsidRPr="00222E47" w:rsidR="005E3BD6" w:rsidP="00AC406F" w:rsidRDefault="005E3BD6" w14:paraId="311F92D4" w14:textId="77777777">
            <w:pPr>
              <w:jc w:val="both"/>
              <w:rPr>
                <w:rFonts w:ascii="Nunito Sans" w:hAnsi="Nunito Sans" w:eastAsia="Arial" w:cs="Calibri"/>
                <w:sz w:val="18"/>
                <w:szCs w:val="18"/>
              </w:rPr>
            </w:pPr>
            <w:r w:rsidRPr="00222E47">
              <w:rPr>
                <w:rFonts w:ascii="Nunito Sans" w:hAnsi="Nunito Sans" w:eastAsia="Arial" w:cs="Calibri"/>
                <w:sz w:val="18"/>
                <w:szCs w:val="18"/>
              </w:rPr>
              <w:lastRenderedPageBreak/>
              <w:t xml:space="preserve">Arquitecto de Datos </w:t>
            </w:r>
          </w:p>
          <w:p w:rsidRPr="00222E47" w:rsidR="005E3BD6" w:rsidP="00AC406F" w:rsidRDefault="005E3BD6" w14:paraId="23508C9C" w14:textId="77777777">
            <w:pPr>
              <w:jc w:val="both"/>
              <w:rPr>
                <w:rFonts w:ascii="Nunito Sans" w:hAnsi="Nunito Sans" w:eastAsia="Arial" w:cs="Calibri"/>
                <w:sz w:val="18"/>
                <w:szCs w:val="18"/>
              </w:rPr>
            </w:pPr>
            <w:r w:rsidRPr="00222E47">
              <w:rPr>
                <w:rFonts w:ascii="Nunito Sans" w:hAnsi="Nunito Sans" w:eastAsia="Arial" w:cs="Calibri"/>
                <w:sz w:val="18"/>
                <w:szCs w:val="18"/>
              </w:rPr>
              <w:t>Desarrollador Senior Full Stack</w:t>
            </w:r>
          </w:p>
          <w:p w:rsidRPr="00222E47" w:rsidR="005E3BD6" w:rsidP="00AC406F" w:rsidRDefault="005E3BD6" w14:paraId="642EFBFC" w14:textId="77777777">
            <w:pPr>
              <w:jc w:val="both"/>
              <w:rPr>
                <w:rFonts w:ascii="Nunito Sans" w:hAnsi="Nunito Sans" w:eastAsia="Arial" w:cs="Calibri"/>
                <w:sz w:val="18"/>
                <w:szCs w:val="18"/>
              </w:rPr>
            </w:pPr>
            <w:r w:rsidRPr="00222E47">
              <w:rPr>
                <w:rFonts w:ascii="Nunito Sans" w:hAnsi="Nunito Sans" w:eastAsia="Arial" w:cs="Calibri"/>
                <w:sz w:val="18"/>
                <w:szCs w:val="18"/>
              </w:rPr>
              <w:t>Analista de requerimientos</w:t>
            </w:r>
          </w:p>
        </w:tc>
      </w:tr>
      <w:tr w:rsidRPr="00222E47" w:rsidR="005E3BD6" w:rsidTr="00B477F8" w14:paraId="0C4D73E6"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1FCA8370"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lastRenderedPageBreak/>
              <w:t>Tiempo de Implementación</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4771C" w:rsidRDefault="005E3BD6" w14:paraId="37211C75" w14:textId="77777777">
            <w:pPr>
              <w:rPr>
                <w:rFonts w:ascii="Nunito Sans" w:hAnsi="Nunito Sans" w:eastAsia="Arial" w:cs="Calibri"/>
                <w:sz w:val="18"/>
                <w:szCs w:val="18"/>
              </w:rPr>
            </w:pPr>
            <w:r w:rsidRPr="00222E47">
              <w:rPr>
                <w:rFonts w:ascii="Nunito Sans" w:hAnsi="Nunito Sans" w:eastAsia="Arial" w:cs="Calibri"/>
                <w:sz w:val="18"/>
                <w:szCs w:val="18"/>
              </w:rPr>
              <w:t>48 Meses</w:t>
            </w:r>
          </w:p>
        </w:tc>
      </w:tr>
      <w:tr w:rsidRPr="00222E47" w:rsidR="005E3BD6" w:rsidTr="00B477F8" w14:paraId="3F287864"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7321F349"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Área Líder</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05E3BD6" w14:paraId="787F1A7F" w14:textId="77777777">
            <w:pPr>
              <w:jc w:val="both"/>
              <w:rPr>
                <w:rFonts w:ascii="Nunito Sans" w:hAnsi="Nunito Sans" w:eastAsia="Arial" w:cs="Calibri"/>
                <w:sz w:val="18"/>
                <w:szCs w:val="18"/>
              </w:rPr>
            </w:pPr>
            <w:r w:rsidRPr="00222E47">
              <w:rPr>
                <w:rFonts w:ascii="Nunito Sans" w:hAnsi="Nunito Sans" w:eastAsia="Arial" w:cs="Calibri"/>
                <w:sz w:val="18"/>
                <w:szCs w:val="18"/>
              </w:rPr>
              <w:t>Grupo de Tecnologías de la Información y las Comunicaciones - TIC</w:t>
            </w:r>
          </w:p>
        </w:tc>
      </w:tr>
      <w:tr w:rsidRPr="00222E47" w:rsidR="005E3BD6" w:rsidTr="00B477F8" w14:paraId="33C6DBE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6F040F" w:rsidR="005E3BD6" w:rsidP="00B4771C" w:rsidRDefault="005E3BD6" w14:paraId="0E9F70B8" w14:textId="77777777">
            <w:pPr>
              <w:rPr>
                <w:rFonts w:ascii="Nunito Sans" w:hAnsi="Nunito Sans" w:eastAsia="Arial" w:cs="Calibri"/>
                <w:color w:val="FFFFFF" w:themeColor="background1"/>
                <w:sz w:val="18"/>
                <w:szCs w:val="18"/>
              </w:rPr>
            </w:pPr>
            <w:r w:rsidRPr="006F040F">
              <w:rPr>
                <w:rFonts w:ascii="Nunito Sans" w:hAnsi="Nunito Sans" w:eastAsia="Arial" w:cs="Calibri"/>
                <w:color w:val="FFFFFF" w:themeColor="background1"/>
                <w:sz w:val="18"/>
                <w:szCs w:val="18"/>
              </w:rPr>
              <w:t>Proyecto de Inversión</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C406F" w:rsidRDefault="005E3BD6" w14:paraId="15B3F4E6"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0A3312" w:rsidR="005E3BD6" w:rsidP="005E3BD6" w:rsidRDefault="005E3BD6" w14:paraId="6EEFA155"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AB52BA" w:rsidP="00AB52BA" w:rsidRDefault="00AB52BA" w14:paraId="59E2DEFB" w14:textId="77777777">
      <w:pPr>
        <w:rPr>
          <w:highlight w:val="white"/>
        </w:rPr>
      </w:pPr>
      <w:bookmarkStart w:name="_Toc655970758" w:id="595"/>
    </w:p>
    <w:p w:rsidRPr="00C549CA" w:rsidR="00C549CA" w:rsidRDefault="00C549CA" w14:paraId="6CD77E38" w14:textId="77777777">
      <w:pPr>
        <w:pStyle w:val="Prrafodelista"/>
        <w:keepNext/>
        <w:keepLines/>
        <w:numPr>
          <w:ilvl w:val="0"/>
          <w:numId w:val="25"/>
        </w:numPr>
        <w:spacing w:before="40" w:after="240" w:line="276" w:lineRule="auto"/>
        <w:contextualSpacing w:val="0"/>
        <w:jc w:val="both"/>
        <w:outlineLvl w:val="1"/>
        <w:rPr>
          <w:rFonts w:ascii="Nunito Sans" w:hAnsi="Nunito Sans" w:eastAsia="Nunito Sans" w:cs="Nunito Sans"/>
          <w:b/>
          <w:bCs/>
          <w:i/>
          <w:iCs/>
          <w:vanish/>
          <w:color w:val="E1AF3B"/>
          <w:sz w:val="28"/>
          <w:szCs w:val="28"/>
          <w:highlight w:val="white"/>
        </w:rPr>
      </w:pPr>
      <w:bookmarkStart w:name="_Toc220362636" w:id="596"/>
      <w:bookmarkStart w:name="_Toc220406922" w:id="597"/>
      <w:bookmarkStart w:name="_Toc220407566" w:id="598"/>
      <w:bookmarkStart w:name="_Toc220407800" w:id="599"/>
      <w:bookmarkStart w:name="_Toc220408058" w:id="600"/>
      <w:bookmarkStart w:name="_Toc220614543" w:id="601"/>
      <w:bookmarkStart w:name="_Toc220664369" w:id="602"/>
      <w:bookmarkStart w:name="_Toc234231904" w:id="603"/>
      <w:bookmarkStart w:name="_Toc234232146" w:id="604"/>
      <w:bookmarkStart w:name="_Toc234232267" w:id="605"/>
      <w:bookmarkStart w:name="_Toc234232388" w:id="606"/>
      <w:bookmarkStart w:name="_Toc234233439" w:id="607"/>
      <w:bookmarkStart w:name="_Toc234233560" w:id="608"/>
      <w:bookmarkStart w:name="_Toc234233682" w:id="609"/>
      <w:bookmarkStart w:name="_Toc234233804" w:id="610"/>
      <w:bookmarkStart w:name="_Toc234233926" w:id="611"/>
      <w:bookmarkStart w:name="_Toc234234047" w:id="612"/>
      <w:bookmarkStart w:name="_Toc234234170" w:id="613"/>
      <w:bookmarkStart w:name="_Toc234234292" w:id="614"/>
      <w:bookmarkStart w:name="_Toc234234413" w:id="615"/>
      <w:bookmarkStart w:name="_Toc234234534" w:id="616"/>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rsidRPr="00C549CA" w:rsidR="00C549CA" w:rsidRDefault="00C549CA" w14:paraId="29230638" w14:textId="77777777">
      <w:pPr>
        <w:pStyle w:val="Prrafodelista"/>
        <w:keepNext/>
        <w:keepLines/>
        <w:numPr>
          <w:ilvl w:val="1"/>
          <w:numId w:val="25"/>
        </w:numPr>
        <w:spacing w:before="40" w:after="240" w:line="276" w:lineRule="auto"/>
        <w:contextualSpacing w:val="0"/>
        <w:jc w:val="both"/>
        <w:outlineLvl w:val="1"/>
        <w:rPr>
          <w:rFonts w:ascii="Nunito Sans" w:hAnsi="Nunito Sans" w:eastAsia="Nunito Sans" w:cs="Nunito Sans"/>
          <w:b/>
          <w:bCs/>
          <w:i/>
          <w:iCs/>
          <w:vanish/>
          <w:color w:val="E1AF3B"/>
          <w:sz w:val="28"/>
          <w:szCs w:val="28"/>
          <w:highlight w:val="white"/>
        </w:rPr>
      </w:pPr>
      <w:bookmarkStart w:name="_Toc220362637" w:id="617"/>
      <w:bookmarkStart w:name="_Toc220406923" w:id="618"/>
      <w:bookmarkStart w:name="_Toc220407567" w:id="619"/>
      <w:bookmarkStart w:name="_Toc220407801" w:id="620"/>
      <w:bookmarkStart w:name="_Toc220408059" w:id="621"/>
      <w:bookmarkStart w:name="_Toc220614544" w:id="622"/>
      <w:bookmarkStart w:name="_Toc220664370" w:id="623"/>
      <w:bookmarkStart w:name="_Toc234231905" w:id="624"/>
      <w:bookmarkStart w:name="_Toc234232147" w:id="625"/>
      <w:bookmarkStart w:name="_Toc234232268" w:id="626"/>
      <w:bookmarkStart w:name="_Toc234232389" w:id="627"/>
      <w:bookmarkStart w:name="_Toc234233440" w:id="628"/>
      <w:bookmarkStart w:name="_Toc234233561" w:id="629"/>
      <w:bookmarkStart w:name="_Toc234233683" w:id="630"/>
      <w:bookmarkStart w:name="_Toc234233805" w:id="631"/>
      <w:bookmarkStart w:name="_Toc234233927" w:id="632"/>
      <w:bookmarkStart w:name="_Toc234234048" w:id="633"/>
      <w:bookmarkStart w:name="_Toc234234171" w:id="634"/>
      <w:bookmarkStart w:name="_Toc234234293" w:id="635"/>
      <w:bookmarkStart w:name="_Toc234234414" w:id="636"/>
      <w:bookmarkStart w:name="_Toc234234535" w:id="637"/>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rsidR="005E3BD6" w:rsidRDefault="005E3BD6" w14:paraId="7A0D2759" w14:textId="0F58E92D">
      <w:pPr>
        <w:pStyle w:val="Ttulo2"/>
        <w:numPr>
          <w:ilvl w:val="1"/>
          <w:numId w:val="39"/>
        </w:numPr>
        <w:rPr>
          <w:highlight w:val="white"/>
        </w:rPr>
      </w:pPr>
      <w:bookmarkStart w:name="_Toc234234536" w:id="638"/>
      <w:r w:rsidRPr="0E79E4E6">
        <w:rPr>
          <w:highlight w:val="white"/>
        </w:rPr>
        <w:t xml:space="preserve">Fortalecimiento de la </w:t>
      </w:r>
      <w:r w:rsidR="00F95861">
        <w:rPr>
          <w:highlight w:val="white"/>
        </w:rPr>
        <w:t>I</w:t>
      </w:r>
      <w:r w:rsidRPr="0E79E4E6">
        <w:rPr>
          <w:highlight w:val="white"/>
        </w:rPr>
        <w:t xml:space="preserve">nfraestructura </w:t>
      </w:r>
      <w:r w:rsidR="00F95861">
        <w:rPr>
          <w:highlight w:val="white"/>
        </w:rPr>
        <w:t>T</w:t>
      </w:r>
      <w:r w:rsidRPr="0E79E4E6">
        <w:rPr>
          <w:highlight w:val="white"/>
        </w:rPr>
        <w:t>ecnológica, Ciberseguridad y Continuidad Operacional</w:t>
      </w:r>
      <w:bookmarkEnd w:id="595"/>
      <w:bookmarkEnd w:id="638"/>
    </w:p>
    <w:p w:rsidRPr="00AB52BA" w:rsidR="00AB52BA" w:rsidP="00AB52BA" w:rsidRDefault="00AB52BA" w14:paraId="3D4A94F3" w14:textId="77777777">
      <w:pPr>
        <w:rPr>
          <w:highlight w:val="white"/>
        </w:rPr>
      </w:pPr>
    </w:p>
    <w:p w:rsidRPr="00CB7427" w:rsidR="005E3BD6" w:rsidP="005E3BD6" w:rsidRDefault="00A96E69" w14:paraId="65AB69B5" w14:textId="3C72B177">
      <w:pPr>
        <w:ind w:left="360" w:hanging="360"/>
        <w:jc w:val="center"/>
        <w:rPr>
          <w:rFonts w:ascii="Nunito Sans" w:hAnsi="Nunito Sans" w:cs="Calibri"/>
          <w:b/>
          <w:bCs/>
          <w:sz w:val="18"/>
          <w:szCs w:val="18"/>
        </w:rPr>
      </w:pPr>
      <w:bookmarkStart w:name="_Toc195046104" w:id="639"/>
      <w:bookmarkStart w:name="_Toc220664240" w:id="640"/>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69</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 xml:space="preserve">Ficha de Proyecto ID </w:t>
      </w:r>
      <w:bookmarkEnd w:id="639"/>
      <w:r w:rsidRPr="00CB7427" w:rsidR="005E3BD6">
        <w:rPr>
          <w:rFonts w:ascii="Nunito Sans" w:hAnsi="Nunito Sans" w:cs="Calibri"/>
          <w:b/>
          <w:bCs/>
          <w:sz w:val="18"/>
          <w:szCs w:val="18"/>
        </w:rPr>
        <w:t>P-SEC 006</w:t>
      </w:r>
      <w:bookmarkEnd w:id="640"/>
    </w:p>
    <w:tbl>
      <w:tblPr>
        <w:tblW w:w="9072"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70" w:type="dxa"/>
          <w:right w:w="70" w:type="dxa"/>
        </w:tblCellMar>
        <w:tblLook w:val="04A0" w:firstRow="1" w:lastRow="0" w:firstColumn="1" w:lastColumn="0" w:noHBand="0" w:noVBand="1"/>
      </w:tblPr>
      <w:tblGrid>
        <w:gridCol w:w="2410"/>
        <w:gridCol w:w="6662"/>
      </w:tblGrid>
      <w:tr w:rsidRPr="00222E47" w:rsidR="005E3BD6" w:rsidTr="00B477F8" w14:paraId="1EE1BD15" w14:textId="77777777">
        <w:trPr>
          <w:trHeight w:val="277"/>
        </w:trPr>
        <w:tc>
          <w:tcPr>
            <w:tcW w:w="9072"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bottom"/>
            <w:hideMark/>
          </w:tcPr>
          <w:p w:rsidRPr="00222E47" w:rsidR="005E3BD6" w:rsidP="00B4771C" w:rsidRDefault="005E3BD6" w14:paraId="7C031FA3" w14:textId="77777777">
            <w:pPr>
              <w:spacing w:line="259" w:lineRule="auto"/>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B477F8" w14:paraId="5BFB37F5" w14:textId="77777777">
        <w:trPr>
          <w:trHeight w:val="35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551F94B0"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ID PROYECTO</w:t>
            </w:r>
          </w:p>
        </w:tc>
        <w:tc>
          <w:tcPr>
            <w:tcW w:w="6662" w:type="dxa"/>
            <w:tcBorders>
              <w:top w:val="single" w:color="FFFFFF" w:themeColor="background1" w:sz="4" w:space="0"/>
              <w:left w:val="single" w:color="FFFFFF" w:themeColor="background1" w:sz="4" w:space="0"/>
            </w:tcBorders>
            <w:vAlign w:val="center"/>
            <w:hideMark/>
          </w:tcPr>
          <w:p w:rsidRPr="00222E47" w:rsidR="005E3BD6" w:rsidP="00B4771C" w:rsidRDefault="005E3BD6" w14:paraId="3797F769" w14:textId="51D06E0E">
            <w:pPr>
              <w:rPr>
                <w:rFonts w:ascii="Nunito Sans" w:hAnsi="Nunito Sans" w:eastAsia="Arial" w:cs="Calibri"/>
                <w:b/>
                <w:bCs/>
                <w:color w:val="000000"/>
                <w:sz w:val="18"/>
                <w:szCs w:val="18"/>
              </w:rPr>
            </w:pPr>
            <w:r w:rsidRPr="00222E47">
              <w:rPr>
                <w:rFonts w:ascii="Nunito Sans" w:hAnsi="Nunito Sans" w:eastAsia="Arial" w:cs="Calibri"/>
                <w:b/>
                <w:bCs/>
                <w:color w:val="000000" w:themeColor="text1"/>
                <w:sz w:val="18"/>
                <w:szCs w:val="18"/>
              </w:rPr>
              <w:t>P</w:t>
            </w:r>
            <w:r w:rsidR="00152B88">
              <w:rPr>
                <w:rFonts w:ascii="Nunito Sans" w:hAnsi="Nunito Sans" w:eastAsia="Arial" w:cs="Calibri"/>
                <w:b/>
                <w:bCs/>
                <w:color w:val="000000" w:themeColor="text1"/>
                <w:sz w:val="18"/>
                <w:szCs w:val="18"/>
              </w:rPr>
              <w:t>-</w:t>
            </w:r>
            <w:r w:rsidRPr="00222E47">
              <w:rPr>
                <w:rFonts w:ascii="Nunito Sans" w:hAnsi="Nunito Sans" w:eastAsia="Arial" w:cs="Calibri"/>
                <w:b/>
                <w:bCs/>
                <w:color w:val="000000" w:themeColor="text1"/>
                <w:sz w:val="18"/>
                <w:szCs w:val="18"/>
              </w:rPr>
              <w:t>SEC</w:t>
            </w:r>
            <w:r w:rsidR="00D81CB7">
              <w:rPr>
                <w:rFonts w:ascii="Nunito Sans" w:hAnsi="Nunito Sans" w:eastAsia="Arial" w:cs="Calibri"/>
                <w:b/>
                <w:bCs/>
                <w:color w:val="000000" w:themeColor="text1"/>
                <w:sz w:val="18"/>
                <w:szCs w:val="18"/>
              </w:rPr>
              <w:t xml:space="preserve"> </w:t>
            </w:r>
            <w:r w:rsidRPr="00222E47">
              <w:rPr>
                <w:rFonts w:ascii="Nunito Sans" w:hAnsi="Nunito Sans" w:eastAsia="Arial" w:cs="Calibri"/>
                <w:b/>
                <w:bCs/>
                <w:color w:val="000000" w:themeColor="text1"/>
                <w:sz w:val="18"/>
                <w:szCs w:val="18"/>
              </w:rPr>
              <w:t>006</w:t>
            </w:r>
          </w:p>
        </w:tc>
      </w:tr>
      <w:tr w:rsidRPr="00222E47" w:rsidR="005E3BD6" w:rsidTr="00B477F8" w14:paraId="3B7E0CCC" w14:textId="77777777">
        <w:trPr>
          <w:trHeight w:val="35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4F9E906A"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Nombre del Proyecto</w:t>
            </w:r>
          </w:p>
        </w:tc>
        <w:tc>
          <w:tcPr>
            <w:tcW w:w="6662" w:type="dxa"/>
            <w:tcBorders>
              <w:left w:val="single" w:color="FFFFFF" w:themeColor="background1" w:sz="4" w:space="0"/>
            </w:tcBorders>
            <w:vAlign w:val="center"/>
            <w:hideMark/>
          </w:tcPr>
          <w:p w:rsidRPr="00222E47" w:rsidR="005E3BD6" w:rsidP="00B4771C" w:rsidRDefault="005E3BD6" w14:paraId="11170741" w14:textId="77777777">
            <w:pPr>
              <w:jc w:val="both"/>
              <w:rPr>
                <w:rFonts w:ascii="Nunito Sans" w:hAnsi="Nunito Sans" w:eastAsia="Arial" w:cs="Calibri"/>
                <w:b/>
                <w:bCs/>
                <w:color w:val="000000"/>
                <w:sz w:val="18"/>
                <w:szCs w:val="18"/>
              </w:rPr>
            </w:pPr>
            <w:r w:rsidRPr="00222E47">
              <w:rPr>
                <w:rFonts w:ascii="Nunito Sans" w:hAnsi="Nunito Sans" w:eastAsia="Arial" w:cs="Calibri"/>
                <w:b/>
                <w:bCs/>
                <w:sz w:val="18"/>
                <w:szCs w:val="18"/>
              </w:rPr>
              <w:t>Implementar Centro de Monitoreo Sectorial, que contemple servicios e infraestructura para la sala de monitoreo y control, CSIRT, CDA/DRP y soluciones basadas en tecnologías emergentes conforme a las iniciativas del PETI</w:t>
            </w:r>
          </w:p>
        </w:tc>
      </w:tr>
      <w:tr w:rsidRPr="00222E47" w:rsidR="005E3BD6" w:rsidTr="00B477F8" w14:paraId="2703FD45" w14:textId="77777777">
        <w:trPr>
          <w:trHeight w:val="58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6DBDD32F"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Descripción o Temática del Proyecto</w:t>
            </w:r>
          </w:p>
        </w:tc>
        <w:tc>
          <w:tcPr>
            <w:tcW w:w="6662" w:type="dxa"/>
            <w:tcBorders>
              <w:left w:val="single" w:color="FFFFFF" w:themeColor="background1" w:sz="4" w:space="0"/>
            </w:tcBorders>
            <w:vAlign w:val="center"/>
            <w:hideMark/>
          </w:tcPr>
          <w:p w:rsidRPr="00222E47" w:rsidR="005E3BD6" w:rsidP="00B4771C" w:rsidRDefault="005E3BD6" w14:paraId="265BB38D" w14:textId="77777777">
            <w:pPr>
              <w:jc w:val="both"/>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La implementación del Centro de Monitoreo Sectorial fortalecerá la gestión de riesgos tecnológicos y la seguridad digital, proporcionando una infraestructura avanzada para la supervisión y respuesta a incidentes. Este centro incluirá una sala de monitoreo y control con tecnología de punta, un equipo CSIRT para la gestión proactiva de ciberamenazas, y mecanismos de continuidad operativa y recuperación ante desastres (CDA/DRP). Además, integrará soluciones basadas en tecnologías emergentes alineadas con las iniciativas del PETI, garantizando una evolución constante y una gestión eficiente de eventos críticos.</w:t>
            </w:r>
          </w:p>
        </w:tc>
      </w:tr>
      <w:tr w:rsidRPr="00222E47" w:rsidR="005E3BD6" w:rsidTr="00B477F8" w14:paraId="73D8021F" w14:textId="77777777">
        <w:trPr>
          <w:trHeight w:val="58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39389625"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Objeto y Alcance</w:t>
            </w:r>
          </w:p>
        </w:tc>
        <w:tc>
          <w:tcPr>
            <w:tcW w:w="6662" w:type="dxa"/>
            <w:tcBorders>
              <w:left w:val="single" w:color="FFFFFF" w:themeColor="background1" w:sz="4" w:space="0"/>
            </w:tcBorders>
            <w:vAlign w:val="center"/>
          </w:tcPr>
          <w:p w:rsidR="005E3BD6" w:rsidP="00FB6D40" w:rsidRDefault="00A82A28" w14:paraId="6490C02B" w14:textId="77777777">
            <w:pPr>
              <w:jc w:val="both"/>
              <w:rPr>
                <w:rFonts w:ascii="Nunito Sans" w:hAnsi="Nunito Sans" w:eastAsia="Arial" w:cs="Calibri"/>
                <w:color w:val="000000" w:themeColor="text1"/>
                <w:sz w:val="18"/>
                <w:szCs w:val="18"/>
              </w:rPr>
            </w:pPr>
            <w:r w:rsidRPr="00A82A28">
              <w:rPr>
                <w:rFonts w:ascii="Nunito Sans" w:hAnsi="Nunito Sans" w:eastAsia="Arial" w:cs="Calibri"/>
                <w:color w:val="000000" w:themeColor="text1"/>
                <w:sz w:val="18"/>
                <w:szCs w:val="18"/>
              </w:rPr>
              <w:t>Fortalecer la capacidad del Estado para monitorear, prevenir, gestionar y responder de manera oportuna y coordinada a eventos que afecten la operación, la seguridad y la continuidad del sector minero-energético, mediante la implementación de un Centro de Monitoreo Sectorial con capacidades integradas de supervisión operativa, gestión de incidentes y ciberseguridad, garantizando la protección de la información crítica y la continuidad de los servicios sectoriales.</w:t>
            </w:r>
          </w:p>
          <w:p w:rsidR="00A82A28" w:rsidP="00FB6D40" w:rsidRDefault="00A82A28" w14:paraId="25690C6B" w14:textId="77777777">
            <w:pPr>
              <w:jc w:val="both"/>
              <w:rPr>
                <w:rFonts w:ascii="Nunito Sans" w:hAnsi="Nunito Sans" w:eastAsia="Arial" w:cs="Calibri"/>
                <w:color w:val="000000" w:themeColor="text1"/>
                <w:sz w:val="18"/>
                <w:szCs w:val="18"/>
              </w:rPr>
            </w:pPr>
          </w:p>
          <w:p w:rsidRPr="00523F84" w:rsidR="00A82A28" w:rsidP="00FB6D40" w:rsidRDefault="00961C18" w14:paraId="643F84D6" w14:textId="4E225A85">
            <w:pPr>
              <w:jc w:val="both"/>
              <w:rPr>
                <w:rFonts w:ascii="Nunito Sans" w:hAnsi="Nunito Sans" w:eastAsia="Arial" w:cs="Calibri"/>
                <w:color w:val="000000" w:themeColor="text1"/>
                <w:sz w:val="18"/>
                <w:szCs w:val="18"/>
              </w:rPr>
            </w:pPr>
            <w:r w:rsidRPr="00961C18">
              <w:rPr>
                <w:rFonts w:ascii="Nunito Sans" w:hAnsi="Nunito Sans" w:eastAsia="Arial" w:cs="Calibri"/>
                <w:color w:val="000000" w:themeColor="text1"/>
                <w:sz w:val="18"/>
                <w:szCs w:val="18"/>
              </w:rPr>
              <w:t>La iniciativa comprende el diseño, implementación y operación del Centro de Monitoreo Sectorial Minero-Energético, que contará con salas de monitoreo especializadas por subsector (energía, hidrocarburos, minería e IPSE – Zonas No Interconectadas), salas de crisis, mesa de ayuda y un Centro de Respuesta a Incidentes de Seguridad (CSIRT) con capacidades de NOC, SOC, análisis de amenazas y laboratorio forense, respaldados por un data center principal y uno alterno, así como por mecanismos de continuidad operativa y recuperación ante desastres (CDA/DRP). En su Fase 1, se implementará un CSIRT con capacidades iniciales, el cual se fortalecerá progresivamente durante los 48 meses de ejecución de la iniciativa.</w:t>
            </w:r>
          </w:p>
        </w:tc>
      </w:tr>
      <w:tr w:rsidRPr="00222E47" w:rsidR="005E3BD6" w:rsidTr="00B477F8" w14:paraId="35BC9C7F" w14:textId="77777777">
        <w:trPr>
          <w:trHeight w:val="35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08F578A0"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Prioridad</w:t>
            </w:r>
          </w:p>
        </w:tc>
        <w:tc>
          <w:tcPr>
            <w:tcW w:w="6662" w:type="dxa"/>
            <w:tcBorders>
              <w:left w:val="single" w:color="FFFFFF" w:themeColor="background1" w:sz="4" w:space="0"/>
            </w:tcBorders>
            <w:vAlign w:val="center"/>
            <w:hideMark/>
          </w:tcPr>
          <w:p w:rsidRPr="00222E47" w:rsidR="005E3BD6" w:rsidP="00AC406F" w:rsidRDefault="005E3BD6" w14:paraId="4C2154BC" w14:textId="77777777">
            <w:pPr>
              <w:jc w:val="both"/>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MEDIO</w:t>
            </w:r>
          </w:p>
        </w:tc>
      </w:tr>
      <w:tr w:rsidRPr="00222E47" w:rsidR="005E3BD6" w:rsidTr="00B477F8" w14:paraId="55A907F6" w14:textId="77777777">
        <w:trPr>
          <w:trHeight w:val="319"/>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1FCC72B4"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lastRenderedPageBreak/>
              <w:t>Recursos</w:t>
            </w:r>
          </w:p>
        </w:tc>
        <w:tc>
          <w:tcPr>
            <w:tcW w:w="6662" w:type="dxa"/>
            <w:tcBorders>
              <w:left w:val="single" w:color="FFFFFF" w:themeColor="background1" w:sz="4" w:space="0"/>
            </w:tcBorders>
            <w:vAlign w:val="center"/>
            <w:hideMark/>
          </w:tcPr>
          <w:p w:rsidRPr="00222E47" w:rsidR="005E3BD6" w:rsidP="00AC406F" w:rsidRDefault="005E3BD6" w14:paraId="01593092" w14:textId="77777777">
            <w:pPr>
              <w:jc w:val="both"/>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Servicios de TI</w:t>
            </w:r>
          </w:p>
        </w:tc>
      </w:tr>
      <w:tr w:rsidRPr="00222E47" w:rsidR="005E3BD6" w:rsidTr="00B477F8" w14:paraId="103BA7B9" w14:textId="77777777">
        <w:trPr>
          <w:trHeight w:val="35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50A347AD"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Tiempo de Implementación</w:t>
            </w:r>
          </w:p>
        </w:tc>
        <w:tc>
          <w:tcPr>
            <w:tcW w:w="6662" w:type="dxa"/>
            <w:tcBorders>
              <w:left w:val="single" w:color="FFFFFF" w:themeColor="background1" w:sz="4" w:space="0"/>
            </w:tcBorders>
            <w:vAlign w:val="center"/>
            <w:hideMark/>
          </w:tcPr>
          <w:p w:rsidRPr="00222E47" w:rsidR="005E3BD6" w:rsidP="00AC406F" w:rsidRDefault="005E3BD6" w14:paraId="23019EF3" w14:textId="77777777">
            <w:pPr>
              <w:jc w:val="both"/>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 xml:space="preserve">48 Meses </w:t>
            </w:r>
          </w:p>
        </w:tc>
      </w:tr>
      <w:tr w:rsidRPr="00222E47" w:rsidR="005E3BD6" w:rsidTr="00B477F8" w14:paraId="22DFE01B" w14:textId="77777777">
        <w:trPr>
          <w:trHeight w:val="29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hideMark/>
          </w:tcPr>
          <w:p w:rsidRPr="00AC406F" w:rsidR="005E3BD6" w:rsidP="00B4771C" w:rsidRDefault="005E3BD6" w14:paraId="31215762"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Área Líder</w:t>
            </w:r>
          </w:p>
        </w:tc>
        <w:tc>
          <w:tcPr>
            <w:tcW w:w="6662" w:type="dxa"/>
            <w:tcBorders>
              <w:left w:val="single" w:color="FFFFFF" w:themeColor="background1" w:sz="4" w:space="0"/>
            </w:tcBorders>
            <w:vAlign w:val="center"/>
            <w:hideMark/>
          </w:tcPr>
          <w:p w:rsidRPr="00222E47" w:rsidR="005E3BD6" w:rsidP="00AC406F" w:rsidRDefault="005E3BD6" w14:paraId="67221DD8" w14:textId="77777777">
            <w:pPr>
              <w:jc w:val="both"/>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Grupo de Tecnologías de la Información y las Comunicaciones - TIC</w:t>
            </w:r>
          </w:p>
        </w:tc>
      </w:tr>
      <w:tr w:rsidRPr="00222E47" w:rsidR="005E3BD6" w:rsidTr="00B477F8" w14:paraId="27337D7C" w14:textId="77777777">
        <w:trPr>
          <w:trHeight w:val="29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vAlign w:val="center"/>
          </w:tcPr>
          <w:p w:rsidRPr="00AC406F" w:rsidR="005E3BD6" w:rsidP="00B4771C" w:rsidRDefault="005E3BD6" w14:paraId="01A53039" w14:textId="77777777">
            <w:pPr>
              <w:rPr>
                <w:rFonts w:ascii="Nunito Sans" w:hAnsi="Nunito Sans" w:eastAsia="Arial" w:cs="Calibri"/>
                <w:color w:val="FFFFFF" w:themeColor="background1"/>
                <w:sz w:val="18"/>
                <w:szCs w:val="18"/>
              </w:rPr>
            </w:pPr>
            <w:r w:rsidRPr="00AC406F">
              <w:rPr>
                <w:rFonts w:ascii="Nunito Sans" w:hAnsi="Nunito Sans" w:eastAsia="Arial" w:cs="Calibri"/>
                <w:color w:val="FFFFFF" w:themeColor="background1"/>
                <w:sz w:val="18"/>
                <w:szCs w:val="18"/>
              </w:rPr>
              <w:t>Proyecto de Inversión</w:t>
            </w:r>
          </w:p>
        </w:tc>
        <w:tc>
          <w:tcPr>
            <w:tcW w:w="6662" w:type="dxa"/>
            <w:tcBorders>
              <w:left w:val="single" w:color="FFFFFF" w:themeColor="background1" w:sz="4" w:space="0"/>
            </w:tcBorders>
            <w:vAlign w:val="center"/>
          </w:tcPr>
          <w:p w:rsidRPr="00222E47" w:rsidR="005E3BD6" w:rsidP="00AC406F" w:rsidRDefault="005E3BD6" w14:paraId="3937A7F7" w14:textId="77777777">
            <w:pPr>
              <w:jc w:val="both"/>
              <w:rPr>
                <w:rFonts w:ascii="Nunito Sans" w:hAnsi="Nunito Sans" w:eastAsia="Arial" w:cs="Calibri"/>
                <w:color w:val="000000"/>
                <w:sz w:val="18"/>
                <w:szCs w:val="18"/>
              </w:rPr>
            </w:pPr>
            <w:r w:rsidRPr="00222E47">
              <w:rPr>
                <w:rFonts w:ascii="Nunito Sans" w:hAnsi="Nunito Sans" w:eastAsia="Arial" w:cs="Calibri"/>
                <w:color w:val="000000" w:themeColor="text1"/>
                <w:sz w:val="18"/>
                <w:szCs w:val="18"/>
              </w:rPr>
              <w:t>Fortalecimiento de la capacidad del Ministerio de Minas y Energía para implementar de manera efectiva la política de Gobierno Digital Nacional.</w:t>
            </w:r>
          </w:p>
        </w:tc>
      </w:tr>
    </w:tbl>
    <w:p w:rsidRPr="00EF5DE4" w:rsidR="005E3BD6" w:rsidP="005E3BD6" w:rsidRDefault="005E3BD6" w14:paraId="7D61B950"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290F25E7" w14:textId="77777777">
      <w:pPr>
        <w:pStyle w:val="Sinespaciado"/>
        <w:jc w:val="center"/>
        <w:rPr>
          <w:rFonts w:ascii="Nunito Sans" w:hAnsi="Nunito Sans" w:cs="Calibri"/>
          <w:sz w:val="18"/>
          <w:szCs w:val="18"/>
        </w:rPr>
      </w:pPr>
    </w:p>
    <w:p w:rsidRPr="00222E47" w:rsidR="005E3BD6" w:rsidRDefault="005E3BD6" w14:paraId="452DE1DD" w14:textId="228A48D6">
      <w:pPr>
        <w:pStyle w:val="Ttulo2"/>
        <w:numPr>
          <w:ilvl w:val="1"/>
          <w:numId w:val="39"/>
        </w:numPr>
        <w:rPr>
          <w:rFonts w:cs="Calibri"/>
          <w:sz w:val="22"/>
          <w:szCs w:val="22"/>
        </w:rPr>
      </w:pPr>
      <w:bookmarkStart w:name="_Toc234234537" w:id="641"/>
      <w:bookmarkStart w:name="_Toc1675943409" w:id="642"/>
      <w:r w:rsidRPr="0E79E4E6">
        <w:rPr>
          <w:rStyle w:val="Ttulo2Car"/>
          <w:b/>
          <w:bCs/>
          <w:highlight w:val="white"/>
          <w:lang w:val="es-CO"/>
        </w:rPr>
        <w:t>Innovación y Adopción de Tecnologías Disruptivas (Transformación Digital)</w:t>
      </w:r>
      <w:bookmarkEnd w:id="641"/>
      <w:r>
        <w:tab/>
      </w:r>
      <w:bookmarkEnd w:id="642"/>
    </w:p>
    <w:p w:rsidRPr="00CB7427" w:rsidR="005E3BD6" w:rsidP="005E3BD6" w:rsidRDefault="00A96E69" w14:paraId="0C3EB80D" w14:textId="2D626DEE">
      <w:pPr>
        <w:ind w:left="360" w:hanging="360"/>
        <w:jc w:val="center"/>
        <w:rPr>
          <w:rFonts w:ascii="Nunito Sans" w:hAnsi="Nunito Sans" w:cs="Calibri"/>
          <w:b/>
          <w:bCs/>
          <w:sz w:val="18"/>
          <w:szCs w:val="18"/>
        </w:rPr>
      </w:pPr>
      <w:bookmarkStart w:name="_Toc220664241" w:id="643"/>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70</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Ficha de Proyecto ID P-SEC 007</w:t>
      </w:r>
      <w:bookmarkEnd w:id="643"/>
    </w:p>
    <w:tbl>
      <w:tblPr>
        <w:tblW w:w="9072"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662"/>
      </w:tblGrid>
      <w:tr w:rsidRPr="00222E47" w:rsidR="005E3BD6" w:rsidTr="009F7FA6" w14:paraId="4E6384BC" w14:textId="77777777">
        <w:trPr>
          <w:trHeight w:val="300"/>
          <w:jc w:val="center"/>
        </w:trPr>
        <w:tc>
          <w:tcPr>
            <w:tcW w:w="9072"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222E47" w:rsidR="005E3BD6" w:rsidP="00B4771C" w:rsidRDefault="005E3BD6" w14:paraId="5D277940"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9F7FA6" w14:paraId="03C154FC"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4771C" w:rsidRDefault="005E3BD6" w14:paraId="5AE7FD22"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ID PROYECTO</w:t>
            </w:r>
          </w:p>
        </w:tc>
        <w:tc>
          <w:tcPr>
            <w:tcW w:w="6662" w:type="dxa"/>
            <w:tcBorders>
              <w:top w:val="single" w:color="FFFFFF" w:themeColor="background1" w:sz="4" w:space="0"/>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10E6DD38"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P-SEC 007</w:t>
            </w:r>
          </w:p>
        </w:tc>
      </w:tr>
      <w:tr w:rsidRPr="00222E47" w:rsidR="005E3BD6" w:rsidTr="009F7FA6" w14:paraId="1894AFAB"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4771C" w:rsidRDefault="005E3BD6" w14:paraId="2AE5FE65"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Nombre del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545D4108"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Definición de la Estrategia sectorial y los equipos de investigación y desarrollo para formular el programa de Transformación Digital.</w:t>
            </w:r>
          </w:p>
        </w:tc>
      </w:tr>
      <w:tr w:rsidRPr="00222E47" w:rsidR="005E3BD6" w:rsidTr="009F7FA6" w14:paraId="56AB8459"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4771C" w:rsidRDefault="005E3BD6" w14:paraId="1B23EBD8"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Descripción o Temática del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4C1B8433"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Fortalecer las capacidades para la Transformación Digital para sector minero energético, por medio de la implementación de iniciativas basadas en tecnologías emergentes.</w:t>
            </w:r>
          </w:p>
        </w:tc>
      </w:tr>
      <w:tr w:rsidRPr="00222E47" w:rsidR="005E3BD6" w:rsidTr="009F7FA6" w14:paraId="386EAB19"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4771C" w:rsidRDefault="005E3BD6" w14:paraId="7BD4AE93"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Objeto y Alcance</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293A30CB" w14:textId="4E4BBE06">
            <w:pPr>
              <w:jc w:val="both"/>
              <w:rPr>
                <w:rFonts w:ascii="Nunito Sans" w:hAnsi="Nunito Sans" w:eastAsia="Arial" w:cs="Calibri"/>
                <w:sz w:val="18"/>
                <w:szCs w:val="18"/>
              </w:rPr>
            </w:pPr>
            <w:r w:rsidRPr="00222E47">
              <w:rPr>
                <w:rFonts w:ascii="Nunito Sans" w:hAnsi="Nunito Sans" w:eastAsia="Arial" w:cs="Calibri"/>
                <w:sz w:val="18"/>
                <w:szCs w:val="18"/>
              </w:rPr>
              <w:t>Establecer la estrategia sectorial y los equipos de investigación y desarrollo para formular el programa de Transformación Digital que permita implementar soluciones basadas en las tecnologías emergentes o de la cuarta revolución industrial. Se tiene previsto la implementación de al menos 2 iniciativas (Big Data, Inteligencia Artificial AI, Internet de las Cosas IOT, tokenización o activos digitales, realidad aumentada y realidad virtual, etc.)</w:t>
            </w:r>
          </w:p>
        </w:tc>
      </w:tr>
      <w:tr w:rsidRPr="00222E47" w:rsidR="005E3BD6" w:rsidTr="009F7FA6" w14:paraId="41815E00"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4771C" w:rsidRDefault="005E3BD6" w14:paraId="14FFBE54"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Prioridad</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32354ABF" w14:textId="77777777">
            <w:pPr>
              <w:jc w:val="both"/>
              <w:rPr>
                <w:rFonts w:ascii="Nunito Sans" w:hAnsi="Nunito Sans" w:eastAsia="Arial" w:cs="Calibri"/>
                <w:sz w:val="18"/>
                <w:szCs w:val="18"/>
              </w:rPr>
            </w:pPr>
            <w:r w:rsidRPr="00222E47">
              <w:rPr>
                <w:rFonts w:ascii="Nunito Sans" w:hAnsi="Nunito Sans" w:eastAsia="Arial" w:cs="Calibri"/>
                <w:sz w:val="18"/>
                <w:szCs w:val="18"/>
              </w:rPr>
              <w:t>MEDIO</w:t>
            </w:r>
          </w:p>
        </w:tc>
      </w:tr>
      <w:tr w:rsidRPr="00222E47" w:rsidR="005E3BD6" w:rsidTr="009F7FA6" w14:paraId="33FCB5EC"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4771C" w:rsidRDefault="005E3BD6" w14:paraId="1AFFECF6"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Recursos</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67324D5E"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Servicios especializados con un equipo mínimo: </w:t>
            </w:r>
          </w:p>
          <w:p w:rsidRPr="00222E47" w:rsidR="005E3BD6" w:rsidP="00BD3D2D" w:rsidRDefault="005E3BD6" w14:paraId="0FCEEB3D" w14:textId="77777777">
            <w:pPr>
              <w:jc w:val="both"/>
              <w:rPr>
                <w:rFonts w:ascii="Nunito Sans" w:hAnsi="Nunito Sans" w:eastAsia="Arial" w:cs="Calibri"/>
                <w:sz w:val="18"/>
                <w:szCs w:val="18"/>
              </w:rPr>
            </w:pPr>
            <w:r w:rsidRPr="00222E47">
              <w:rPr>
                <w:rFonts w:ascii="Nunito Sans" w:hAnsi="Nunito Sans" w:eastAsia="Arial" w:cs="Calibri"/>
                <w:sz w:val="18"/>
                <w:szCs w:val="18"/>
              </w:rPr>
              <w:t>Gerente de desarrollo</w:t>
            </w:r>
          </w:p>
          <w:p w:rsidRPr="00222E47" w:rsidR="005E3BD6" w:rsidP="00BD3D2D" w:rsidRDefault="005E3BD6" w14:paraId="10233FB5" w14:textId="77777777">
            <w:pPr>
              <w:jc w:val="both"/>
              <w:rPr>
                <w:rFonts w:ascii="Nunito Sans" w:hAnsi="Nunito Sans" w:eastAsia="Arial" w:cs="Calibri"/>
                <w:sz w:val="18"/>
                <w:szCs w:val="18"/>
              </w:rPr>
            </w:pPr>
            <w:r w:rsidRPr="00222E47">
              <w:rPr>
                <w:rFonts w:ascii="Nunito Sans" w:hAnsi="Nunito Sans" w:eastAsia="Arial" w:cs="Calibri"/>
                <w:sz w:val="18"/>
                <w:szCs w:val="18"/>
              </w:rPr>
              <w:t>Líder técnico</w:t>
            </w:r>
          </w:p>
          <w:p w:rsidRPr="00222E47" w:rsidR="005E3BD6" w:rsidP="00BD3D2D" w:rsidRDefault="005E3BD6" w14:paraId="334FAD3D" w14:textId="77777777">
            <w:pPr>
              <w:jc w:val="both"/>
              <w:rPr>
                <w:rFonts w:ascii="Nunito Sans" w:hAnsi="Nunito Sans" w:eastAsia="Arial" w:cs="Calibri"/>
                <w:sz w:val="18"/>
                <w:szCs w:val="18"/>
              </w:rPr>
            </w:pPr>
            <w:r w:rsidRPr="00222E47">
              <w:rPr>
                <w:rFonts w:ascii="Nunito Sans" w:hAnsi="Nunito Sans" w:eastAsia="Arial" w:cs="Calibri"/>
                <w:sz w:val="18"/>
                <w:szCs w:val="18"/>
              </w:rPr>
              <w:t>Arquitecto de Software</w:t>
            </w:r>
          </w:p>
          <w:p w:rsidRPr="00222E47" w:rsidR="005E3BD6" w:rsidP="00BD3D2D" w:rsidRDefault="005E3BD6" w14:paraId="12B5D6A1" w14:textId="77777777">
            <w:pPr>
              <w:jc w:val="both"/>
              <w:rPr>
                <w:rFonts w:ascii="Nunito Sans" w:hAnsi="Nunito Sans" w:eastAsia="Arial" w:cs="Calibri"/>
                <w:sz w:val="18"/>
                <w:szCs w:val="18"/>
              </w:rPr>
            </w:pPr>
            <w:r w:rsidRPr="00222E47">
              <w:rPr>
                <w:rFonts w:ascii="Nunito Sans" w:hAnsi="Nunito Sans" w:eastAsia="Arial" w:cs="Calibri"/>
                <w:sz w:val="18"/>
                <w:szCs w:val="18"/>
              </w:rPr>
              <w:t>Desarrollador junior</w:t>
            </w:r>
          </w:p>
          <w:p w:rsidRPr="00222E47" w:rsidR="005E3BD6" w:rsidP="00BD3D2D" w:rsidRDefault="005E3BD6" w14:paraId="64F78D51" w14:textId="77777777">
            <w:pPr>
              <w:jc w:val="both"/>
              <w:rPr>
                <w:rFonts w:ascii="Nunito Sans" w:hAnsi="Nunito Sans" w:eastAsia="Arial" w:cs="Calibri"/>
                <w:sz w:val="18"/>
                <w:szCs w:val="18"/>
              </w:rPr>
            </w:pPr>
            <w:r w:rsidRPr="00222E47">
              <w:rPr>
                <w:rFonts w:ascii="Nunito Sans" w:hAnsi="Nunito Sans" w:eastAsia="Arial" w:cs="Calibri"/>
                <w:sz w:val="18"/>
                <w:szCs w:val="18"/>
              </w:rPr>
              <w:t>Analista de Pruebas</w:t>
            </w:r>
          </w:p>
          <w:p w:rsidRPr="00222E47" w:rsidR="005E3BD6" w:rsidP="00BD3D2D" w:rsidRDefault="005E3BD6" w14:paraId="07F54A6D" w14:textId="77777777">
            <w:pPr>
              <w:jc w:val="both"/>
              <w:rPr>
                <w:rFonts w:ascii="Nunito Sans" w:hAnsi="Nunito Sans" w:eastAsia="Arial" w:cs="Calibri"/>
                <w:sz w:val="18"/>
                <w:szCs w:val="18"/>
              </w:rPr>
            </w:pPr>
            <w:r w:rsidRPr="00222E47">
              <w:rPr>
                <w:rFonts w:ascii="Nunito Sans" w:hAnsi="Nunito Sans" w:eastAsia="Arial" w:cs="Calibri"/>
                <w:sz w:val="18"/>
                <w:szCs w:val="18"/>
              </w:rPr>
              <w:t>Analista de requerimientos</w:t>
            </w:r>
          </w:p>
          <w:p w:rsidRPr="00222E47" w:rsidR="005E3BD6" w:rsidP="00BD3D2D" w:rsidRDefault="005E3BD6" w14:paraId="6834DD96" w14:textId="77777777">
            <w:pPr>
              <w:jc w:val="both"/>
              <w:rPr>
                <w:rFonts w:ascii="Nunito Sans" w:hAnsi="Nunito Sans" w:eastAsia="Arial" w:cs="Calibri"/>
                <w:sz w:val="18"/>
                <w:szCs w:val="18"/>
              </w:rPr>
            </w:pPr>
            <w:r w:rsidRPr="00222E47">
              <w:rPr>
                <w:rFonts w:ascii="Nunito Sans" w:hAnsi="Nunito Sans" w:eastAsia="Arial" w:cs="Calibri"/>
                <w:sz w:val="18"/>
                <w:szCs w:val="18"/>
              </w:rPr>
              <w:t>Gestor de Proyectos de TI</w:t>
            </w:r>
          </w:p>
          <w:p w:rsidRPr="00222E47" w:rsidR="005E3BD6" w:rsidP="00BD3D2D" w:rsidRDefault="005E3BD6" w14:paraId="4F25A0DA" w14:textId="77777777">
            <w:pPr>
              <w:jc w:val="both"/>
              <w:rPr>
                <w:rFonts w:ascii="Nunito Sans" w:hAnsi="Nunito Sans" w:eastAsia="Arial" w:cs="Calibri"/>
                <w:sz w:val="18"/>
                <w:szCs w:val="18"/>
              </w:rPr>
            </w:pPr>
            <w:r w:rsidRPr="00222E47">
              <w:rPr>
                <w:rFonts w:ascii="Nunito Sans" w:hAnsi="Nunito Sans" w:eastAsia="Arial" w:cs="Calibri"/>
                <w:sz w:val="18"/>
                <w:szCs w:val="18"/>
              </w:rPr>
              <w:t>Líder de Transformación Digital</w:t>
            </w:r>
          </w:p>
          <w:p w:rsidRPr="00222E47" w:rsidR="005E3BD6" w:rsidP="00BD3D2D" w:rsidRDefault="005E3BD6" w14:paraId="7198B178" w14:textId="77777777">
            <w:pPr>
              <w:jc w:val="both"/>
              <w:rPr>
                <w:rFonts w:ascii="Nunito Sans" w:hAnsi="Nunito Sans" w:eastAsia="Arial" w:cs="Calibri"/>
                <w:sz w:val="18"/>
                <w:szCs w:val="18"/>
              </w:rPr>
            </w:pPr>
            <w:r w:rsidRPr="00222E47">
              <w:rPr>
                <w:rFonts w:ascii="Nunito Sans" w:hAnsi="Nunito Sans" w:eastAsia="Arial" w:cs="Calibri"/>
                <w:sz w:val="18"/>
                <w:szCs w:val="18"/>
              </w:rPr>
              <w:t>Investigador en Big Data</w:t>
            </w:r>
          </w:p>
          <w:p w:rsidRPr="00222E47" w:rsidR="005E3BD6" w:rsidP="00BD3D2D" w:rsidRDefault="005E3BD6" w14:paraId="09DD467A" w14:textId="77777777">
            <w:pPr>
              <w:jc w:val="both"/>
              <w:rPr>
                <w:rFonts w:ascii="Nunito Sans" w:hAnsi="Nunito Sans" w:eastAsia="Arial" w:cs="Calibri"/>
                <w:sz w:val="18"/>
                <w:szCs w:val="18"/>
              </w:rPr>
            </w:pPr>
            <w:r w:rsidRPr="00222E47">
              <w:rPr>
                <w:rFonts w:ascii="Nunito Sans" w:hAnsi="Nunito Sans" w:eastAsia="Arial" w:cs="Calibri"/>
                <w:sz w:val="18"/>
                <w:szCs w:val="18"/>
              </w:rPr>
              <w:t>Especialista en Inteligencia Artificial (IA)</w:t>
            </w:r>
          </w:p>
          <w:p w:rsidRPr="00222E47" w:rsidR="005E3BD6" w:rsidP="00BD3D2D" w:rsidRDefault="005E3BD6" w14:paraId="08E56FCB" w14:textId="77777777">
            <w:pPr>
              <w:jc w:val="both"/>
              <w:rPr>
                <w:rFonts w:ascii="Nunito Sans" w:hAnsi="Nunito Sans" w:eastAsia="Arial" w:cs="Calibri"/>
                <w:sz w:val="18"/>
                <w:szCs w:val="18"/>
              </w:rPr>
            </w:pPr>
            <w:r w:rsidRPr="00222E47">
              <w:rPr>
                <w:rFonts w:ascii="Nunito Sans" w:hAnsi="Nunito Sans" w:eastAsia="Arial" w:cs="Calibri"/>
                <w:sz w:val="18"/>
                <w:szCs w:val="18"/>
              </w:rPr>
              <w:t>Ingeniero de Internet de las Cosas (IOT)</w:t>
            </w:r>
          </w:p>
          <w:p w:rsidRPr="00222E47" w:rsidR="005E3BD6" w:rsidP="00BD3D2D" w:rsidRDefault="005E3BD6" w14:paraId="64FE7E6F" w14:textId="77777777">
            <w:pPr>
              <w:jc w:val="both"/>
              <w:rPr>
                <w:rFonts w:ascii="Nunito Sans" w:hAnsi="Nunito Sans" w:eastAsia="Arial" w:cs="Calibri"/>
                <w:sz w:val="18"/>
                <w:szCs w:val="18"/>
              </w:rPr>
            </w:pPr>
            <w:r w:rsidRPr="00222E47">
              <w:rPr>
                <w:rFonts w:ascii="Nunito Sans" w:hAnsi="Nunito Sans" w:eastAsia="Arial" w:cs="Calibri"/>
                <w:sz w:val="18"/>
                <w:szCs w:val="18"/>
              </w:rPr>
              <w:t>Desarrollador de Blockchain</w:t>
            </w:r>
          </w:p>
          <w:p w:rsidRPr="00222E47" w:rsidR="005E3BD6" w:rsidP="00BD3D2D" w:rsidRDefault="005E3BD6" w14:paraId="1245514D" w14:textId="77777777">
            <w:pPr>
              <w:jc w:val="both"/>
              <w:rPr>
                <w:rFonts w:ascii="Nunito Sans" w:hAnsi="Nunito Sans" w:eastAsia="Arial" w:cs="Calibri"/>
                <w:sz w:val="18"/>
                <w:szCs w:val="18"/>
              </w:rPr>
            </w:pPr>
            <w:r w:rsidRPr="00222E47">
              <w:rPr>
                <w:rFonts w:ascii="Nunito Sans" w:hAnsi="Nunito Sans" w:eastAsia="Arial" w:cs="Calibri"/>
                <w:sz w:val="18"/>
                <w:szCs w:val="18"/>
              </w:rPr>
              <w:t>Desarrollador de Realidad Aumentada y Realidad Virtual (AR/VR)</w:t>
            </w:r>
          </w:p>
          <w:p w:rsidRPr="00222E47" w:rsidR="005E3BD6" w:rsidP="00BD3D2D" w:rsidRDefault="005E3BD6" w14:paraId="084CBCCF" w14:textId="77777777">
            <w:pPr>
              <w:jc w:val="both"/>
              <w:rPr>
                <w:rFonts w:ascii="Nunito Sans" w:hAnsi="Nunito Sans" w:eastAsia="Arial" w:cs="Calibri"/>
                <w:sz w:val="18"/>
                <w:szCs w:val="18"/>
              </w:rPr>
            </w:pPr>
            <w:r w:rsidRPr="00222E47">
              <w:rPr>
                <w:rFonts w:ascii="Nunito Sans" w:hAnsi="Nunito Sans" w:eastAsia="Arial" w:cs="Calibri"/>
                <w:sz w:val="18"/>
                <w:szCs w:val="18"/>
              </w:rPr>
              <w:t>Ingeniero de Tokenización y Activos Digitales</w:t>
            </w:r>
          </w:p>
          <w:p w:rsidRPr="00222E47" w:rsidR="005E3BD6" w:rsidP="00BD3D2D" w:rsidRDefault="005E3BD6" w14:paraId="02F40FC5" w14:textId="77777777">
            <w:pPr>
              <w:jc w:val="both"/>
              <w:rPr>
                <w:rFonts w:ascii="Nunito Sans" w:hAnsi="Nunito Sans" w:eastAsia="Arial" w:cs="Calibri"/>
                <w:sz w:val="18"/>
                <w:szCs w:val="18"/>
              </w:rPr>
            </w:pPr>
            <w:r w:rsidRPr="00222E47">
              <w:rPr>
                <w:rFonts w:ascii="Nunito Sans" w:hAnsi="Nunito Sans" w:eastAsia="Arial" w:cs="Calibri"/>
                <w:sz w:val="18"/>
                <w:szCs w:val="18"/>
              </w:rPr>
              <w:t>Arquitecto de Soluciones Tecnológicas</w:t>
            </w:r>
          </w:p>
          <w:p w:rsidRPr="00222E47" w:rsidR="005E3BD6" w:rsidP="00BD3D2D" w:rsidRDefault="005E3BD6" w14:paraId="680D9F61" w14:textId="77777777">
            <w:pPr>
              <w:jc w:val="both"/>
              <w:rPr>
                <w:rFonts w:ascii="Nunito Sans" w:hAnsi="Nunito Sans" w:eastAsia="Arial" w:cs="Calibri"/>
                <w:sz w:val="18"/>
                <w:szCs w:val="18"/>
              </w:rPr>
            </w:pPr>
            <w:r w:rsidRPr="00222E47">
              <w:rPr>
                <w:rFonts w:ascii="Nunito Sans" w:hAnsi="Nunito Sans" w:eastAsia="Arial" w:cs="Calibri"/>
                <w:sz w:val="18"/>
                <w:szCs w:val="18"/>
              </w:rPr>
              <w:t>Especialista en Ciberseguridad</w:t>
            </w:r>
          </w:p>
          <w:p w:rsidRPr="00222E47" w:rsidR="005E3BD6" w:rsidP="00BD3D2D" w:rsidRDefault="005E3BD6" w14:paraId="6DA82986" w14:textId="77777777">
            <w:pPr>
              <w:jc w:val="both"/>
              <w:rPr>
                <w:rFonts w:ascii="Nunito Sans" w:hAnsi="Nunito Sans" w:eastAsia="Arial" w:cs="Calibri"/>
                <w:sz w:val="18"/>
                <w:szCs w:val="18"/>
              </w:rPr>
            </w:pPr>
            <w:r w:rsidRPr="00222E47">
              <w:rPr>
                <w:rFonts w:ascii="Nunito Sans" w:hAnsi="Nunito Sans" w:eastAsia="Arial" w:cs="Calibri"/>
                <w:sz w:val="18"/>
                <w:szCs w:val="18"/>
              </w:rPr>
              <w:t>Analista de Negocios Digitales</w:t>
            </w:r>
          </w:p>
          <w:p w:rsidRPr="00222E47" w:rsidR="005E3BD6" w:rsidP="00BD3D2D" w:rsidRDefault="005E3BD6" w14:paraId="674DEFFD" w14:textId="77777777">
            <w:pPr>
              <w:jc w:val="both"/>
              <w:rPr>
                <w:rFonts w:ascii="Nunito Sans" w:hAnsi="Nunito Sans" w:eastAsia="Arial" w:cs="Calibri"/>
                <w:sz w:val="18"/>
                <w:szCs w:val="18"/>
              </w:rPr>
            </w:pPr>
            <w:r w:rsidRPr="00222E47">
              <w:rPr>
                <w:rFonts w:ascii="Nunito Sans" w:hAnsi="Nunito Sans" w:eastAsia="Arial" w:cs="Calibri"/>
                <w:sz w:val="18"/>
                <w:szCs w:val="18"/>
              </w:rPr>
              <w:t>Desarrollador Senior</w:t>
            </w:r>
          </w:p>
        </w:tc>
      </w:tr>
      <w:tr w:rsidRPr="00222E47" w:rsidR="005E3BD6" w:rsidTr="009F7FA6" w14:paraId="4C2481B4"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D3D2D" w:rsidRDefault="005E3BD6" w14:paraId="00DBDFA0"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Tiempo de Implementación</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0E1EBC25" w14:textId="77777777">
            <w:pPr>
              <w:jc w:val="both"/>
              <w:rPr>
                <w:rFonts w:ascii="Nunito Sans" w:hAnsi="Nunito Sans" w:eastAsia="Arial" w:cs="Calibri"/>
                <w:sz w:val="18"/>
                <w:szCs w:val="18"/>
              </w:rPr>
            </w:pPr>
            <w:r w:rsidRPr="00222E47">
              <w:rPr>
                <w:rFonts w:ascii="Nunito Sans" w:hAnsi="Nunito Sans" w:eastAsia="Arial" w:cs="Calibri"/>
                <w:sz w:val="18"/>
                <w:szCs w:val="18"/>
              </w:rPr>
              <w:t>48 Meses</w:t>
            </w:r>
          </w:p>
        </w:tc>
      </w:tr>
      <w:tr w:rsidRPr="00222E47" w:rsidR="005E3BD6" w:rsidTr="009F7FA6" w14:paraId="0603C006"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D3D2D" w:rsidRDefault="005E3BD6" w14:paraId="1B0C173D"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lastRenderedPageBreak/>
              <w:t>Área Líder</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39E44A50" w14:textId="77777777">
            <w:pPr>
              <w:jc w:val="both"/>
              <w:rPr>
                <w:rFonts w:ascii="Nunito Sans" w:hAnsi="Nunito Sans" w:eastAsia="Arial" w:cs="Calibri"/>
                <w:sz w:val="18"/>
                <w:szCs w:val="18"/>
              </w:rPr>
            </w:pPr>
            <w:r w:rsidRPr="00222E47">
              <w:rPr>
                <w:rFonts w:ascii="Nunito Sans" w:hAnsi="Nunito Sans" w:eastAsia="Arial" w:cs="Calibri"/>
                <w:sz w:val="18"/>
                <w:szCs w:val="18"/>
              </w:rPr>
              <w:t>Grupo de Tecnologías de la Información y las Comunicaciones - TIC</w:t>
            </w:r>
          </w:p>
        </w:tc>
      </w:tr>
      <w:tr w:rsidRPr="00222E47" w:rsidR="005E3BD6" w:rsidTr="009F7FA6" w14:paraId="506B1360" w14:textId="77777777">
        <w:trPr>
          <w:trHeight w:val="300"/>
          <w:jc w:val="center"/>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BD3D2D" w:rsidR="005E3BD6" w:rsidP="00BD3D2D" w:rsidRDefault="005E3BD6" w14:paraId="58EA5B4D" w14:textId="77777777">
            <w:pPr>
              <w:rPr>
                <w:rFonts w:ascii="Nunito Sans" w:hAnsi="Nunito Sans" w:eastAsia="Arial" w:cs="Calibri"/>
                <w:color w:val="FFFFFF" w:themeColor="background1"/>
                <w:sz w:val="18"/>
                <w:szCs w:val="18"/>
              </w:rPr>
            </w:pPr>
            <w:r w:rsidRPr="00BD3D2D">
              <w:rPr>
                <w:rFonts w:ascii="Nunito Sans" w:hAnsi="Nunito Sans" w:eastAsia="Arial" w:cs="Calibri"/>
                <w:color w:val="FFFFFF" w:themeColor="background1"/>
                <w:sz w:val="18"/>
                <w:szCs w:val="18"/>
              </w:rPr>
              <w:t>Proyecto de Inversión</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BD3D2D" w:rsidRDefault="005E3BD6" w14:paraId="31BD90DC"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EF5DE4" w:rsidR="005E3BD6" w:rsidP="005E3BD6" w:rsidRDefault="005E3BD6" w14:paraId="36D3205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5C8C9AF8" w14:textId="77777777">
      <w:pPr>
        <w:pBdr>
          <w:top w:val="nil"/>
          <w:left w:val="nil"/>
          <w:bottom w:val="nil"/>
          <w:right w:val="nil"/>
          <w:between w:val="nil"/>
        </w:pBdr>
        <w:spacing w:before="240"/>
        <w:jc w:val="both"/>
        <w:rPr>
          <w:rFonts w:ascii="Nunito Sans" w:hAnsi="Nunito Sans" w:eastAsia="Arial" w:cs="Calibri"/>
          <w:color w:val="000000" w:themeColor="text1"/>
          <w:sz w:val="22"/>
          <w:szCs w:val="22"/>
          <w:highlight w:val="white"/>
        </w:rPr>
      </w:pPr>
    </w:p>
    <w:p w:rsidRPr="00CB7427" w:rsidR="005E3BD6" w:rsidP="005E3BD6" w:rsidRDefault="00A96E69" w14:paraId="1922157B" w14:textId="74F80A63">
      <w:pPr>
        <w:ind w:left="360" w:hanging="360"/>
        <w:jc w:val="center"/>
        <w:rPr>
          <w:rFonts w:ascii="Nunito Sans" w:hAnsi="Nunito Sans" w:cs="Calibri"/>
          <w:b/>
          <w:bCs/>
          <w:sz w:val="18"/>
          <w:szCs w:val="18"/>
        </w:rPr>
      </w:pPr>
      <w:bookmarkStart w:name="_Toc220664242" w:id="644"/>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71</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w:t>
      </w:r>
      <w:r w:rsidRPr="00CB7427" w:rsidR="005E3BD6">
        <w:rPr>
          <w:rFonts w:ascii="Nunito Sans" w:hAnsi="Nunito Sans" w:cs="Calibri"/>
          <w:b/>
          <w:bCs/>
          <w:sz w:val="18"/>
          <w:szCs w:val="18"/>
        </w:rPr>
        <w:t xml:space="preserve"> Ficha de Proyecto </w:t>
      </w:r>
      <w:r w:rsidR="00D768DF">
        <w:rPr>
          <w:rFonts w:ascii="Nunito Sans" w:hAnsi="Nunito Sans" w:cs="Calibri"/>
          <w:b/>
          <w:bCs/>
          <w:sz w:val="18"/>
          <w:szCs w:val="18"/>
        </w:rPr>
        <w:t xml:space="preserve">ID </w:t>
      </w:r>
      <w:r w:rsidRPr="00CB7427" w:rsidR="005E3BD6">
        <w:rPr>
          <w:rFonts w:ascii="Nunito Sans" w:hAnsi="Nunito Sans" w:cs="Calibri"/>
          <w:b/>
          <w:bCs/>
          <w:sz w:val="18"/>
          <w:szCs w:val="18"/>
        </w:rPr>
        <w:t>P-SEC 008</w:t>
      </w:r>
      <w:bookmarkEnd w:id="644"/>
    </w:p>
    <w:tbl>
      <w:tblPr>
        <w:tblW w:w="9072"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662"/>
      </w:tblGrid>
      <w:tr w:rsidRPr="00222E47" w:rsidR="005E3BD6" w:rsidTr="00C6115D" w14:paraId="262D3C7F" w14:textId="77777777">
        <w:trPr>
          <w:trHeight w:val="300"/>
        </w:trPr>
        <w:tc>
          <w:tcPr>
            <w:tcW w:w="9072"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222E47" w:rsidR="005E3BD6" w:rsidP="00A96E69" w:rsidRDefault="005E3BD6" w14:paraId="4B9ECD0D"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C6115D" w14:paraId="7A062EE0"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3076A6A2"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ID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A96E69" w:rsidRDefault="005E3BD6" w14:paraId="52E36E2A" w14:textId="77777777">
            <w:pPr>
              <w:rPr>
                <w:rFonts w:ascii="Nunito Sans" w:hAnsi="Nunito Sans" w:eastAsia="Arial" w:cs="Calibri"/>
                <w:b/>
                <w:bCs/>
                <w:sz w:val="18"/>
                <w:szCs w:val="18"/>
              </w:rPr>
            </w:pPr>
            <w:r w:rsidRPr="00222E47">
              <w:rPr>
                <w:rFonts w:ascii="Nunito Sans" w:hAnsi="Nunito Sans" w:eastAsia="Arial" w:cs="Calibri"/>
                <w:b/>
                <w:bCs/>
                <w:sz w:val="18"/>
                <w:szCs w:val="18"/>
              </w:rPr>
              <w:t>P-SEC 008</w:t>
            </w:r>
          </w:p>
        </w:tc>
      </w:tr>
      <w:tr w:rsidRPr="00222E47" w:rsidR="005E3BD6" w:rsidTr="00C6115D" w14:paraId="65CAC05C"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5A413D9C"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Nombre del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13E57BCA"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Implementación de modelos de Inteligencia Artificial (IA) para resolver retos asociados con procesos institucionales.</w:t>
            </w:r>
          </w:p>
        </w:tc>
      </w:tr>
      <w:tr w:rsidRPr="00222E47" w:rsidR="005E3BD6" w:rsidTr="00C6115D" w14:paraId="0714D535"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2E426A4E"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Descripción o Temática del Proyecto</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44F506DB"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Apoyar la solución de retos asociados a los procesos institucionales a través de la implementación de modelos de Inteligencia Artificial (IA). </w:t>
            </w:r>
          </w:p>
        </w:tc>
      </w:tr>
      <w:tr w:rsidRPr="00222E47" w:rsidR="005E3BD6" w:rsidTr="00C6115D" w14:paraId="1AF33190"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4862B84F"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Objeto y Alcance</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0E457DAE" w14:textId="77777777">
            <w:pPr>
              <w:jc w:val="both"/>
              <w:rPr>
                <w:rFonts w:ascii="Nunito Sans" w:hAnsi="Nunito Sans" w:eastAsia="Arial" w:cs="Calibri"/>
                <w:sz w:val="18"/>
                <w:szCs w:val="18"/>
              </w:rPr>
            </w:pPr>
            <w:r w:rsidRPr="00222E47">
              <w:rPr>
                <w:rFonts w:ascii="Nunito Sans" w:hAnsi="Nunito Sans" w:eastAsia="Arial" w:cs="Calibri"/>
                <w:sz w:val="18"/>
                <w:szCs w:val="18"/>
              </w:rPr>
              <w:t>Implementar modelos de Inteligencia Artificial (IA) para resolver retos asociados con procesos institucionales</w:t>
            </w:r>
          </w:p>
        </w:tc>
      </w:tr>
      <w:tr w:rsidRPr="00222E47" w:rsidR="005E3BD6" w:rsidTr="00C6115D" w14:paraId="31544A37"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0098ADFA"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Prioridad</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7C57047E" w14:textId="77777777">
            <w:pPr>
              <w:jc w:val="both"/>
              <w:rPr>
                <w:rFonts w:ascii="Nunito Sans" w:hAnsi="Nunito Sans" w:eastAsia="Arial" w:cs="Calibri"/>
                <w:sz w:val="18"/>
                <w:szCs w:val="18"/>
              </w:rPr>
            </w:pPr>
            <w:r w:rsidRPr="00222E47">
              <w:rPr>
                <w:rFonts w:ascii="Nunito Sans" w:hAnsi="Nunito Sans" w:eastAsia="Arial" w:cs="Calibri"/>
                <w:sz w:val="18"/>
                <w:szCs w:val="18"/>
              </w:rPr>
              <w:t>MEDIO</w:t>
            </w:r>
          </w:p>
        </w:tc>
      </w:tr>
      <w:tr w:rsidRPr="00222E47" w:rsidR="005E3BD6" w:rsidTr="00C6115D" w14:paraId="6B48286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09AFE957"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Recursos</w:t>
            </w:r>
          </w:p>
        </w:tc>
        <w:tc>
          <w:tcPr>
            <w:tcW w:w="6662" w:type="dxa"/>
            <w:tcBorders>
              <w:left w:val="single" w:color="FFFFFF" w:themeColor="background1" w:sz="4" w:space="0"/>
            </w:tcBorders>
            <w:tcMar>
              <w:top w:w="0" w:type="dxa"/>
              <w:left w:w="60" w:type="dxa"/>
              <w:bottom w:w="0" w:type="dxa"/>
              <w:right w:w="60" w:type="dxa"/>
            </w:tcMar>
            <w:vAlign w:val="center"/>
          </w:tcPr>
          <w:p w:rsidRPr="00222E47" w:rsidR="005E3BD6" w:rsidP="00753895" w:rsidRDefault="005E3BD6" w14:paraId="3C975B6A"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Servicios especializados con un equipo mínimo: </w:t>
            </w:r>
          </w:p>
          <w:p w:rsidRPr="00222E47" w:rsidR="005E3BD6" w:rsidP="00753895" w:rsidRDefault="005E3BD6" w14:paraId="159ABCD0" w14:textId="77777777">
            <w:pPr>
              <w:jc w:val="both"/>
              <w:rPr>
                <w:rFonts w:ascii="Nunito Sans" w:hAnsi="Nunito Sans" w:eastAsia="Arial" w:cs="Calibri"/>
                <w:sz w:val="18"/>
                <w:szCs w:val="18"/>
              </w:rPr>
            </w:pPr>
            <w:r w:rsidRPr="00222E47">
              <w:rPr>
                <w:rFonts w:ascii="Nunito Sans" w:hAnsi="Nunito Sans" w:eastAsia="Arial" w:cs="Calibri"/>
                <w:sz w:val="18"/>
                <w:szCs w:val="18"/>
              </w:rPr>
              <w:t>Gerente de Proyecto</w:t>
            </w:r>
          </w:p>
          <w:p w:rsidRPr="00222E47" w:rsidR="005E3BD6" w:rsidP="00753895" w:rsidRDefault="005E3BD6" w14:paraId="6C4A4017" w14:textId="77777777">
            <w:pPr>
              <w:jc w:val="both"/>
              <w:rPr>
                <w:rFonts w:ascii="Nunito Sans" w:hAnsi="Nunito Sans" w:eastAsia="Arial" w:cs="Calibri"/>
                <w:sz w:val="18"/>
                <w:szCs w:val="18"/>
              </w:rPr>
            </w:pPr>
            <w:r w:rsidRPr="00222E47">
              <w:rPr>
                <w:rFonts w:ascii="Nunito Sans" w:hAnsi="Nunito Sans" w:eastAsia="Arial" w:cs="Calibri"/>
                <w:sz w:val="18"/>
                <w:szCs w:val="18"/>
              </w:rPr>
              <w:t>Ingeniero IA</w:t>
            </w:r>
          </w:p>
          <w:p w:rsidRPr="00222E47" w:rsidR="005E3BD6" w:rsidP="00753895" w:rsidRDefault="005E3BD6" w14:paraId="7789ABF6" w14:textId="77777777">
            <w:pPr>
              <w:jc w:val="both"/>
              <w:rPr>
                <w:rFonts w:ascii="Nunito Sans" w:hAnsi="Nunito Sans" w:eastAsia="Arial" w:cs="Calibri"/>
                <w:sz w:val="18"/>
                <w:szCs w:val="18"/>
              </w:rPr>
            </w:pPr>
            <w:r w:rsidRPr="00222E47">
              <w:rPr>
                <w:rFonts w:ascii="Nunito Sans" w:hAnsi="Nunito Sans" w:eastAsia="Arial" w:cs="Calibri"/>
                <w:sz w:val="18"/>
                <w:szCs w:val="18"/>
              </w:rPr>
              <w:t>Científico de Datos</w:t>
            </w:r>
          </w:p>
          <w:p w:rsidRPr="00222E47" w:rsidR="005E3BD6" w:rsidP="00753895" w:rsidRDefault="005E3BD6" w14:paraId="7544CBB7" w14:textId="1CB1E7DA">
            <w:pPr>
              <w:jc w:val="both"/>
              <w:rPr>
                <w:rFonts w:ascii="Nunito Sans" w:hAnsi="Nunito Sans" w:eastAsia="Arial" w:cs="Calibri"/>
                <w:sz w:val="18"/>
                <w:szCs w:val="18"/>
              </w:rPr>
            </w:pPr>
            <w:r w:rsidRPr="00222E47">
              <w:rPr>
                <w:rFonts w:ascii="Nunito Sans" w:hAnsi="Nunito Sans" w:eastAsia="Arial" w:cs="Calibri"/>
                <w:sz w:val="18"/>
                <w:szCs w:val="18"/>
              </w:rPr>
              <w:t>Arquitecto de Soluciones</w:t>
            </w:r>
          </w:p>
        </w:tc>
      </w:tr>
      <w:tr w:rsidRPr="00222E47" w:rsidR="005E3BD6" w:rsidTr="00C6115D" w14:paraId="631F4ED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4A423003"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Tiempo de Implementación</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6838B908" w14:textId="77777777">
            <w:pPr>
              <w:jc w:val="both"/>
              <w:rPr>
                <w:rFonts w:ascii="Nunito Sans" w:hAnsi="Nunito Sans" w:eastAsia="Arial" w:cs="Calibri"/>
                <w:sz w:val="18"/>
                <w:szCs w:val="18"/>
              </w:rPr>
            </w:pPr>
            <w:r w:rsidRPr="00222E47">
              <w:rPr>
                <w:rFonts w:ascii="Nunito Sans" w:hAnsi="Nunito Sans" w:eastAsia="Arial" w:cs="Calibri"/>
                <w:sz w:val="18"/>
                <w:szCs w:val="18"/>
              </w:rPr>
              <w:t>48 Meses</w:t>
            </w:r>
          </w:p>
        </w:tc>
      </w:tr>
      <w:tr w:rsidRPr="00222E47" w:rsidR="005E3BD6" w:rsidTr="00C6115D" w14:paraId="3EB5FEEE"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27A00E35"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Área Líder</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424DD375" w14:textId="77777777">
            <w:pPr>
              <w:jc w:val="both"/>
              <w:rPr>
                <w:rFonts w:ascii="Nunito Sans" w:hAnsi="Nunito Sans" w:eastAsia="Arial" w:cs="Calibri"/>
                <w:sz w:val="18"/>
                <w:szCs w:val="18"/>
              </w:rPr>
            </w:pPr>
            <w:r w:rsidRPr="00222E47">
              <w:rPr>
                <w:rFonts w:ascii="Nunito Sans" w:hAnsi="Nunito Sans" w:eastAsia="Arial" w:cs="Calibri"/>
                <w:sz w:val="18"/>
                <w:szCs w:val="18"/>
              </w:rPr>
              <w:t>Grupo de Tecnologías de la Información y las Comunicaciones - TIC</w:t>
            </w:r>
          </w:p>
        </w:tc>
      </w:tr>
      <w:tr w:rsidRPr="00222E47" w:rsidR="005E3BD6" w:rsidTr="00C6115D" w14:paraId="50209E2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753895" w:rsidR="005E3BD6" w:rsidP="00A96E69" w:rsidRDefault="005E3BD6" w14:paraId="6701B89D" w14:textId="77777777">
            <w:pPr>
              <w:rPr>
                <w:rFonts w:ascii="Nunito Sans" w:hAnsi="Nunito Sans" w:eastAsia="Arial" w:cs="Calibri"/>
                <w:color w:val="FFFFFF" w:themeColor="background1"/>
                <w:sz w:val="18"/>
                <w:szCs w:val="18"/>
              </w:rPr>
            </w:pPr>
            <w:r w:rsidRPr="00753895">
              <w:rPr>
                <w:rFonts w:ascii="Nunito Sans" w:hAnsi="Nunito Sans" w:eastAsia="Arial" w:cs="Calibri"/>
                <w:color w:val="FFFFFF" w:themeColor="background1"/>
                <w:sz w:val="18"/>
                <w:szCs w:val="18"/>
              </w:rPr>
              <w:t>Proyecto de Inversión</w:t>
            </w:r>
          </w:p>
        </w:tc>
        <w:tc>
          <w:tcPr>
            <w:tcW w:w="6662" w:type="dxa"/>
            <w:tcBorders>
              <w:left w:val="single" w:color="FFFFFF" w:themeColor="background1" w:sz="4" w:space="0"/>
            </w:tcBorders>
            <w:tcMar>
              <w:top w:w="0" w:type="dxa"/>
              <w:left w:w="60" w:type="dxa"/>
              <w:bottom w:w="0" w:type="dxa"/>
              <w:right w:w="60" w:type="dxa"/>
            </w:tcMar>
            <w:vAlign w:val="center"/>
            <w:hideMark/>
          </w:tcPr>
          <w:p w:rsidRPr="00222E47" w:rsidR="005E3BD6" w:rsidP="00753895" w:rsidRDefault="005E3BD6" w14:paraId="48145C2A"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EF5DE4" w:rsidR="005E3BD6" w:rsidP="005E3BD6" w:rsidRDefault="005E3BD6" w14:paraId="0E5F6741"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7D08E77A" w14:textId="77777777">
      <w:pPr>
        <w:spacing w:before="240"/>
        <w:rPr>
          <w:rFonts w:ascii="Nunito Sans" w:hAnsi="Nunito Sans" w:eastAsia="Arial" w:cs="Calibri"/>
          <w:sz w:val="20"/>
          <w:szCs w:val="20"/>
        </w:rPr>
      </w:pPr>
    </w:p>
    <w:p w:rsidRPr="00441240" w:rsidR="005E3BD6" w:rsidRDefault="005E3BD6" w14:paraId="59A51C5E" w14:textId="05F2C1A0">
      <w:pPr>
        <w:pStyle w:val="Ttulo2"/>
        <w:numPr>
          <w:ilvl w:val="1"/>
          <w:numId w:val="39"/>
        </w:numPr>
      </w:pPr>
      <w:bookmarkStart w:name="_Toc1731362686" w:id="645"/>
      <w:bookmarkStart w:name="_Toc234234538" w:id="646"/>
      <w:r w:rsidRPr="00441240">
        <w:t>Gobernanza Digital, Arquitectura Empresarial y Optimización del Ecosistema Tecnológico</w:t>
      </w:r>
      <w:bookmarkEnd w:id="645"/>
      <w:bookmarkEnd w:id="646"/>
    </w:p>
    <w:p w:rsidRPr="00A96E69" w:rsidR="005E3BD6" w:rsidP="005E3BD6" w:rsidRDefault="00A96E69" w14:paraId="2E3E3577" w14:textId="13A345E4">
      <w:pPr>
        <w:ind w:left="360" w:hanging="360"/>
        <w:jc w:val="center"/>
        <w:rPr>
          <w:rFonts w:ascii="Nunito Sans" w:hAnsi="Nunito Sans" w:cs="Calibri"/>
          <w:b/>
          <w:bCs/>
          <w:sz w:val="18"/>
          <w:szCs w:val="18"/>
        </w:rPr>
      </w:pPr>
      <w:bookmarkStart w:name="_Toc220664243" w:id="647"/>
      <w:r w:rsidRPr="00A96E69">
        <w:rPr>
          <w:rFonts w:ascii="Nunito Sans" w:hAnsi="Nunito Sans" w:cs="Calibri"/>
          <w:b/>
          <w:bCs/>
          <w:sz w:val="18"/>
          <w:szCs w:val="18"/>
        </w:rPr>
        <w:t xml:space="preserve">Tabla </w:t>
      </w:r>
      <w:r w:rsidRPr="00A96E69">
        <w:rPr>
          <w:rFonts w:ascii="Nunito Sans" w:hAnsi="Nunito Sans" w:cs="Calibri"/>
          <w:b/>
          <w:bCs/>
          <w:sz w:val="18"/>
          <w:szCs w:val="18"/>
        </w:rPr>
        <w:fldChar w:fldCharType="begin"/>
      </w:r>
      <w:r w:rsidRPr="00A96E69">
        <w:rPr>
          <w:rFonts w:ascii="Nunito Sans" w:hAnsi="Nunito Sans" w:cs="Calibri"/>
          <w:b/>
          <w:bCs/>
          <w:sz w:val="18"/>
          <w:szCs w:val="18"/>
        </w:rPr>
        <w:instrText xml:space="preserve"> SEQ Tabla \* ARABIC </w:instrText>
      </w:r>
      <w:r w:rsidRPr="00A96E69">
        <w:rPr>
          <w:rFonts w:ascii="Nunito Sans" w:hAnsi="Nunito Sans" w:cs="Calibri"/>
          <w:b/>
          <w:bCs/>
          <w:sz w:val="18"/>
          <w:szCs w:val="18"/>
        </w:rPr>
        <w:fldChar w:fldCharType="separate"/>
      </w:r>
      <w:r w:rsidR="00C57F7B">
        <w:rPr>
          <w:rFonts w:ascii="Nunito Sans" w:hAnsi="Nunito Sans" w:cs="Calibri"/>
          <w:b/>
          <w:bCs/>
          <w:noProof/>
          <w:sz w:val="18"/>
          <w:szCs w:val="18"/>
        </w:rPr>
        <w:t>72</w:t>
      </w:r>
      <w:r w:rsidRPr="00A96E69">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Ficha de Proyecto ID P-SEC 009</w:t>
      </w:r>
      <w:bookmarkEnd w:id="647"/>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804"/>
      </w:tblGrid>
      <w:tr w:rsidRPr="00222E47" w:rsidR="005E3BD6" w:rsidTr="00DD4B7D" w14:paraId="4789F258" w14:textId="77777777">
        <w:trPr>
          <w:trHeight w:val="300"/>
        </w:trPr>
        <w:tc>
          <w:tcPr>
            <w:tcW w:w="9214"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bottom"/>
            <w:hideMark/>
          </w:tcPr>
          <w:p w:rsidRPr="00222E47" w:rsidR="005E3BD6" w:rsidP="00DD4B7D" w:rsidRDefault="005E3BD6" w14:paraId="2395DE9D" w14:textId="77777777">
            <w:pPr>
              <w:ind w:right="-204"/>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DD4B7D" w14:paraId="3430866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1222F47C"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ID PROYECTO</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B4771C" w:rsidRDefault="005E3BD6" w14:paraId="6209FCB5" w14:textId="77777777">
            <w:pPr>
              <w:rPr>
                <w:rFonts w:ascii="Nunito Sans" w:hAnsi="Nunito Sans" w:eastAsia="Arial" w:cs="Calibri"/>
                <w:b/>
                <w:bCs/>
                <w:sz w:val="18"/>
                <w:szCs w:val="18"/>
              </w:rPr>
            </w:pPr>
            <w:r w:rsidRPr="00222E47">
              <w:rPr>
                <w:rFonts w:ascii="Nunito Sans" w:hAnsi="Nunito Sans" w:eastAsia="Arial" w:cs="Calibri"/>
                <w:b/>
                <w:bCs/>
                <w:sz w:val="18"/>
                <w:szCs w:val="18"/>
              </w:rPr>
              <w:t>P-SEC 009</w:t>
            </w:r>
          </w:p>
        </w:tc>
      </w:tr>
      <w:tr w:rsidRPr="00222E47" w:rsidR="005E3BD6" w:rsidTr="00DD4B7D" w14:paraId="240E09CD"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44A18878"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Nombre del Proyecto</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03FD3605" w14:textId="77777777">
            <w:pPr>
              <w:jc w:val="both"/>
              <w:rPr>
                <w:rFonts w:ascii="Nunito Sans" w:hAnsi="Nunito Sans" w:eastAsia="Arial" w:cs="Calibri"/>
                <w:b/>
                <w:bCs/>
                <w:sz w:val="18"/>
                <w:szCs w:val="18"/>
              </w:rPr>
            </w:pPr>
            <w:r w:rsidRPr="00222E47">
              <w:rPr>
                <w:rFonts w:ascii="Nunito Sans" w:hAnsi="Nunito Sans" w:eastAsia="Arial" w:cs="Calibri"/>
                <w:b/>
                <w:bCs/>
                <w:sz w:val="18"/>
                <w:szCs w:val="18"/>
              </w:rPr>
              <w:t>Implementación de una ventanilla única de trámites y servicios ciudadanos digitales.</w:t>
            </w:r>
          </w:p>
        </w:tc>
      </w:tr>
      <w:tr w:rsidRPr="00222E47" w:rsidR="005E3BD6" w:rsidTr="00DD4B7D" w14:paraId="02F7D5C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499AC8DA"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Descripción o Temática del Proyecto</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521822B2" w14:textId="77777777">
            <w:pPr>
              <w:jc w:val="both"/>
              <w:rPr>
                <w:rFonts w:ascii="Nunito Sans" w:hAnsi="Nunito Sans" w:eastAsia="Arial" w:cs="Calibri"/>
                <w:sz w:val="18"/>
                <w:szCs w:val="18"/>
              </w:rPr>
            </w:pPr>
            <w:r w:rsidRPr="00222E47">
              <w:rPr>
                <w:rFonts w:ascii="Nunito Sans" w:hAnsi="Nunito Sans" w:eastAsia="Arial" w:cs="Calibri"/>
                <w:sz w:val="18"/>
                <w:szCs w:val="18"/>
              </w:rPr>
              <w:t>Realizar la planeación, requerimientos, análisis, diseño, implementación y mantenimiento de soluciones digitales que generen valor público en un entorno de confianza digital, para el beneficio de los sujetos obligados y de la ciudadanía</w:t>
            </w:r>
          </w:p>
        </w:tc>
      </w:tr>
      <w:tr w:rsidRPr="00222E47" w:rsidR="005E3BD6" w:rsidTr="00DD4B7D" w14:paraId="02AEED37"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043896B"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Objeto y Alcance</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39FB8F22" w14:textId="77777777">
            <w:pPr>
              <w:jc w:val="both"/>
              <w:rPr>
                <w:rFonts w:ascii="Nunito Sans" w:hAnsi="Nunito Sans" w:eastAsia="Arial" w:cs="Calibri"/>
                <w:sz w:val="18"/>
                <w:szCs w:val="18"/>
              </w:rPr>
            </w:pPr>
            <w:r w:rsidRPr="00222E47">
              <w:rPr>
                <w:rFonts w:ascii="Nunito Sans" w:hAnsi="Nunito Sans" w:eastAsia="Arial" w:cs="Calibri"/>
                <w:sz w:val="18"/>
                <w:szCs w:val="18"/>
              </w:rPr>
              <w:t>Diseñar e implementar la ventanilla única de trámites y servicios ciudadanos digitales.</w:t>
            </w:r>
          </w:p>
        </w:tc>
      </w:tr>
      <w:tr w:rsidRPr="00222E47" w:rsidR="005E3BD6" w:rsidTr="00DD4B7D" w14:paraId="7AE76F84"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602BBC4"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Prioridad</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31EA0C52" w14:textId="77777777">
            <w:pPr>
              <w:jc w:val="both"/>
              <w:rPr>
                <w:rFonts w:ascii="Nunito Sans" w:hAnsi="Nunito Sans" w:eastAsia="Arial" w:cs="Calibri"/>
                <w:sz w:val="18"/>
                <w:szCs w:val="18"/>
              </w:rPr>
            </w:pPr>
            <w:r w:rsidRPr="00222E47">
              <w:rPr>
                <w:rFonts w:ascii="Nunito Sans" w:hAnsi="Nunito Sans" w:eastAsia="Arial" w:cs="Calibri"/>
                <w:sz w:val="18"/>
                <w:szCs w:val="18"/>
              </w:rPr>
              <w:t>ALTO</w:t>
            </w:r>
          </w:p>
        </w:tc>
      </w:tr>
      <w:tr w:rsidRPr="00222E47" w:rsidR="005E3BD6" w:rsidTr="00DD4B7D" w14:paraId="7D9F30E8"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1BAE10F8"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Recursos</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7FCDB0DD"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Servicios especializados con un equipo mínimo: </w:t>
            </w:r>
          </w:p>
          <w:p w:rsidRPr="00222E47" w:rsidR="005E3BD6" w:rsidP="00DD4B7D" w:rsidRDefault="005E3BD6" w14:paraId="11070606" w14:textId="77777777">
            <w:pPr>
              <w:jc w:val="both"/>
              <w:rPr>
                <w:rFonts w:ascii="Nunito Sans" w:hAnsi="Nunito Sans" w:eastAsia="Arial" w:cs="Calibri"/>
                <w:sz w:val="18"/>
                <w:szCs w:val="18"/>
              </w:rPr>
            </w:pPr>
            <w:r w:rsidRPr="00222E47">
              <w:rPr>
                <w:rFonts w:ascii="Nunito Sans" w:hAnsi="Nunito Sans" w:eastAsia="Arial" w:cs="Calibri"/>
                <w:sz w:val="18"/>
                <w:szCs w:val="18"/>
              </w:rPr>
              <w:t>Gestor de Proyectos de TI</w:t>
            </w:r>
          </w:p>
          <w:p w:rsidRPr="00222E47" w:rsidR="005E3BD6" w:rsidP="00DD4B7D" w:rsidRDefault="005E3BD6" w14:paraId="557ED1D8" w14:textId="77777777">
            <w:pPr>
              <w:jc w:val="both"/>
              <w:rPr>
                <w:rFonts w:ascii="Nunito Sans" w:hAnsi="Nunito Sans" w:eastAsia="Arial" w:cs="Calibri"/>
                <w:sz w:val="18"/>
                <w:szCs w:val="18"/>
              </w:rPr>
            </w:pPr>
            <w:r w:rsidRPr="00222E47">
              <w:rPr>
                <w:rFonts w:ascii="Nunito Sans" w:hAnsi="Nunito Sans" w:eastAsia="Arial" w:cs="Calibri"/>
                <w:sz w:val="18"/>
                <w:szCs w:val="18"/>
              </w:rPr>
              <w:lastRenderedPageBreak/>
              <w:t>Analista de Requerimientos</w:t>
            </w:r>
          </w:p>
          <w:p w:rsidRPr="00222E47" w:rsidR="005E3BD6" w:rsidP="00DD4B7D" w:rsidRDefault="005E3BD6" w14:paraId="7D45381D" w14:textId="77777777">
            <w:pPr>
              <w:jc w:val="both"/>
              <w:rPr>
                <w:rFonts w:ascii="Nunito Sans" w:hAnsi="Nunito Sans" w:eastAsia="Arial" w:cs="Calibri"/>
                <w:sz w:val="18"/>
                <w:szCs w:val="18"/>
              </w:rPr>
            </w:pPr>
            <w:r w:rsidRPr="00222E47">
              <w:rPr>
                <w:rFonts w:ascii="Nunito Sans" w:hAnsi="Nunito Sans" w:eastAsia="Arial" w:cs="Calibri"/>
                <w:sz w:val="18"/>
                <w:szCs w:val="18"/>
              </w:rPr>
              <w:t>Profesional en Seguridad Informática</w:t>
            </w:r>
          </w:p>
          <w:p w:rsidRPr="00222E47" w:rsidR="005E3BD6" w:rsidP="00DD4B7D" w:rsidRDefault="005E3BD6" w14:paraId="638698E9" w14:textId="77777777">
            <w:pPr>
              <w:jc w:val="both"/>
              <w:rPr>
                <w:rFonts w:ascii="Nunito Sans" w:hAnsi="Nunito Sans" w:eastAsia="Arial" w:cs="Calibri"/>
                <w:sz w:val="18"/>
                <w:szCs w:val="18"/>
              </w:rPr>
            </w:pPr>
            <w:r w:rsidRPr="00222E47">
              <w:rPr>
                <w:rFonts w:ascii="Nunito Sans" w:hAnsi="Nunito Sans" w:eastAsia="Arial" w:cs="Calibri"/>
                <w:sz w:val="18"/>
                <w:szCs w:val="18"/>
              </w:rPr>
              <w:t>Desarrollador Web</w:t>
            </w:r>
          </w:p>
          <w:p w:rsidRPr="00222E47" w:rsidR="005E3BD6" w:rsidP="00DD4B7D" w:rsidRDefault="005E3BD6" w14:paraId="3DA4FD88" w14:textId="77777777">
            <w:pPr>
              <w:jc w:val="both"/>
              <w:rPr>
                <w:rFonts w:ascii="Nunito Sans" w:hAnsi="Nunito Sans" w:eastAsia="Arial" w:cs="Calibri"/>
                <w:sz w:val="18"/>
                <w:szCs w:val="18"/>
              </w:rPr>
            </w:pPr>
            <w:r w:rsidRPr="00222E47">
              <w:rPr>
                <w:rFonts w:ascii="Nunito Sans" w:hAnsi="Nunito Sans" w:eastAsia="Arial" w:cs="Calibri"/>
                <w:sz w:val="18"/>
                <w:szCs w:val="18"/>
              </w:rPr>
              <w:t xml:space="preserve">Profesional en UX </w:t>
            </w:r>
          </w:p>
        </w:tc>
      </w:tr>
      <w:tr w:rsidRPr="00222E47" w:rsidR="005E3BD6" w:rsidTr="00DD4B7D" w14:paraId="1FEAFAF9"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5F2420B3"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lastRenderedPageBreak/>
              <w:t>Tiempo de Implementación</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08076CF0" w14:textId="77777777">
            <w:pPr>
              <w:jc w:val="both"/>
              <w:rPr>
                <w:rFonts w:ascii="Nunito Sans" w:hAnsi="Nunito Sans" w:eastAsia="Arial" w:cs="Calibri"/>
                <w:sz w:val="18"/>
                <w:szCs w:val="18"/>
              </w:rPr>
            </w:pPr>
            <w:r w:rsidRPr="00222E47">
              <w:rPr>
                <w:rFonts w:ascii="Nunito Sans" w:hAnsi="Nunito Sans" w:eastAsia="Arial" w:cs="Calibri"/>
                <w:sz w:val="18"/>
                <w:szCs w:val="18"/>
              </w:rPr>
              <w:t>48 Meses</w:t>
            </w:r>
          </w:p>
        </w:tc>
      </w:tr>
      <w:tr w:rsidRPr="00222E47" w:rsidR="005E3BD6" w:rsidTr="00DD4B7D" w14:paraId="2CBD8299"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506D028F"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Área Líder</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01080BE8" w14:textId="77777777">
            <w:pPr>
              <w:jc w:val="both"/>
              <w:rPr>
                <w:rFonts w:ascii="Nunito Sans" w:hAnsi="Nunito Sans" w:eastAsia="Arial" w:cs="Calibri"/>
                <w:sz w:val="18"/>
                <w:szCs w:val="18"/>
              </w:rPr>
            </w:pPr>
            <w:r w:rsidRPr="00222E47">
              <w:rPr>
                <w:rFonts w:ascii="Nunito Sans" w:hAnsi="Nunito Sans" w:eastAsia="Arial" w:cs="Calibri"/>
                <w:sz w:val="18"/>
                <w:szCs w:val="18"/>
              </w:rPr>
              <w:t>Grupo de Tecnologías de la Información y las Comunicaciones - TIC</w:t>
            </w:r>
          </w:p>
        </w:tc>
      </w:tr>
      <w:tr w:rsidRPr="00222E47" w:rsidR="005E3BD6" w:rsidTr="00DD4B7D" w14:paraId="3F60D9B0"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7D47EDB6"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Proyecto de Inversión</w:t>
            </w:r>
          </w:p>
        </w:tc>
        <w:tc>
          <w:tcPr>
            <w:tcW w:w="6804" w:type="dxa"/>
            <w:tcBorders>
              <w:left w:val="single" w:color="FFFFFF" w:themeColor="background1" w:sz="4" w:space="0"/>
            </w:tcBorders>
            <w:tcMar>
              <w:top w:w="0" w:type="dxa"/>
              <w:left w:w="60" w:type="dxa"/>
              <w:bottom w:w="0" w:type="dxa"/>
              <w:right w:w="60" w:type="dxa"/>
            </w:tcMar>
            <w:vAlign w:val="center"/>
            <w:hideMark/>
          </w:tcPr>
          <w:p w:rsidRPr="00222E47" w:rsidR="005E3BD6" w:rsidP="00DD4B7D" w:rsidRDefault="005E3BD6" w14:paraId="4B776B6C"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EF5DE4" w:rsidR="005E3BD6" w:rsidP="005E3BD6" w:rsidRDefault="005E3BD6" w14:paraId="018C0B69"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749E5FC8" w14:textId="77777777">
      <w:pPr>
        <w:jc w:val="both"/>
        <w:rPr>
          <w:rFonts w:ascii="Nunito Sans" w:hAnsi="Nunito Sans" w:eastAsia="Arial" w:cs="Calibri"/>
          <w:i/>
          <w:iCs/>
          <w:color w:val="FF0000"/>
          <w:sz w:val="22"/>
          <w:szCs w:val="22"/>
          <w:lang w:val="es-ES"/>
        </w:rPr>
      </w:pPr>
    </w:p>
    <w:p w:rsidRPr="00CB7427" w:rsidR="005E3BD6" w:rsidP="005E3BD6" w:rsidRDefault="005E04FF" w14:paraId="7ACD750A" w14:textId="0607FA2E">
      <w:pPr>
        <w:ind w:left="360" w:hanging="360"/>
        <w:jc w:val="center"/>
        <w:rPr>
          <w:rFonts w:ascii="Nunito Sans" w:hAnsi="Nunito Sans" w:cs="Calibri"/>
          <w:b/>
          <w:bCs/>
          <w:sz w:val="18"/>
          <w:szCs w:val="18"/>
        </w:rPr>
      </w:pPr>
      <w:bookmarkStart w:name="_Toc220664244" w:id="648"/>
      <w:r w:rsidRPr="005E04FF">
        <w:rPr>
          <w:rFonts w:ascii="Nunito Sans" w:hAnsi="Nunito Sans" w:cs="Calibri"/>
          <w:b/>
          <w:bCs/>
          <w:sz w:val="18"/>
          <w:szCs w:val="18"/>
        </w:rPr>
        <w:t xml:space="preserve">Tabla </w:t>
      </w:r>
      <w:r w:rsidRPr="005E04FF">
        <w:rPr>
          <w:rFonts w:ascii="Nunito Sans" w:hAnsi="Nunito Sans" w:cs="Calibri"/>
          <w:b/>
          <w:bCs/>
          <w:sz w:val="18"/>
          <w:szCs w:val="18"/>
        </w:rPr>
        <w:fldChar w:fldCharType="begin"/>
      </w:r>
      <w:r w:rsidRPr="005E04FF">
        <w:rPr>
          <w:rFonts w:ascii="Nunito Sans" w:hAnsi="Nunito Sans" w:cs="Calibri"/>
          <w:b/>
          <w:bCs/>
          <w:sz w:val="18"/>
          <w:szCs w:val="18"/>
        </w:rPr>
        <w:instrText xml:space="preserve"> SEQ Tabla \* ARABIC </w:instrText>
      </w:r>
      <w:r w:rsidRPr="005E04FF">
        <w:rPr>
          <w:rFonts w:ascii="Nunito Sans" w:hAnsi="Nunito Sans" w:cs="Calibri"/>
          <w:b/>
          <w:bCs/>
          <w:sz w:val="18"/>
          <w:szCs w:val="18"/>
        </w:rPr>
        <w:fldChar w:fldCharType="separate"/>
      </w:r>
      <w:r w:rsidR="00C57F7B">
        <w:rPr>
          <w:rFonts w:ascii="Nunito Sans" w:hAnsi="Nunito Sans" w:cs="Calibri"/>
          <w:b/>
          <w:bCs/>
          <w:noProof/>
          <w:sz w:val="18"/>
          <w:szCs w:val="18"/>
        </w:rPr>
        <w:t>73</w:t>
      </w:r>
      <w:r w:rsidRPr="005E04FF">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Ficha de Proyecto ID P-SEC 010</w:t>
      </w:r>
      <w:bookmarkEnd w:id="648"/>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804"/>
      </w:tblGrid>
      <w:tr w:rsidRPr="00222E47" w:rsidR="005E3BD6" w:rsidTr="00DD4B7D" w14:paraId="797340B7" w14:textId="77777777">
        <w:trPr>
          <w:trHeight w:val="300"/>
        </w:trPr>
        <w:tc>
          <w:tcPr>
            <w:tcW w:w="9214"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222E47" w:rsidR="005E3BD6" w:rsidP="00B4771C" w:rsidRDefault="005E3BD6" w14:paraId="370FEFE7" w14:textId="77777777">
            <w:pPr>
              <w:jc w:val="center"/>
              <w:rPr>
                <w:rFonts w:ascii="Nunito Sans" w:hAnsi="Nunito Sans" w:eastAsia="Arial" w:cs="Calibri"/>
                <w:b/>
                <w:bCs/>
                <w:color w:val="FFFFFF" w:themeColor="background1"/>
                <w:sz w:val="18"/>
                <w:szCs w:val="18"/>
              </w:rPr>
            </w:pPr>
            <w:r w:rsidRPr="00222E47">
              <w:rPr>
                <w:rFonts w:ascii="Nunito Sans" w:hAnsi="Nunito Sans" w:eastAsia="Arial" w:cs="Calibri"/>
                <w:b/>
                <w:bCs/>
                <w:color w:val="FFFFFF" w:themeColor="background1"/>
                <w:sz w:val="18"/>
                <w:szCs w:val="18"/>
              </w:rPr>
              <w:t>FICHA DE PROYECTO</w:t>
            </w:r>
          </w:p>
        </w:tc>
      </w:tr>
      <w:tr w:rsidRPr="00222E47" w:rsidR="005E3BD6" w:rsidTr="00DD4B7D" w14:paraId="43C94638"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5586977A"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ID PROYECTO</w:t>
            </w:r>
          </w:p>
        </w:tc>
        <w:tc>
          <w:tcPr>
            <w:tcW w:w="6804" w:type="dxa"/>
            <w:tcBorders>
              <w:left w:val="single" w:color="FFFFFF" w:themeColor="background1" w:sz="4" w:space="0"/>
            </w:tcBorders>
            <w:tcMar>
              <w:top w:w="0" w:type="dxa"/>
              <w:left w:w="60" w:type="dxa"/>
              <w:bottom w:w="0" w:type="dxa"/>
              <w:right w:w="60" w:type="dxa"/>
            </w:tcMar>
            <w:vAlign w:val="center"/>
          </w:tcPr>
          <w:p w:rsidRPr="00855857" w:rsidR="005E3BD6" w:rsidP="00B4771C" w:rsidRDefault="005E3BD6" w14:paraId="276E0BD9" w14:textId="088619DE">
            <w:pPr>
              <w:rPr>
                <w:rFonts w:ascii="Nunito Sans" w:hAnsi="Nunito Sans" w:eastAsia="Arial" w:cs="Calibri"/>
                <w:b/>
                <w:bCs/>
                <w:sz w:val="18"/>
                <w:szCs w:val="18"/>
              </w:rPr>
            </w:pPr>
            <w:r w:rsidRPr="00855857">
              <w:rPr>
                <w:rFonts w:ascii="Nunito Sans" w:hAnsi="Nunito Sans" w:eastAsia="Arial" w:cs="Calibri"/>
                <w:b/>
                <w:bCs/>
                <w:sz w:val="18"/>
                <w:szCs w:val="18"/>
              </w:rPr>
              <w:t>P-SEC 010</w:t>
            </w:r>
          </w:p>
        </w:tc>
      </w:tr>
      <w:tr w:rsidRPr="00222E47" w:rsidR="005E3BD6" w:rsidTr="00DD4B7D" w14:paraId="36C0607F"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1B97A9A3"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Nombre del Proyecto</w:t>
            </w:r>
          </w:p>
        </w:tc>
        <w:tc>
          <w:tcPr>
            <w:tcW w:w="6804" w:type="dxa"/>
            <w:tcBorders>
              <w:left w:val="single" w:color="FFFFFF" w:themeColor="background1" w:sz="4" w:space="0"/>
            </w:tcBorders>
            <w:tcMar>
              <w:top w:w="0" w:type="dxa"/>
              <w:left w:w="60" w:type="dxa"/>
              <w:bottom w:w="0" w:type="dxa"/>
              <w:right w:w="60" w:type="dxa"/>
            </w:tcMar>
            <w:vAlign w:val="center"/>
          </w:tcPr>
          <w:p w:rsidRPr="00855857" w:rsidR="005E3BD6" w:rsidP="00DD4B7D" w:rsidRDefault="005E3BD6" w14:paraId="24539D25" w14:textId="77777777">
            <w:pPr>
              <w:jc w:val="both"/>
              <w:rPr>
                <w:rFonts w:ascii="Nunito Sans" w:hAnsi="Nunito Sans" w:eastAsia="Arial" w:cs="Calibri"/>
                <w:b/>
                <w:bCs/>
                <w:sz w:val="18"/>
                <w:szCs w:val="18"/>
              </w:rPr>
            </w:pPr>
            <w:r w:rsidRPr="00855857">
              <w:rPr>
                <w:rFonts w:ascii="Nunito Sans" w:hAnsi="Nunito Sans" w:eastAsia="Arial" w:cs="Calibri"/>
                <w:b/>
                <w:bCs/>
                <w:sz w:val="18"/>
                <w:szCs w:val="18"/>
              </w:rPr>
              <w:t>Acompañamiento en la adopción del proceso de Arquitectura Empresarial (AE) en las entidades</w:t>
            </w:r>
          </w:p>
        </w:tc>
      </w:tr>
      <w:tr w:rsidRPr="00222E47" w:rsidR="005E3BD6" w:rsidTr="00DD4B7D" w14:paraId="2495FDB3"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D42A9A1"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Descripción o Temática del Proyecto</w:t>
            </w:r>
          </w:p>
        </w:tc>
        <w:tc>
          <w:tcPr>
            <w:tcW w:w="6804" w:type="dxa"/>
            <w:tcBorders>
              <w:left w:val="single" w:color="FFFFFF" w:themeColor="background1" w:sz="4" w:space="0"/>
            </w:tcBorders>
            <w:tcMar>
              <w:top w:w="0" w:type="dxa"/>
              <w:left w:w="60" w:type="dxa"/>
              <w:bottom w:w="0" w:type="dxa"/>
              <w:right w:w="60" w:type="dxa"/>
            </w:tcMar>
            <w:vAlign w:val="center"/>
          </w:tcPr>
          <w:p w:rsidRPr="00222E47" w:rsidR="005E3BD6" w:rsidP="00DD4B7D" w:rsidRDefault="005E3BD6" w14:paraId="51722F86" w14:textId="1973DE70">
            <w:pPr>
              <w:jc w:val="both"/>
              <w:rPr>
                <w:rFonts w:ascii="Nunito Sans" w:hAnsi="Nunito Sans" w:eastAsia="Arial" w:cs="Calibri"/>
                <w:sz w:val="18"/>
                <w:szCs w:val="18"/>
              </w:rPr>
            </w:pPr>
            <w:r w:rsidRPr="2FC2A464">
              <w:rPr>
                <w:rFonts w:ascii="Nunito Sans" w:hAnsi="Nunito Sans" w:eastAsia="Arial" w:cs="Calibri"/>
                <w:sz w:val="18"/>
                <w:szCs w:val="18"/>
              </w:rPr>
              <w:t>Brindar acompañamiento técnico, metodológico y estratégico a las entidades del sector minero-energético para la adopción, implementación y maduración del proceso de Arquitectura Empresarial (AE). El proyecto incluye la orientación en el uso del Modelo de Referencia de Arquitectura Empresarial para el Sector, la estandarización de artefactos, la definición de capacidades, la identificación de brechas y la alineación con la Política de Gobierno Digital y el M</w:t>
            </w:r>
            <w:r w:rsidRPr="2FC2A464" w:rsidR="2D6BCD54">
              <w:rPr>
                <w:rFonts w:ascii="Nunito Sans" w:hAnsi="Nunito Sans" w:eastAsia="Arial" w:cs="Calibri"/>
                <w:sz w:val="18"/>
                <w:szCs w:val="18"/>
              </w:rPr>
              <w:t>R</w:t>
            </w:r>
            <w:r w:rsidRPr="2FC2A464">
              <w:rPr>
                <w:rFonts w:ascii="Nunito Sans" w:hAnsi="Nunito Sans" w:eastAsia="Arial" w:cs="Calibri"/>
                <w:sz w:val="18"/>
                <w:szCs w:val="18"/>
              </w:rPr>
              <w:t>AE</w:t>
            </w:r>
          </w:p>
        </w:tc>
      </w:tr>
      <w:tr w:rsidRPr="00222E47" w:rsidR="005E3BD6" w:rsidTr="00DD4B7D" w14:paraId="49B37726"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459ACC0E"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Prioridad</w:t>
            </w:r>
          </w:p>
        </w:tc>
        <w:tc>
          <w:tcPr>
            <w:tcW w:w="6804" w:type="dxa"/>
            <w:tcBorders>
              <w:left w:val="single" w:color="FFFFFF" w:themeColor="background1" w:sz="4" w:space="0"/>
            </w:tcBorders>
            <w:tcMar>
              <w:top w:w="0" w:type="dxa"/>
              <w:left w:w="60" w:type="dxa"/>
              <w:bottom w:w="0" w:type="dxa"/>
              <w:right w:w="60" w:type="dxa"/>
            </w:tcMar>
            <w:vAlign w:val="center"/>
          </w:tcPr>
          <w:p w:rsidRPr="00222E47" w:rsidR="005E3BD6" w:rsidP="00DD4B7D" w:rsidRDefault="005E3BD6" w14:paraId="5E930854" w14:textId="77777777">
            <w:pPr>
              <w:jc w:val="both"/>
              <w:rPr>
                <w:rFonts w:ascii="Nunito Sans" w:hAnsi="Nunito Sans" w:eastAsia="Arial" w:cs="Calibri"/>
                <w:sz w:val="18"/>
                <w:szCs w:val="18"/>
              </w:rPr>
            </w:pPr>
            <w:r w:rsidRPr="00222E47">
              <w:rPr>
                <w:rFonts w:ascii="Nunito Sans" w:hAnsi="Nunito Sans" w:eastAsia="Arial" w:cs="Calibri"/>
                <w:sz w:val="18"/>
                <w:szCs w:val="18"/>
              </w:rPr>
              <w:t>ALTA</w:t>
            </w:r>
          </w:p>
        </w:tc>
      </w:tr>
      <w:tr w:rsidRPr="00222E47" w:rsidR="005E3BD6" w:rsidTr="00DD4B7D" w14:paraId="4688DA4C"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4EED795"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Recursos</w:t>
            </w:r>
          </w:p>
        </w:tc>
        <w:tc>
          <w:tcPr>
            <w:tcW w:w="6804" w:type="dxa"/>
            <w:tcBorders>
              <w:left w:val="single" w:color="FFFFFF" w:themeColor="background1" w:sz="4" w:space="0"/>
            </w:tcBorders>
            <w:tcMar>
              <w:top w:w="0" w:type="dxa"/>
              <w:left w:w="60" w:type="dxa"/>
              <w:bottom w:w="0" w:type="dxa"/>
              <w:right w:w="60" w:type="dxa"/>
            </w:tcMar>
            <w:vAlign w:val="center"/>
          </w:tcPr>
          <w:p w:rsidRPr="00222E47" w:rsidR="005E3BD6" w:rsidP="00DD4B7D" w:rsidRDefault="005E3BD6" w14:paraId="59D11C62" w14:textId="77777777">
            <w:pPr>
              <w:jc w:val="both"/>
              <w:rPr>
                <w:rFonts w:ascii="Nunito Sans" w:hAnsi="Nunito Sans" w:eastAsia="Arial" w:cs="Calibri"/>
                <w:sz w:val="18"/>
                <w:szCs w:val="18"/>
              </w:rPr>
            </w:pPr>
            <w:r w:rsidRPr="00222E47">
              <w:rPr>
                <w:rFonts w:ascii="Nunito Sans" w:hAnsi="Nunito Sans" w:eastAsia="Arial" w:cs="Calibri"/>
                <w:sz w:val="18"/>
                <w:szCs w:val="18"/>
              </w:rPr>
              <w:t>Servicios especializados con un equipo mínimo:</w:t>
            </w:r>
          </w:p>
          <w:p w:rsidRPr="00222E47" w:rsidR="005E3BD6" w:rsidRDefault="005E3BD6" w14:paraId="463AD0B7" w14:textId="77777777">
            <w:pPr>
              <w:numPr>
                <w:ilvl w:val="0"/>
                <w:numId w:val="18"/>
              </w:numPr>
              <w:jc w:val="both"/>
              <w:rPr>
                <w:rFonts w:ascii="Nunito Sans" w:hAnsi="Nunito Sans" w:eastAsia="Arial" w:cs="Calibri"/>
                <w:sz w:val="18"/>
                <w:szCs w:val="18"/>
              </w:rPr>
            </w:pPr>
            <w:r w:rsidRPr="00222E47">
              <w:rPr>
                <w:rFonts w:ascii="Nunito Sans" w:hAnsi="Nunito Sans" w:eastAsia="Arial" w:cs="Calibri"/>
                <w:sz w:val="18"/>
                <w:szCs w:val="18"/>
              </w:rPr>
              <w:t>Arquitecto Empresarial Senior</w:t>
            </w:r>
          </w:p>
          <w:p w:rsidRPr="00222E47" w:rsidR="005E3BD6" w:rsidRDefault="005E3BD6" w14:paraId="5965D2A6" w14:textId="77777777">
            <w:pPr>
              <w:numPr>
                <w:ilvl w:val="0"/>
                <w:numId w:val="18"/>
              </w:numPr>
              <w:jc w:val="both"/>
              <w:rPr>
                <w:rFonts w:ascii="Nunito Sans" w:hAnsi="Nunito Sans" w:eastAsia="Arial" w:cs="Calibri"/>
                <w:sz w:val="18"/>
                <w:szCs w:val="18"/>
              </w:rPr>
            </w:pPr>
            <w:r w:rsidRPr="00222E47">
              <w:rPr>
                <w:rFonts w:ascii="Nunito Sans" w:hAnsi="Nunito Sans" w:eastAsia="Arial" w:cs="Calibri"/>
                <w:sz w:val="18"/>
                <w:szCs w:val="18"/>
              </w:rPr>
              <w:t>Arquitecto de Datos</w:t>
            </w:r>
          </w:p>
          <w:p w:rsidRPr="00222E47" w:rsidR="005E3BD6" w:rsidRDefault="005E3BD6" w14:paraId="324EFFCD" w14:textId="77777777">
            <w:pPr>
              <w:numPr>
                <w:ilvl w:val="0"/>
                <w:numId w:val="18"/>
              </w:numPr>
              <w:jc w:val="both"/>
              <w:rPr>
                <w:rFonts w:ascii="Nunito Sans" w:hAnsi="Nunito Sans" w:eastAsia="Arial" w:cs="Calibri"/>
                <w:sz w:val="18"/>
                <w:szCs w:val="18"/>
              </w:rPr>
            </w:pPr>
            <w:r w:rsidRPr="00222E47">
              <w:rPr>
                <w:rFonts w:ascii="Nunito Sans" w:hAnsi="Nunito Sans" w:eastAsia="Arial" w:cs="Calibri"/>
                <w:sz w:val="18"/>
                <w:szCs w:val="18"/>
              </w:rPr>
              <w:t>Arquitecto de Soluciones</w:t>
            </w:r>
          </w:p>
          <w:p w:rsidRPr="00222E47" w:rsidR="005E3BD6" w:rsidRDefault="005E3BD6" w14:paraId="1BB8189E" w14:textId="77777777">
            <w:pPr>
              <w:numPr>
                <w:ilvl w:val="0"/>
                <w:numId w:val="18"/>
              </w:numPr>
              <w:jc w:val="both"/>
              <w:rPr>
                <w:rFonts w:ascii="Nunito Sans" w:hAnsi="Nunito Sans" w:eastAsia="Arial" w:cs="Calibri"/>
                <w:sz w:val="18"/>
                <w:szCs w:val="18"/>
              </w:rPr>
            </w:pPr>
            <w:r w:rsidRPr="00222E47">
              <w:rPr>
                <w:rFonts w:ascii="Nunito Sans" w:hAnsi="Nunito Sans" w:eastAsia="Arial" w:cs="Calibri"/>
                <w:sz w:val="18"/>
                <w:szCs w:val="18"/>
              </w:rPr>
              <w:t>Especialista en Planeación Estratégica de TI</w:t>
            </w:r>
          </w:p>
          <w:p w:rsidRPr="00222E47" w:rsidR="005E3BD6" w:rsidRDefault="005E3BD6" w14:paraId="00952145" w14:textId="77777777">
            <w:pPr>
              <w:numPr>
                <w:ilvl w:val="0"/>
                <w:numId w:val="18"/>
              </w:numPr>
              <w:jc w:val="both"/>
              <w:rPr>
                <w:rFonts w:ascii="Nunito Sans" w:hAnsi="Nunito Sans" w:eastAsia="Arial" w:cs="Calibri"/>
                <w:sz w:val="18"/>
                <w:szCs w:val="18"/>
              </w:rPr>
            </w:pPr>
            <w:r w:rsidRPr="00222E47">
              <w:rPr>
                <w:rFonts w:ascii="Nunito Sans" w:hAnsi="Nunito Sans" w:eastAsia="Arial" w:cs="Calibri"/>
                <w:sz w:val="18"/>
                <w:szCs w:val="18"/>
              </w:rPr>
              <w:t>Analista de Procesos y Capacidades</w:t>
            </w:r>
          </w:p>
          <w:p w:rsidRPr="00222E47" w:rsidR="005E3BD6" w:rsidRDefault="005E3BD6" w14:paraId="0C30C882" w14:textId="4AEF175B">
            <w:pPr>
              <w:numPr>
                <w:ilvl w:val="0"/>
                <w:numId w:val="18"/>
              </w:numPr>
              <w:jc w:val="both"/>
              <w:rPr>
                <w:rFonts w:ascii="Nunito Sans" w:hAnsi="Nunito Sans" w:eastAsia="Arial" w:cs="Calibri"/>
                <w:sz w:val="18"/>
                <w:szCs w:val="18"/>
              </w:rPr>
            </w:pPr>
            <w:r w:rsidRPr="00222E47">
              <w:rPr>
                <w:rFonts w:ascii="Nunito Sans" w:hAnsi="Nunito Sans" w:eastAsia="Arial" w:cs="Calibri"/>
                <w:sz w:val="18"/>
                <w:szCs w:val="18"/>
              </w:rPr>
              <w:t>Facilitador de Transferencia de Conocimiento</w:t>
            </w:r>
          </w:p>
        </w:tc>
      </w:tr>
      <w:tr w:rsidRPr="00222E47" w:rsidR="005E3BD6" w:rsidTr="00DD4B7D" w14:paraId="234116DA"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B2B82DC"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Tiempo de Implementación</w:t>
            </w:r>
          </w:p>
        </w:tc>
        <w:tc>
          <w:tcPr>
            <w:tcW w:w="6804" w:type="dxa"/>
            <w:tcBorders>
              <w:left w:val="single" w:color="FFFFFF" w:themeColor="background1" w:sz="4" w:space="0"/>
            </w:tcBorders>
            <w:tcMar>
              <w:top w:w="0" w:type="dxa"/>
              <w:left w:w="60" w:type="dxa"/>
              <w:bottom w:w="0" w:type="dxa"/>
              <w:right w:w="60" w:type="dxa"/>
            </w:tcMar>
            <w:vAlign w:val="center"/>
          </w:tcPr>
          <w:p w:rsidRPr="00222E47" w:rsidR="005E3BD6" w:rsidP="00DD4B7D" w:rsidRDefault="005E3BD6" w14:paraId="1F47DEF5" w14:textId="77777777">
            <w:pPr>
              <w:jc w:val="both"/>
              <w:rPr>
                <w:rFonts w:ascii="Nunito Sans" w:hAnsi="Nunito Sans" w:eastAsia="Arial" w:cs="Calibri"/>
                <w:sz w:val="18"/>
                <w:szCs w:val="18"/>
              </w:rPr>
            </w:pPr>
            <w:r w:rsidRPr="00222E47">
              <w:rPr>
                <w:rFonts w:ascii="Nunito Sans" w:hAnsi="Nunito Sans" w:eastAsia="Arial" w:cs="Calibri"/>
                <w:sz w:val="18"/>
                <w:szCs w:val="18"/>
              </w:rPr>
              <w:t>36 Meses</w:t>
            </w:r>
          </w:p>
        </w:tc>
      </w:tr>
      <w:tr w:rsidRPr="00222E47" w:rsidR="005E3BD6" w:rsidTr="00DD4B7D" w14:paraId="6C5C616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1E5BC27C"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Área Líder</w:t>
            </w:r>
          </w:p>
        </w:tc>
        <w:tc>
          <w:tcPr>
            <w:tcW w:w="6804" w:type="dxa"/>
            <w:tcBorders>
              <w:left w:val="single" w:color="FFFFFF" w:themeColor="background1" w:sz="4" w:space="0"/>
            </w:tcBorders>
            <w:tcMar>
              <w:top w:w="0" w:type="dxa"/>
              <w:left w:w="60" w:type="dxa"/>
              <w:bottom w:w="0" w:type="dxa"/>
              <w:right w:w="60" w:type="dxa"/>
            </w:tcMar>
            <w:vAlign w:val="center"/>
          </w:tcPr>
          <w:p w:rsidRPr="00222E47" w:rsidR="005E3BD6" w:rsidP="00DD4B7D" w:rsidRDefault="005E3BD6" w14:paraId="4140C1EC" w14:textId="77777777">
            <w:pPr>
              <w:jc w:val="both"/>
              <w:rPr>
                <w:rFonts w:ascii="Nunito Sans" w:hAnsi="Nunito Sans" w:eastAsia="Arial" w:cs="Calibri"/>
                <w:sz w:val="18"/>
                <w:szCs w:val="18"/>
              </w:rPr>
            </w:pPr>
            <w:r w:rsidRPr="00222E47">
              <w:rPr>
                <w:rFonts w:ascii="Nunito Sans" w:hAnsi="Nunito Sans" w:eastAsia="Arial" w:cs="Calibri"/>
                <w:sz w:val="18"/>
                <w:szCs w:val="18"/>
              </w:rPr>
              <w:t>Grupo de Tecnologías de la Información y las Comunicaciones – TIC, Ministerio de Minas y Energía</w:t>
            </w:r>
          </w:p>
        </w:tc>
      </w:tr>
      <w:tr w:rsidRPr="00222E47" w:rsidR="005E3BD6" w:rsidTr="00DD4B7D" w14:paraId="63332D03"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2F10E6F6"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Proyecto de Inversión</w:t>
            </w:r>
          </w:p>
        </w:tc>
        <w:tc>
          <w:tcPr>
            <w:tcW w:w="6804" w:type="dxa"/>
            <w:tcBorders>
              <w:left w:val="single" w:color="FFFFFF" w:themeColor="background1" w:sz="4" w:space="0"/>
            </w:tcBorders>
            <w:tcMar>
              <w:top w:w="0" w:type="dxa"/>
              <w:left w:w="60" w:type="dxa"/>
              <w:bottom w:w="0" w:type="dxa"/>
              <w:right w:w="60" w:type="dxa"/>
            </w:tcMar>
            <w:vAlign w:val="center"/>
          </w:tcPr>
          <w:p w:rsidRPr="00222E47" w:rsidR="005E3BD6" w:rsidP="00DD4B7D" w:rsidRDefault="005E3BD6" w14:paraId="367936AC" w14:textId="77777777">
            <w:pPr>
              <w:jc w:val="both"/>
              <w:rPr>
                <w:rFonts w:ascii="Nunito Sans" w:hAnsi="Nunito Sans" w:eastAsia="Arial" w:cs="Calibri"/>
                <w:sz w:val="18"/>
                <w:szCs w:val="18"/>
              </w:rPr>
            </w:pPr>
            <w:r w:rsidRPr="00222E47">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EF5DE4" w:rsidR="005E3BD6" w:rsidP="005E3BD6" w:rsidRDefault="005E3BD6" w14:paraId="3D52C5B3"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2B77364D" w14:textId="77777777">
      <w:pPr>
        <w:jc w:val="both"/>
        <w:rPr>
          <w:rFonts w:ascii="Nunito Sans" w:hAnsi="Nunito Sans" w:eastAsia="Arial" w:cs="Calibri"/>
          <w:i/>
          <w:iCs/>
          <w:color w:val="FF0000"/>
          <w:sz w:val="22"/>
          <w:szCs w:val="22"/>
          <w:lang w:val="es-ES"/>
        </w:rPr>
      </w:pPr>
    </w:p>
    <w:p w:rsidRPr="00CB7427" w:rsidR="005E3BD6" w:rsidP="005E3BD6" w:rsidRDefault="005025CF" w14:paraId="176AEC63" w14:textId="6977EAAF">
      <w:pPr>
        <w:ind w:left="360" w:hanging="360"/>
        <w:jc w:val="center"/>
        <w:rPr>
          <w:rFonts w:ascii="Nunito Sans" w:hAnsi="Nunito Sans" w:cs="Calibri"/>
          <w:b/>
          <w:bCs/>
          <w:sz w:val="18"/>
          <w:szCs w:val="18"/>
        </w:rPr>
      </w:pPr>
      <w:bookmarkStart w:name="_Toc220664245" w:id="649"/>
      <w:r w:rsidRPr="005025CF">
        <w:rPr>
          <w:rFonts w:ascii="Nunito Sans" w:hAnsi="Nunito Sans" w:cs="Calibri"/>
          <w:b/>
          <w:bCs/>
          <w:sz w:val="18"/>
          <w:szCs w:val="18"/>
        </w:rPr>
        <w:t xml:space="preserve">Tabla </w:t>
      </w:r>
      <w:r w:rsidRPr="005025CF">
        <w:rPr>
          <w:rFonts w:ascii="Nunito Sans" w:hAnsi="Nunito Sans" w:cs="Calibri"/>
          <w:b/>
          <w:bCs/>
          <w:sz w:val="18"/>
          <w:szCs w:val="18"/>
        </w:rPr>
        <w:fldChar w:fldCharType="begin"/>
      </w:r>
      <w:r w:rsidRPr="005025CF">
        <w:rPr>
          <w:rFonts w:ascii="Nunito Sans" w:hAnsi="Nunito Sans" w:cs="Calibri"/>
          <w:b/>
          <w:bCs/>
          <w:sz w:val="18"/>
          <w:szCs w:val="18"/>
        </w:rPr>
        <w:instrText xml:space="preserve"> SEQ Tabla \* ARABIC </w:instrText>
      </w:r>
      <w:r w:rsidRPr="005025CF">
        <w:rPr>
          <w:rFonts w:ascii="Nunito Sans" w:hAnsi="Nunito Sans" w:cs="Calibri"/>
          <w:b/>
          <w:bCs/>
          <w:sz w:val="18"/>
          <w:szCs w:val="18"/>
        </w:rPr>
        <w:fldChar w:fldCharType="separate"/>
      </w:r>
      <w:r w:rsidR="00C57F7B">
        <w:rPr>
          <w:rFonts w:ascii="Nunito Sans" w:hAnsi="Nunito Sans" w:cs="Calibri"/>
          <w:b/>
          <w:bCs/>
          <w:noProof/>
          <w:sz w:val="18"/>
          <w:szCs w:val="18"/>
        </w:rPr>
        <w:t>74</w:t>
      </w:r>
      <w:r w:rsidRPr="005025CF">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Ficha de Proyecto ID P-SEC 011</w:t>
      </w:r>
      <w:bookmarkEnd w:id="649"/>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804"/>
      </w:tblGrid>
      <w:tr w:rsidRPr="007E3FC8" w:rsidR="005E3BD6" w:rsidTr="00DD4B7D" w14:paraId="70B53C74" w14:textId="77777777">
        <w:trPr>
          <w:trHeight w:val="300"/>
        </w:trPr>
        <w:tc>
          <w:tcPr>
            <w:tcW w:w="9214"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92EDC" w:rsidR="005E3BD6" w:rsidP="00B4771C" w:rsidRDefault="005E3BD6" w14:paraId="7BFB3F38" w14:textId="77777777">
            <w:pPr>
              <w:jc w:val="center"/>
              <w:rPr>
                <w:rFonts w:ascii="Nunito Sans" w:hAnsi="Nunito Sans" w:eastAsia="Arial" w:cs="Calibri"/>
                <w:b/>
                <w:bCs/>
                <w:sz w:val="18"/>
                <w:szCs w:val="18"/>
              </w:rPr>
            </w:pPr>
            <w:r w:rsidRPr="00F92EDC">
              <w:rPr>
                <w:rFonts w:ascii="Nunito Sans" w:hAnsi="Nunito Sans" w:eastAsia="Arial" w:cs="Calibri"/>
                <w:b/>
                <w:bCs/>
                <w:color w:val="FFFFFF" w:themeColor="background1"/>
                <w:sz w:val="18"/>
                <w:szCs w:val="18"/>
              </w:rPr>
              <w:t>FICHA DE PROYECTO</w:t>
            </w:r>
          </w:p>
        </w:tc>
      </w:tr>
      <w:tr w:rsidRPr="007E3FC8" w:rsidR="005E3BD6" w:rsidTr="00DD4B7D" w14:paraId="382BED2A" w14:textId="77777777">
        <w:trPr>
          <w:trHeight w:val="300"/>
        </w:trPr>
        <w:tc>
          <w:tcPr>
            <w:tcW w:w="2410" w:type="dxa"/>
            <w:tcBorders>
              <w:top w:val="single" w:color="FFFFFF" w:themeColor="background1" w:sz="4" w:space="0"/>
              <w:bottom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73DD2ABE"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ID PROYECTO</w:t>
            </w:r>
          </w:p>
        </w:tc>
        <w:tc>
          <w:tcPr>
            <w:tcW w:w="6804" w:type="dxa"/>
            <w:tcBorders>
              <w:top w:val="single" w:color="FFFFFF" w:themeColor="background1" w:sz="4" w:space="0"/>
            </w:tcBorders>
            <w:tcMar>
              <w:top w:w="0" w:type="dxa"/>
              <w:left w:w="60" w:type="dxa"/>
              <w:bottom w:w="0" w:type="dxa"/>
              <w:right w:w="60" w:type="dxa"/>
            </w:tcMar>
            <w:vAlign w:val="center"/>
          </w:tcPr>
          <w:p w:rsidRPr="00855857" w:rsidR="005E3BD6" w:rsidP="00B4771C" w:rsidRDefault="005E3BD6" w14:paraId="06BDBDED" w14:textId="77777777">
            <w:pPr>
              <w:rPr>
                <w:rFonts w:ascii="Nunito Sans" w:hAnsi="Nunito Sans" w:eastAsia="Arial" w:cs="Calibri"/>
                <w:b/>
                <w:bCs/>
                <w:sz w:val="18"/>
                <w:szCs w:val="18"/>
              </w:rPr>
            </w:pPr>
            <w:r w:rsidRPr="00855857">
              <w:rPr>
                <w:rFonts w:ascii="Nunito Sans" w:hAnsi="Nunito Sans" w:eastAsia="Arial" w:cs="Calibri"/>
                <w:b/>
                <w:bCs/>
                <w:sz w:val="18"/>
                <w:szCs w:val="18"/>
              </w:rPr>
              <w:t>P-SEC 011</w:t>
            </w:r>
          </w:p>
        </w:tc>
      </w:tr>
      <w:tr w:rsidRPr="007E3FC8" w:rsidR="005E3BD6" w:rsidTr="00DD4B7D" w14:paraId="5DB91889"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0836235A"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Nombre del Proyecto</w:t>
            </w:r>
          </w:p>
        </w:tc>
        <w:tc>
          <w:tcPr>
            <w:tcW w:w="6804" w:type="dxa"/>
            <w:tcBorders>
              <w:left w:val="single" w:color="FFFFFF" w:themeColor="background1" w:sz="4" w:space="0"/>
            </w:tcBorders>
            <w:tcMar>
              <w:top w:w="0" w:type="dxa"/>
              <w:left w:w="60" w:type="dxa"/>
              <w:bottom w:w="0" w:type="dxa"/>
              <w:right w:w="60" w:type="dxa"/>
            </w:tcMar>
            <w:vAlign w:val="center"/>
          </w:tcPr>
          <w:p w:rsidRPr="00855857" w:rsidR="005E3BD6" w:rsidP="00DD4B7D" w:rsidRDefault="005E3BD6" w14:paraId="1FF6E4ED" w14:textId="77777777">
            <w:pPr>
              <w:jc w:val="both"/>
              <w:rPr>
                <w:rFonts w:ascii="Nunito Sans" w:hAnsi="Nunito Sans" w:eastAsia="Arial" w:cs="Calibri"/>
                <w:b/>
                <w:bCs/>
                <w:sz w:val="18"/>
                <w:szCs w:val="18"/>
              </w:rPr>
            </w:pPr>
            <w:r w:rsidRPr="00855857">
              <w:rPr>
                <w:rFonts w:ascii="Nunito Sans" w:hAnsi="Nunito Sans" w:eastAsia="Arial" w:cs="Calibri"/>
                <w:b/>
                <w:bCs/>
                <w:sz w:val="18"/>
                <w:szCs w:val="18"/>
              </w:rPr>
              <w:t>Maximizar el valor de la inversión sectorial en software, garantizando la continuidad operativa y la estandarización tecnológica</w:t>
            </w:r>
          </w:p>
        </w:tc>
      </w:tr>
      <w:tr w:rsidRPr="007E3FC8" w:rsidR="005E3BD6" w:rsidTr="00DD4B7D" w14:paraId="6490808C"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20EF21B4"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Descripción o Temática del Proyecto</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10ECB961" w14:textId="77777777">
            <w:pPr>
              <w:jc w:val="both"/>
              <w:rPr>
                <w:rFonts w:ascii="Nunito Sans" w:hAnsi="Nunito Sans" w:eastAsia="Arial" w:cs="Calibri"/>
                <w:sz w:val="18"/>
                <w:szCs w:val="18"/>
              </w:rPr>
            </w:pPr>
            <w:r w:rsidRPr="00F92EDC">
              <w:rPr>
                <w:rFonts w:ascii="Nunito Sans" w:hAnsi="Nunito Sans" w:eastAsia="Arial" w:cs="Calibri"/>
                <w:sz w:val="18"/>
                <w:szCs w:val="18"/>
              </w:rPr>
              <w:t xml:space="preserve">El proyecto busca optimizar el uso, sostenibilidad y estandarización del software utilizado en el sector minero-energético, asegurando que las inversiones en desarrollo, licenciamiento, mantenimiento y soporte generen impacto real, continuidad operativa y alineación tecnológica entre las entidades. Incluye la definición de lineamientos sectoriales para adquisiciones y desarrollos, la evaluación </w:t>
            </w:r>
            <w:r w:rsidRPr="00F92EDC">
              <w:rPr>
                <w:rFonts w:ascii="Nunito Sans" w:hAnsi="Nunito Sans" w:eastAsia="Arial" w:cs="Calibri"/>
                <w:sz w:val="18"/>
                <w:szCs w:val="18"/>
              </w:rPr>
              <w:lastRenderedPageBreak/>
              <w:t>de soluciones existentes, la gestión del ciclo de vida del software y la consolidación de un modelo sectorial de supervisión y buenas prácticas.</w:t>
            </w:r>
          </w:p>
        </w:tc>
      </w:tr>
      <w:tr w:rsidRPr="007E3FC8" w:rsidR="005E3BD6" w:rsidTr="00DD4B7D" w14:paraId="37B5DAE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03B8BD46"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lastRenderedPageBreak/>
              <w:t>Objeto y Alcance</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6141E332" w14:textId="77777777">
            <w:pPr>
              <w:jc w:val="both"/>
              <w:rPr>
                <w:rFonts w:ascii="Nunito Sans" w:hAnsi="Nunito Sans" w:eastAsia="Arial" w:cs="Calibri"/>
                <w:sz w:val="18"/>
                <w:szCs w:val="18"/>
              </w:rPr>
            </w:pPr>
            <w:r w:rsidRPr="00F92EDC">
              <w:rPr>
                <w:rFonts w:ascii="Nunito Sans" w:hAnsi="Nunito Sans" w:eastAsia="Arial" w:cs="Calibri"/>
                <w:sz w:val="18"/>
                <w:szCs w:val="18"/>
              </w:rPr>
              <w:t>Fortalecer la gestión sectorial del ciclo de vida del software mediante lineamientos, herramientas, supervisión, estandarización tecnológica y mecanismos para maximizar el retorno de la inversión y garantizar la continuidad operativa.</w:t>
            </w:r>
          </w:p>
        </w:tc>
      </w:tr>
      <w:tr w:rsidRPr="007E3FC8" w:rsidR="005E3BD6" w:rsidTr="00DD4B7D" w14:paraId="6D43AC38"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422F6D39"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Prioridad</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307E02F1" w14:textId="77777777">
            <w:pPr>
              <w:jc w:val="both"/>
              <w:rPr>
                <w:rFonts w:ascii="Nunito Sans" w:hAnsi="Nunito Sans" w:eastAsia="Arial" w:cs="Calibri"/>
                <w:sz w:val="18"/>
                <w:szCs w:val="18"/>
              </w:rPr>
            </w:pPr>
            <w:r w:rsidRPr="00F92EDC">
              <w:rPr>
                <w:rFonts w:ascii="Nunito Sans" w:hAnsi="Nunito Sans" w:eastAsia="Arial" w:cs="Calibri"/>
                <w:sz w:val="18"/>
                <w:szCs w:val="18"/>
              </w:rPr>
              <w:t>ALTA</w:t>
            </w:r>
          </w:p>
        </w:tc>
      </w:tr>
      <w:tr w:rsidRPr="007E3FC8" w:rsidR="005E3BD6" w:rsidTr="00DD4B7D" w14:paraId="52F36FD6"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5832C3EC"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Recursos</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2E931E03" w14:textId="77777777">
            <w:pPr>
              <w:jc w:val="both"/>
              <w:rPr>
                <w:rFonts w:ascii="Nunito Sans" w:hAnsi="Nunito Sans" w:eastAsia="Arial" w:cs="Calibri"/>
                <w:sz w:val="18"/>
                <w:szCs w:val="18"/>
              </w:rPr>
            </w:pPr>
            <w:r w:rsidRPr="00F92EDC">
              <w:rPr>
                <w:rFonts w:ascii="Nunito Sans" w:hAnsi="Nunito Sans" w:eastAsia="Arial" w:cs="Calibri"/>
                <w:sz w:val="18"/>
                <w:szCs w:val="18"/>
              </w:rPr>
              <w:t>Servicios especializados con un equipo mínimo:</w:t>
            </w:r>
          </w:p>
          <w:p w:rsidRPr="00F92EDC" w:rsidR="005E3BD6" w:rsidP="00DD4B7D" w:rsidRDefault="005E3BD6" w14:paraId="7463BAC4" w14:textId="77777777">
            <w:pPr>
              <w:jc w:val="both"/>
              <w:rPr>
                <w:rFonts w:ascii="Nunito Sans" w:hAnsi="Nunito Sans" w:eastAsia="Arial" w:cs="Calibri"/>
                <w:sz w:val="18"/>
                <w:szCs w:val="18"/>
              </w:rPr>
            </w:pPr>
            <w:r w:rsidRPr="00F92EDC">
              <w:rPr>
                <w:rFonts w:ascii="Nunito Sans" w:hAnsi="Nunito Sans" w:eastAsia="Arial" w:cs="Calibri"/>
                <w:sz w:val="18"/>
                <w:szCs w:val="18"/>
              </w:rPr>
              <w:t>Arquitecto de Software</w:t>
            </w:r>
          </w:p>
          <w:p w:rsidRPr="00F92EDC" w:rsidR="005E3BD6" w:rsidP="00DD4B7D" w:rsidRDefault="005E3BD6" w14:paraId="3100E63E" w14:textId="77777777">
            <w:pPr>
              <w:jc w:val="both"/>
              <w:rPr>
                <w:rFonts w:ascii="Nunito Sans" w:hAnsi="Nunito Sans" w:eastAsia="Arial" w:cs="Calibri"/>
                <w:sz w:val="18"/>
                <w:szCs w:val="18"/>
              </w:rPr>
            </w:pPr>
            <w:r w:rsidRPr="00F92EDC">
              <w:rPr>
                <w:rFonts w:ascii="Nunito Sans" w:hAnsi="Nunito Sans" w:eastAsia="Arial" w:cs="Calibri"/>
                <w:sz w:val="18"/>
                <w:szCs w:val="18"/>
              </w:rPr>
              <w:t>Arquitecto Empresarial</w:t>
            </w:r>
          </w:p>
          <w:p w:rsidRPr="00F92EDC" w:rsidR="005E3BD6" w:rsidP="00DD4B7D" w:rsidRDefault="005E3BD6" w14:paraId="0A8DA7E0" w14:textId="77777777">
            <w:pPr>
              <w:jc w:val="both"/>
              <w:rPr>
                <w:rFonts w:ascii="Nunito Sans" w:hAnsi="Nunito Sans" w:eastAsia="Arial" w:cs="Calibri"/>
                <w:sz w:val="18"/>
                <w:szCs w:val="18"/>
              </w:rPr>
            </w:pPr>
            <w:r w:rsidRPr="00F92EDC">
              <w:rPr>
                <w:rFonts w:ascii="Nunito Sans" w:hAnsi="Nunito Sans" w:eastAsia="Arial" w:cs="Calibri"/>
                <w:sz w:val="18"/>
                <w:szCs w:val="18"/>
              </w:rPr>
              <w:t>Arquitecto de Infraestructura</w:t>
            </w:r>
          </w:p>
          <w:p w:rsidRPr="00F92EDC" w:rsidR="005E3BD6" w:rsidP="00DD4B7D" w:rsidRDefault="005E3BD6" w14:paraId="776DFD8F" w14:textId="77777777">
            <w:pPr>
              <w:jc w:val="both"/>
              <w:rPr>
                <w:rFonts w:ascii="Nunito Sans" w:hAnsi="Nunito Sans" w:eastAsia="Arial" w:cs="Calibri"/>
                <w:sz w:val="18"/>
                <w:szCs w:val="18"/>
              </w:rPr>
            </w:pPr>
            <w:r w:rsidRPr="00F92EDC">
              <w:rPr>
                <w:rFonts w:ascii="Nunito Sans" w:hAnsi="Nunito Sans" w:eastAsia="Arial" w:cs="Calibri"/>
                <w:sz w:val="18"/>
                <w:szCs w:val="18"/>
              </w:rPr>
              <w:t>Arquitecto de Seguridad</w:t>
            </w:r>
          </w:p>
          <w:p w:rsidRPr="00F92EDC" w:rsidR="005E3BD6" w:rsidP="00DD4B7D" w:rsidRDefault="005E3BD6" w14:paraId="51A55833" w14:textId="77777777">
            <w:pPr>
              <w:jc w:val="both"/>
              <w:rPr>
                <w:rFonts w:ascii="Nunito Sans" w:hAnsi="Nunito Sans" w:eastAsia="Arial" w:cs="Calibri"/>
                <w:sz w:val="18"/>
                <w:szCs w:val="18"/>
              </w:rPr>
            </w:pPr>
            <w:r w:rsidRPr="00F92EDC">
              <w:rPr>
                <w:rFonts w:ascii="Nunito Sans" w:hAnsi="Nunito Sans" w:eastAsia="Arial" w:cs="Calibri"/>
                <w:sz w:val="18"/>
                <w:szCs w:val="18"/>
              </w:rPr>
              <w:t>Analista de Interoperabilidad</w:t>
            </w:r>
          </w:p>
          <w:p w:rsidRPr="00F92EDC" w:rsidR="005E3BD6" w:rsidP="00DD4B7D" w:rsidRDefault="005E3BD6" w14:paraId="4F35831B" w14:textId="77777777">
            <w:pPr>
              <w:jc w:val="both"/>
              <w:rPr>
                <w:rFonts w:ascii="Nunito Sans" w:hAnsi="Nunito Sans" w:eastAsia="Arial" w:cs="Calibri"/>
                <w:sz w:val="18"/>
                <w:szCs w:val="18"/>
              </w:rPr>
            </w:pPr>
            <w:r w:rsidRPr="00F92EDC">
              <w:rPr>
                <w:rFonts w:ascii="Nunito Sans" w:hAnsi="Nunito Sans" w:eastAsia="Arial" w:cs="Calibri"/>
                <w:sz w:val="18"/>
                <w:szCs w:val="18"/>
              </w:rPr>
              <w:t>Estructurador en Contratación TIC</w:t>
            </w:r>
          </w:p>
        </w:tc>
      </w:tr>
      <w:tr w:rsidRPr="007E3FC8" w:rsidR="005E3BD6" w:rsidTr="00DD4B7D" w14:paraId="7F28C82A"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60163417"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Tiempo de Implementación</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4ED93DE8" w14:textId="77777777">
            <w:pPr>
              <w:jc w:val="both"/>
              <w:rPr>
                <w:rFonts w:ascii="Nunito Sans" w:hAnsi="Nunito Sans" w:eastAsia="Arial" w:cs="Calibri"/>
                <w:sz w:val="18"/>
                <w:szCs w:val="18"/>
              </w:rPr>
            </w:pPr>
            <w:r w:rsidRPr="00F92EDC">
              <w:rPr>
                <w:rFonts w:ascii="Nunito Sans" w:hAnsi="Nunito Sans" w:eastAsia="Arial" w:cs="Calibri"/>
                <w:sz w:val="18"/>
                <w:szCs w:val="18"/>
              </w:rPr>
              <w:t>36 Meses</w:t>
            </w:r>
          </w:p>
        </w:tc>
      </w:tr>
      <w:tr w:rsidRPr="007E3FC8" w:rsidR="005E3BD6" w:rsidTr="00DD4B7D" w14:paraId="7764E016"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10E81F53"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Área Líder</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34067936" w14:textId="77777777">
            <w:pPr>
              <w:jc w:val="both"/>
              <w:rPr>
                <w:rFonts w:ascii="Nunito Sans" w:hAnsi="Nunito Sans" w:eastAsia="Arial" w:cs="Calibri"/>
                <w:sz w:val="18"/>
                <w:szCs w:val="18"/>
              </w:rPr>
            </w:pPr>
            <w:r w:rsidRPr="00F92EDC">
              <w:rPr>
                <w:rFonts w:ascii="Nunito Sans" w:hAnsi="Nunito Sans" w:eastAsia="Arial" w:cs="Calibri"/>
                <w:sz w:val="18"/>
                <w:szCs w:val="18"/>
              </w:rPr>
              <w:t>Grupo de Tecnologías de la Información y las Comunicaciones – TIC, Ministerio de Minas y Energía</w:t>
            </w:r>
          </w:p>
        </w:tc>
      </w:tr>
      <w:tr w:rsidRPr="007E3FC8" w:rsidR="005E3BD6" w:rsidTr="00DD4B7D" w14:paraId="554C6298"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DD4B7D" w:rsidRDefault="005E3BD6" w14:paraId="73F5932A"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Proyecto de Inversión</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2F1BB71B" w14:textId="77777777">
            <w:pPr>
              <w:jc w:val="both"/>
              <w:rPr>
                <w:rFonts w:ascii="Nunito Sans" w:hAnsi="Nunito Sans" w:eastAsia="Arial" w:cs="Calibri"/>
                <w:sz w:val="18"/>
                <w:szCs w:val="18"/>
              </w:rPr>
            </w:pPr>
            <w:r w:rsidRPr="00F92EDC">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EF5DE4" w:rsidR="005E3BD6" w:rsidP="005E3BD6" w:rsidRDefault="005E3BD6" w14:paraId="6E6F4E9D"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5E3BD6" w14:paraId="3F27BE5E" w14:textId="77777777">
      <w:pPr>
        <w:jc w:val="both"/>
        <w:rPr>
          <w:rFonts w:ascii="Nunito Sans" w:hAnsi="Nunito Sans" w:eastAsia="Arial" w:cs="Calibri"/>
          <w:i/>
          <w:iCs/>
          <w:color w:val="FF0000"/>
          <w:sz w:val="22"/>
          <w:szCs w:val="22"/>
          <w:lang w:val="es-ES"/>
        </w:rPr>
      </w:pPr>
    </w:p>
    <w:p w:rsidRPr="00E45456" w:rsidR="005E3BD6" w:rsidP="005E3BD6" w:rsidRDefault="00E45456" w14:paraId="72BEF430" w14:textId="638803FB">
      <w:pPr>
        <w:ind w:left="360" w:hanging="360"/>
        <w:jc w:val="center"/>
        <w:rPr>
          <w:rFonts w:ascii="Nunito Sans" w:hAnsi="Nunito Sans" w:cs="Calibri"/>
          <w:b/>
          <w:bCs/>
          <w:sz w:val="18"/>
          <w:szCs w:val="18"/>
        </w:rPr>
      </w:pPr>
      <w:bookmarkStart w:name="_Toc220664246" w:id="650"/>
      <w:r w:rsidRPr="00E45456">
        <w:rPr>
          <w:rFonts w:ascii="Nunito Sans" w:hAnsi="Nunito Sans" w:cs="Calibri"/>
          <w:b/>
          <w:bCs/>
          <w:sz w:val="18"/>
          <w:szCs w:val="18"/>
        </w:rPr>
        <w:t xml:space="preserve">Tabla </w:t>
      </w:r>
      <w:r w:rsidRPr="00E45456">
        <w:rPr>
          <w:rFonts w:ascii="Nunito Sans" w:hAnsi="Nunito Sans" w:cs="Calibri"/>
          <w:b/>
          <w:bCs/>
          <w:sz w:val="18"/>
          <w:szCs w:val="18"/>
        </w:rPr>
        <w:fldChar w:fldCharType="begin"/>
      </w:r>
      <w:r w:rsidRPr="00E45456">
        <w:rPr>
          <w:rFonts w:ascii="Nunito Sans" w:hAnsi="Nunito Sans" w:cs="Calibri"/>
          <w:b/>
          <w:bCs/>
          <w:sz w:val="18"/>
          <w:szCs w:val="18"/>
        </w:rPr>
        <w:instrText xml:space="preserve"> SEQ Tabla \* ARABIC </w:instrText>
      </w:r>
      <w:r w:rsidRPr="00E45456">
        <w:rPr>
          <w:rFonts w:ascii="Nunito Sans" w:hAnsi="Nunito Sans" w:cs="Calibri"/>
          <w:b/>
          <w:bCs/>
          <w:sz w:val="18"/>
          <w:szCs w:val="18"/>
        </w:rPr>
        <w:fldChar w:fldCharType="separate"/>
      </w:r>
      <w:r w:rsidR="00C57F7B">
        <w:rPr>
          <w:rFonts w:ascii="Nunito Sans" w:hAnsi="Nunito Sans" w:cs="Calibri"/>
          <w:b/>
          <w:bCs/>
          <w:noProof/>
          <w:sz w:val="18"/>
          <w:szCs w:val="18"/>
        </w:rPr>
        <w:t>75</w:t>
      </w:r>
      <w:r w:rsidRPr="00E4545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Ficha de Proyecto ID P-SEC 012</w:t>
      </w:r>
      <w:bookmarkEnd w:id="650"/>
    </w:p>
    <w:tbl>
      <w:tblPr>
        <w:tblW w:w="9214" w:type="dxa"/>
        <w:tblInd w:w="279" w:type="dxa"/>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Look w:val="04A0" w:firstRow="1" w:lastRow="0" w:firstColumn="1" w:lastColumn="0" w:noHBand="0" w:noVBand="1"/>
      </w:tblPr>
      <w:tblGrid>
        <w:gridCol w:w="2410"/>
        <w:gridCol w:w="6804"/>
      </w:tblGrid>
      <w:tr w:rsidRPr="00F92EDC" w:rsidR="005E3BD6" w:rsidTr="00DD4B7D" w14:paraId="0B888C4C" w14:textId="77777777">
        <w:trPr>
          <w:trHeight w:val="300"/>
        </w:trPr>
        <w:tc>
          <w:tcPr>
            <w:tcW w:w="9214" w:type="dxa"/>
            <w:gridSpan w:val="2"/>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F92EDC" w:rsidR="005E3BD6" w:rsidP="00B4771C" w:rsidRDefault="005E3BD6" w14:paraId="22AABFB0" w14:textId="77777777">
            <w:pPr>
              <w:ind w:firstLine="221"/>
              <w:jc w:val="center"/>
              <w:rPr>
                <w:rFonts w:ascii="Nunito Sans" w:hAnsi="Nunito Sans" w:eastAsia="Arial" w:cs="Calibri"/>
                <w:b/>
                <w:bCs/>
                <w:color w:val="FFFFFF" w:themeColor="background1"/>
                <w:sz w:val="18"/>
                <w:szCs w:val="18"/>
              </w:rPr>
            </w:pPr>
            <w:r w:rsidRPr="00F92EDC">
              <w:rPr>
                <w:rFonts w:ascii="Nunito Sans" w:hAnsi="Nunito Sans" w:eastAsia="Arial" w:cs="Calibri"/>
                <w:b/>
                <w:bCs/>
                <w:color w:val="FFFFFF" w:themeColor="background1"/>
                <w:sz w:val="18"/>
                <w:szCs w:val="18"/>
              </w:rPr>
              <w:t>FICHA DE PROYECTO</w:t>
            </w:r>
          </w:p>
        </w:tc>
      </w:tr>
      <w:tr w:rsidRPr="00F92EDC" w:rsidR="005E3BD6" w:rsidTr="00DD4B7D" w14:paraId="00C3D6E2"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107AEC6B"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ID PROYECTO</w:t>
            </w:r>
          </w:p>
        </w:tc>
        <w:tc>
          <w:tcPr>
            <w:tcW w:w="6804" w:type="dxa"/>
            <w:tcBorders>
              <w:left w:val="single" w:color="FFFFFF" w:themeColor="background1" w:sz="4" w:space="0"/>
            </w:tcBorders>
            <w:tcMar>
              <w:top w:w="0" w:type="dxa"/>
              <w:left w:w="60" w:type="dxa"/>
              <w:bottom w:w="0" w:type="dxa"/>
              <w:right w:w="60" w:type="dxa"/>
            </w:tcMar>
            <w:vAlign w:val="center"/>
          </w:tcPr>
          <w:p w:rsidRPr="00855857" w:rsidR="005E3BD6" w:rsidP="00B4771C" w:rsidRDefault="005E3BD6" w14:paraId="56CC902C" w14:textId="77777777">
            <w:pPr>
              <w:rPr>
                <w:rFonts w:ascii="Nunito Sans" w:hAnsi="Nunito Sans" w:eastAsia="Arial" w:cs="Calibri"/>
                <w:b/>
                <w:bCs/>
                <w:sz w:val="18"/>
                <w:szCs w:val="18"/>
              </w:rPr>
            </w:pPr>
            <w:r w:rsidRPr="00855857">
              <w:rPr>
                <w:rFonts w:ascii="Nunito Sans" w:hAnsi="Nunito Sans" w:eastAsia="Arial" w:cs="Calibri"/>
                <w:b/>
                <w:bCs/>
                <w:sz w:val="18"/>
                <w:szCs w:val="18"/>
              </w:rPr>
              <w:t>P-SEC 012</w:t>
            </w:r>
          </w:p>
        </w:tc>
      </w:tr>
      <w:tr w:rsidRPr="00F92EDC" w:rsidR="005E3BD6" w:rsidTr="00DD4B7D" w14:paraId="0D19F13E"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741748FB"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Nombre del Proyecto</w:t>
            </w:r>
          </w:p>
        </w:tc>
        <w:tc>
          <w:tcPr>
            <w:tcW w:w="6804" w:type="dxa"/>
            <w:tcBorders>
              <w:left w:val="single" w:color="FFFFFF" w:themeColor="background1" w:sz="4" w:space="0"/>
            </w:tcBorders>
            <w:tcMar>
              <w:top w:w="0" w:type="dxa"/>
              <w:left w:w="60" w:type="dxa"/>
              <w:bottom w:w="0" w:type="dxa"/>
              <w:right w:w="60" w:type="dxa"/>
            </w:tcMar>
            <w:vAlign w:val="center"/>
          </w:tcPr>
          <w:p w:rsidRPr="00855857" w:rsidR="005E3BD6" w:rsidP="00DD4B7D" w:rsidRDefault="005E3BD6" w14:paraId="3C57BDD2" w14:textId="77777777">
            <w:pPr>
              <w:jc w:val="both"/>
              <w:rPr>
                <w:rFonts w:ascii="Nunito Sans" w:hAnsi="Nunito Sans" w:eastAsia="Arial" w:cs="Calibri"/>
                <w:b/>
                <w:bCs/>
                <w:sz w:val="18"/>
                <w:szCs w:val="18"/>
              </w:rPr>
            </w:pPr>
            <w:r w:rsidRPr="00855857">
              <w:rPr>
                <w:rFonts w:ascii="Nunito Sans" w:hAnsi="Nunito Sans" w:eastAsia="Arial" w:cs="Calibri"/>
                <w:b/>
                <w:bCs/>
                <w:sz w:val="18"/>
                <w:szCs w:val="18"/>
              </w:rPr>
              <w:t>Desarrollo Tecnológico, la Gestión de Conocimiento e Innovación</w:t>
            </w:r>
          </w:p>
        </w:tc>
      </w:tr>
      <w:tr w:rsidRPr="00F92EDC" w:rsidR="005E3BD6" w:rsidTr="00DD4B7D" w14:paraId="38BA907B"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374883BB"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Descripción o Temática del Proyecto</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73F27D37" w14:textId="77777777">
            <w:pPr>
              <w:jc w:val="both"/>
              <w:rPr>
                <w:rFonts w:ascii="Nunito Sans" w:hAnsi="Nunito Sans" w:eastAsia="Arial" w:cs="Calibri"/>
                <w:sz w:val="18"/>
                <w:szCs w:val="18"/>
              </w:rPr>
            </w:pPr>
            <w:r w:rsidRPr="00F92EDC">
              <w:rPr>
                <w:rFonts w:ascii="Nunito Sans" w:hAnsi="Nunito Sans" w:eastAsia="Arial" w:cs="Calibri"/>
                <w:sz w:val="18"/>
                <w:szCs w:val="18"/>
              </w:rPr>
              <w:t>El proyecto busca fortalecer las capacidades de desarrollo tecnológico, gestión del conocimiento e innovación en el sector minero-energético, mediante la creación de mecanismos, herramientas y procesos que permitan capturar, sistematizar, compartir y aplicar el conocimiento institucional y sectorial.</w:t>
            </w:r>
          </w:p>
        </w:tc>
      </w:tr>
      <w:tr w:rsidRPr="00F92EDC" w:rsidR="005E3BD6" w:rsidTr="00DD4B7D" w14:paraId="6B579F79"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334B8B25"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Objeto y Alcance</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7425DB36" w14:textId="77777777">
            <w:pPr>
              <w:jc w:val="both"/>
              <w:rPr>
                <w:rFonts w:ascii="Nunito Sans" w:hAnsi="Nunito Sans" w:eastAsia="Arial" w:cs="Calibri"/>
                <w:sz w:val="18"/>
                <w:szCs w:val="18"/>
              </w:rPr>
            </w:pPr>
            <w:r w:rsidRPr="00F92EDC">
              <w:rPr>
                <w:rFonts w:ascii="Nunito Sans" w:hAnsi="Nunito Sans" w:eastAsia="Arial" w:cs="Calibri"/>
                <w:sz w:val="18"/>
                <w:szCs w:val="18"/>
              </w:rPr>
              <w:t>Implementar un modelo sectorial de desarrollo tecnológico, gestión del conocimiento e innovación que permita capturar, estructurar, difundir y aplicar conocimiento, promoviendo soluciones innovadoras basadas en tecnologías emergentes.</w:t>
            </w:r>
          </w:p>
        </w:tc>
      </w:tr>
      <w:tr w:rsidRPr="00F92EDC" w:rsidR="005E3BD6" w:rsidTr="00DD4B7D" w14:paraId="4496EF8C"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47CEA396"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Prioridad</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5D669CB7" w14:textId="77777777">
            <w:pPr>
              <w:jc w:val="both"/>
              <w:rPr>
                <w:rFonts w:ascii="Nunito Sans" w:hAnsi="Nunito Sans" w:eastAsia="Arial" w:cs="Calibri"/>
                <w:sz w:val="18"/>
                <w:szCs w:val="18"/>
              </w:rPr>
            </w:pPr>
            <w:r w:rsidRPr="00F92EDC">
              <w:rPr>
                <w:rFonts w:ascii="Nunito Sans" w:hAnsi="Nunito Sans" w:eastAsia="Arial" w:cs="Calibri"/>
                <w:sz w:val="18"/>
                <w:szCs w:val="18"/>
              </w:rPr>
              <w:t>MEDIA</w:t>
            </w:r>
          </w:p>
        </w:tc>
      </w:tr>
      <w:tr w:rsidRPr="00F92EDC" w:rsidR="005E3BD6" w:rsidTr="00DD4B7D" w14:paraId="760D8C89"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6D70AA3E"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Recursos</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16400B4E" w14:textId="77777777">
            <w:pPr>
              <w:jc w:val="both"/>
              <w:rPr>
                <w:rFonts w:ascii="Nunito Sans" w:hAnsi="Nunito Sans" w:eastAsia="Arial" w:cs="Calibri"/>
                <w:sz w:val="18"/>
                <w:szCs w:val="18"/>
              </w:rPr>
            </w:pPr>
            <w:r w:rsidRPr="00F92EDC">
              <w:rPr>
                <w:rFonts w:ascii="Nunito Sans" w:hAnsi="Nunito Sans" w:eastAsia="Arial" w:cs="Calibri"/>
                <w:sz w:val="18"/>
                <w:szCs w:val="18"/>
              </w:rPr>
              <w:t>Servicios especializados con un equipo mínimo:</w:t>
            </w:r>
          </w:p>
          <w:p w:rsidRPr="00F92EDC" w:rsidR="005E3BD6" w:rsidP="00DD4B7D" w:rsidRDefault="005E3BD6" w14:paraId="31FE6FB3" w14:textId="77777777">
            <w:pPr>
              <w:jc w:val="both"/>
              <w:rPr>
                <w:rFonts w:ascii="Nunito Sans" w:hAnsi="Nunito Sans" w:eastAsia="Arial" w:cs="Calibri"/>
                <w:sz w:val="18"/>
                <w:szCs w:val="18"/>
              </w:rPr>
            </w:pPr>
            <w:r w:rsidRPr="00F92EDC">
              <w:rPr>
                <w:rFonts w:ascii="Nunito Sans" w:hAnsi="Nunito Sans" w:eastAsia="Arial" w:cs="Calibri"/>
                <w:sz w:val="18"/>
                <w:szCs w:val="18"/>
              </w:rPr>
              <w:t>Gestor de Conocimiento y Aprendizaje Organizacional</w:t>
            </w:r>
          </w:p>
          <w:p w:rsidRPr="00F92EDC" w:rsidR="005E3BD6" w:rsidP="00DD4B7D" w:rsidRDefault="005E3BD6" w14:paraId="091000FE" w14:textId="77777777">
            <w:pPr>
              <w:jc w:val="both"/>
              <w:rPr>
                <w:rFonts w:ascii="Nunito Sans" w:hAnsi="Nunito Sans" w:eastAsia="Arial" w:cs="Calibri"/>
                <w:sz w:val="18"/>
                <w:szCs w:val="18"/>
              </w:rPr>
            </w:pPr>
            <w:r w:rsidRPr="00F92EDC">
              <w:rPr>
                <w:rFonts w:ascii="Nunito Sans" w:hAnsi="Nunito Sans" w:eastAsia="Arial" w:cs="Calibri"/>
                <w:sz w:val="18"/>
                <w:szCs w:val="18"/>
              </w:rPr>
              <w:t>Especialista en Innovación y Transformación Digital</w:t>
            </w:r>
          </w:p>
          <w:p w:rsidRPr="00F92EDC" w:rsidR="005E3BD6" w:rsidP="00DD4B7D" w:rsidRDefault="005E3BD6" w14:paraId="4602D761" w14:textId="77777777">
            <w:pPr>
              <w:jc w:val="both"/>
              <w:rPr>
                <w:rFonts w:ascii="Nunito Sans" w:hAnsi="Nunito Sans" w:eastAsia="Arial" w:cs="Calibri"/>
                <w:sz w:val="18"/>
                <w:szCs w:val="18"/>
              </w:rPr>
            </w:pPr>
            <w:r w:rsidRPr="00F92EDC">
              <w:rPr>
                <w:rFonts w:ascii="Nunito Sans" w:hAnsi="Nunito Sans" w:eastAsia="Arial" w:cs="Calibri"/>
                <w:sz w:val="18"/>
                <w:szCs w:val="18"/>
              </w:rPr>
              <w:t>Arquitecto de Información</w:t>
            </w:r>
          </w:p>
        </w:tc>
      </w:tr>
      <w:tr w:rsidRPr="00F92EDC" w:rsidR="005E3BD6" w:rsidTr="00DD4B7D" w14:paraId="05F7A900"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0D55DFB"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Tiempo de Implementación</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1483238E" w14:textId="77777777">
            <w:pPr>
              <w:jc w:val="both"/>
              <w:rPr>
                <w:rFonts w:ascii="Nunito Sans" w:hAnsi="Nunito Sans" w:eastAsia="Arial" w:cs="Calibri"/>
                <w:sz w:val="18"/>
                <w:szCs w:val="18"/>
              </w:rPr>
            </w:pPr>
            <w:r w:rsidRPr="00F92EDC">
              <w:rPr>
                <w:rFonts w:ascii="Nunito Sans" w:hAnsi="Nunito Sans" w:eastAsia="Arial" w:cs="Calibri"/>
                <w:sz w:val="18"/>
                <w:szCs w:val="18"/>
              </w:rPr>
              <w:t>48 Meses</w:t>
            </w:r>
          </w:p>
        </w:tc>
      </w:tr>
      <w:tr w:rsidRPr="00F92EDC" w:rsidR="005E3BD6" w:rsidTr="00DD4B7D" w14:paraId="25EC5618"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0A6D695A"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Área Líder</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226F6116" w14:textId="77777777">
            <w:pPr>
              <w:jc w:val="both"/>
              <w:rPr>
                <w:rFonts w:ascii="Nunito Sans" w:hAnsi="Nunito Sans" w:eastAsia="Arial" w:cs="Calibri"/>
                <w:sz w:val="18"/>
                <w:szCs w:val="18"/>
              </w:rPr>
            </w:pPr>
            <w:r w:rsidRPr="00F92EDC">
              <w:rPr>
                <w:rFonts w:ascii="Nunito Sans" w:hAnsi="Nunito Sans" w:eastAsia="Arial" w:cs="Calibri"/>
                <w:sz w:val="18"/>
                <w:szCs w:val="18"/>
              </w:rPr>
              <w:t>Grupo de Tecnologías de la Información y las Comunicaciones – TIC, Ministerio de Minas y Energía</w:t>
            </w:r>
          </w:p>
        </w:tc>
      </w:tr>
      <w:tr w:rsidRPr="00F92EDC" w:rsidR="005E3BD6" w:rsidTr="00DD4B7D" w14:paraId="01E34F5E" w14:textId="77777777">
        <w:trPr>
          <w:trHeight w:val="300"/>
        </w:trPr>
        <w:tc>
          <w:tcPr>
            <w:tcW w:w="2410" w:type="dxa"/>
            <w:tcBorders>
              <w:top w:val="single" w:color="FFFFFF" w:themeColor="background1" w:sz="4" w:space="0"/>
              <w:left w:val="single" w:color="FFFFFF" w:themeColor="background1" w:sz="4" w:space="0"/>
              <w:bottom w:val="single" w:color="FFFFFF" w:themeColor="background1" w:sz="4" w:space="0"/>
              <w:right w:val="single" w:color="FFFFFF" w:themeColor="background1" w:sz="4" w:space="0"/>
            </w:tcBorders>
            <w:shd w:val="clear" w:color="auto" w:fill="E1AF3B"/>
            <w:tcMar>
              <w:top w:w="0" w:type="dxa"/>
              <w:left w:w="60" w:type="dxa"/>
              <w:bottom w:w="0" w:type="dxa"/>
              <w:right w:w="60" w:type="dxa"/>
            </w:tcMar>
            <w:vAlign w:val="center"/>
            <w:hideMark/>
          </w:tcPr>
          <w:p w:rsidRPr="00DD4B7D" w:rsidR="005E3BD6" w:rsidP="00B4771C" w:rsidRDefault="005E3BD6" w14:paraId="76AFAD08" w14:textId="77777777">
            <w:pPr>
              <w:rPr>
                <w:rFonts w:ascii="Nunito Sans" w:hAnsi="Nunito Sans" w:eastAsia="Arial" w:cs="Calibri"/>
                <w:color w:val="FFFFFF" w:themeColor="background1"/>
                <w:sz w:val="18"/>
                <w:szCs w:val="18"/>
              </w:rPr>
            </w:pPr>
            <w:r w:rsidRPr="00DD4B7D">
              <w:rPr>
                <w:rFonts w:ascii="Nunito Sans" w:hAnsi="Nunito Sans" w:eastAsia="Arial" w:cs="Calibri"/>
                <w:color w:val="FFFFFF" w:themeColor="background1"/>
                <w:sz w:val="18"/>
                <w:szCs w:val="18"/>
              </w:rPr>
              <w:t>Proyecto de Inversión</w:t>
            </w:r>
          </w:p>
        </w:tc>
        <w:tc>
          <w:tcPr>
            <w:tcW w:w="6804" w:type="dxa"/>
            <w:tcBorders>
              <w:left w:val="single" w:color="FFFFFF" w:themeColor="background1" w:sz="4" w:space="0"/>
            </w:tcBorders>
            <w:tcMar>
              <w:top w:w="0" w:type="dxa"/>
              <w:left w:w="60" w:type="dxa"/>
              <w:bottom w:w="0" w:type="dxa"/>
              <w:right w:w="60" w:type="dxa"/>
            </w:tcMar>
            <w:vAlign w:val="center"/>
          </w:tcPr>
          <w:p w:rsidRPr="00F92EDC" w:rsidR="005E3BD6" w:rsidP="00DD4B7D" w:rsidRDefault="005E3BD6" w14:paraId="4C8E15B3" w14:textId="77777777">
            <w:pPr>
              <w:jc w:val="both"/>
              <w:rPr>
                <w:rFonts w:ascii="Nunito Sans" w:hAnsi="Nunito Sans" w:eastAsia="Arial" w:cs="Calibri"/>
                <w:sz w:val="18"/>
                <w:szCs w:val="18"/>
              </w:rPr>
            </w:pPr>
            <w:r w:rsidRPr="00F92EDC">
              <w:rPr>
                <w:rFonts w:ascii="Nunito Sans" w:hAnsi="Nunito Sans" w:eastAsia="Arial" w:cs="Calibri"/>
                <w:sz w:val="18"/>
                <w:szCs w:val="18"/>
              </w:rPr>
              <w:t>Fortalecimiento de la capacidad del Ministerio de Minas y Energía para implementar de manera efectiva la Política de Gobierno Digital Nacional.</w:t>
            </w:r>
          </w:p>
        </w:tc>
      </w:tr>
    </w:tbl>
    <w:p w:rsidRPr="00EF5DE4" w:rsidR="005E3BD6" w:rsidP="005E3BD6" w:rsidRDefault="005E3BD6" w14:paraId="08688CBD"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005E3BD6" w:rsidP="005E3BD6" w:rsidRDefault="002E037D" w14:paraId="2DEBDBFF" w14:textId="0FB1E0DC">
      <w:pPr>
        <w:jc w:val="both"/>
        <w:rPr>
          <w:rFonts w:ascii="Nunito Sans" w:hAnsi="Nunito Sans" w:eastAsiaTheme="minorHAnsi"/>
          <w:sz w:val="22"/>
          <w:szCs w:val="22"/>
        </w:rPr>
      </w:pPr>
      <w:r w:rsidRPr="002E037D">
        <w:rPr>
          <w:rFonts w:ascii="Nunito Sans" w:hAnsi="Nunito Sans" w:eastAsiaTheme="minorHAnsi"/>
          <w:sz w:val="22"/>
          <w:szCs w:val="22"/>
        </w:rPr>
        <w:t xml:space="preserve">Para una visualización estructurada de las </w:t>
      </w:r>
      <w:r>
        <w:rPr>
          <w:rFonts w:ascii="Nunito Sans" w:hAnsi="Nunito Sans" w:eastAsiaTheme="minorHAnsi"/>
          <w:sz w:val="22"/>
          <w:szCs w:val="22"/>
        </w:rPr>
        <w:t>fichas de los Proyectos</w:t>
      </w:r>
      <w:r w:rsidRPr="002E037D">
        <w:rPr>
          <w:rFonts w:ascii="Nunito Sans" w:hAnsi="Nunito Sans" w:eastAsiaTheme="minorHAnsi"/>
          <w:sz w:val="22"/>
          <w:szCs w:val="22"/>
        </w:rPr>
        <w:t xml:space="preserve">, se recomienda consultar el </w:t>
      </w:r>
      <w:r w:rsidRPr="00D14D2D" w:rsidR="00D14D2D">
        <w:rPr>
          <w:rFonts w:ascii="Nunito Sans" w:hAnsi="Nunito Sans" w:eastAsiaTheme="minorHAnsi"/>
          <w:sz w:val="22"/>
          <w:szCs w:val="22"/>
        </w:rPr>
        <w:t>Anexo 10 - Ficha de Proyectos Sectorial</w:t>
      </w:r>
      <w:r w:rsidR="00D14D2D">
        <w:rPr>
          <w:rFonts w:ascii="Nunito Sans" w:hAnsi="Nunito Sans" w:eastAsiaTheme="minorHAnsi"/>
          <w:sz w:val="22"/>
          <w:szCs w:val="22"/>
        </w:rPr>
        <w:t xml:space="preserve">. </w:t>
      </w:r>
    </w:p>
    <w:p w:rsidR="00E22255" w:rsidP="005E3BD6" w:rsidRDefault="00E22255" w14:paraId="60E5206E" w14:textId="77777777">
      <w:pPr>
        <w:jc w:val="both"/>
        <w:rPr>
          <w:rFonts w:ascii="Nunito Sans" w:hAnsi="Nunito Sans" w:eastAsiaTheme="minorHAnsi"/>
          <w:sz w:val="22"/>
          <w:szCs w:val="22"/>
        </w:rPr>
      </w:pPr>
    </w:p>
    <w:p w:rsidR="00E22255" w:rsidRDefault="004417A7" w14:paraId="3096119F" w14:textId="6C34D470">
      <w:pPr>
        <w:pStyle w:val="Ttulo1"/>
        <w:numPr>
          <w:ilvl w:val="0"/>
          <w:numId w:val="39"/>
        </w:numPr>
        <w:ind w:left="1134" w:hanging="774"/>
        <w:jc w:val="center"/>
        <w:rPr>
          <w:lang w:val="es-ES"/>
        </w:rPr>
      </w:pPr>
      <w:bookmarkStart w:name="_Toc234234539" w:id="651"/>
      <w:r w:rsidRPr="3CA6F2C7">
        <w:rPr>
          <w:lang w:val="es-ES"/>
        </w:rPr>
        <w:lastRenderedPageBreak/>
        <w:t>COSTOS DE INVERSIÓN</w:t>
      </w:r>
      <w:bookmarkEnd w:id="651"/>
    </w:p>
    <w:p w:rsidR="00450774" w:rsidP="3CA6F2C7" w:rsidRDefault="00450774" w14:paraId="3D892D68" w14:textId="77777777">
      <w:pPr>
        <w:rPr>
          <w:rFonts w:ascii="Nunito Sans" w:hAnsi="Nunito Sans" w:eastAsiaTheme="minorHAnsi"/>
          <w:sz w:val="22"/>
          <w:szCs w:val="22"/>
        </w:rPr>
      </w:pPr>
    </w:p>
    <w:p w:rsidR="38C7FB05" w:rsidP="4E60D266" w:rsidRDefault="38C7FB05" w14:paraId="0F4664AD" w14:textId="31B41549">
      <w:pPr>
        <w:jc w:val="both"/>
        <w:rPr>
          <w:rFonts w:ascii="Nunito Sans" w:hAnsi="Nunito Sans" w:eastAsia="Nunito Sans" w:cs="Nunito Sans"/>
          <w:sz w:val="22"/>
          <w:szCs w:val="22"/>
        </w:rPr>
      </w:pPr>
      <w:r w:rsidRPr="4E60D266">
        <w:rPr>
          <w:rFonts w:ascii="Nunito Sans" w:hAnsi="Nunito Sans" w:eastAsia="Nunito Sans" w:cs="Nunito Sans"/>
          <w:sz w:val="22"/>
          <w:szCs w:val="22"/>
        </w:rPr>
        <w:t>La información relacionada con los valores programados para la ejecución de los proyectos sectoriales durante la vigencia 2026 se presenta de manera detallada en el Anexo 11 – Costos de Proyectos Sectoriales, en el cual se especifica la asignación de recursos financieros por iniciativa sectorial, permitiendo identificar el costo estimado asociado a cada proyecto y su distribución dentro del marco del PETI Sectorial. Así mismo, se reconoce la importancia de fortalecer capacidades de gobierno y gestión financiera de las tecnologías de la información, incorporando gradualmente prácticas de FinOps, seguimiento presupuestal y monitoreo de costos, como elementos habilitadores para la sostenibilidad y optimización de las inversiones tecnológicas del sector minero-energético.</w:t>
      </w:r>
    </w:p>
    <w:p w:rsidRPr="002E037D" w:rsidR="00E22255" w:rsidP="005E3BD6" w:rsidRDefault="00E22255" w14:paraId="28A7F444" w14:textId="77777777">
      <w:pPr>
        <w:jc w:val="both"/>
        <w:rPr>
          <w:rFonts w:ascii="Nunito Sans" w:hAnsi="Nunito Sans" w:eastAsiaTheme="minorHAnsi"/>
          <w:sz w:val="22"/>
          <w:szCs w:val="22"/>
        </w:rPr>
      </w:pPr>
    </w:p>
    <w:p w:rsidRPr="00265D18" w:rsidR="005E3BD6" w:rsidRDefault="00133BF0" w14:paraId="4C638BFC" w14:textId="7062A2C2">
      <w:pPr>
        <w:pStyle w:val="Ttulo1"/>
        <w:numPr>
          <w:ilvl w:val="0"/>
          <w:numId w:val="39"/>
        </w:numPr>
        <w:ind w:left="851" w:hanging="142"/>
        <w:jc w:val="center"/>
      </w:pPr>
      <w:bookmarkStart w:name="_Toc234234540" w:id="652"/>
      <w:r w:rsidRPr="00265D18">
        <w:t>SEGUIMIENTO Y EVALUACIÓN</w:t>
      </w:r>
      <w:bookmarkEnd w:id="652"/>
    </w:p>
    <w:p w:rsidR="005E3BD6" w:rsidP="2FC2A464" w:rsidRDefault="005E3BD6" w14:paraId="21FE22A5" w14:textId="77777777">
      <w:pPr>
        <w:rPr>
          <w:rFonts w:eastAsiaTheme="minorEastAsia"/>
          <w:lang w:val="es-ES"/>
        </w:rPr>
      </w:pPr>
    </w:p>
    <w:p w:rsidRPr="00812223" w:rsidR="005E3BD6" w:rsidP="00DF5761" w:rsidRDefault="30033083" w14:paraId="0E329FAB" w14:textId="644DD165">
      <w:pPr>
        <w:pStyle w:val="Ttulo2"/>
        <w:numPr>
          <w:ilvl w:val="0"/>
          <w:numId w:val="0"/>
        </w:numPr>
        <w:ind w:left="426"/>
      </w:pPr>
      <w:bookmarkStart w:name="_Toc234234541" w:id="653"/>
      <w:r w:rsidRPr="2FC2A464">
        <w:t>11.1 Indicadores</w:t>
      </w:r>
      <w:bookmarkEnd w:id="653"/>
    </w:p>
    <w:p w:rsidRPr="00812223" w:rsidR="005E3BD6" w:rsidP="2FC2A464" w:rsidRDefault="04C6CC26" w14:paraId="3BF81D76" w14:textId="549B5868">
      <w:pPr>
        <w:spacing w:before="240" w:after="240"/>
        <w:jc w:val="both"/>
      </w:pPr>
      <w:r w:rsidRPr="2FC2A464">
        <w:rPr>
          <w:rFonts w:ascii="Nunito Sans" w:hAnsi="Nunito Sans" w:eastAsia="Nunito Sans" w:cs="Nunito Sans"/>
          <w:color w:val="000000" w:themeColor="text1"/>
          <w:sz w:val="22"/>
          <w:szCs w:val="22"/>
        </w:rPr>
        <w:t>Con el fin de garantizar el seguimiento efectivo, la trazabilidad de los avances y la toma de decisiones basada en evidencia, el Plan Estratégico de Tecnologías de la Información (PETI) Sectorial 2025–2030 incorpora un componente de seguimiento y control mediante indicadores estratégicos, orientados a medir el nivel de implementación, madurez e impacto de las iniciativas definidas para el sector minero-energético.</w:t>
      </w:r>
    </w:p>
    <w:p w:rsidRPr="00812223" w:rsidR="005E3BD6" w:rsidP="2FC2A464" w:rsidRDefault="04C6CC26" w14:paraId="0CFE5740" w14:textId="4559C5C7">
      <w:pPr>
        <w:spacing w:before="240" w:after="240"/>
        <w:jc w:val="both"/>
      </w:pPr>
      <w:r w:rsidRPr="2FC2A464">
        <w:rPr>
          <w:rFonts w:ascii="Nunito Sans" w:hAnsi="Nunito Sans" w:eastAsia="Nunito Sans" w:cs="Nunito Sans"/>
          <w:color w:val="000000" w:themeColor="text1"/>
          <w:sz w:val="22"/>
          <w:szCs w:val="22"/>
        </w:rPr>
        <w:t>Estos indicadores permiten evaluar de manera objetiva el cumplimiento de los proyectos sectoriales, la adopción de lineamientos técnicos comunes, el nivel de monitoreo y respuesta a incidentes a través del CSIRT sectorial, y el avance en la digitalización e integración de los trámites sectoriales. Así mismo, contribuyen a la articulación entre las entidades adscritas y el Ministerio de Minas y Energía, en el marco de la Política de Gobierno Digital y los lineamientos normativos vigentes para el sector.</w:t>
      </w:r>
    </w:p>
    <w:p w:rsidRPr="00812223" w:rsidR="005E3BD6" w:rsidP="2FC2A464" w:rsidRDefault="04C6CC26" w14:paraId="619B0C43" w14:textId="28D1D0BC">
      <w:pPr>
        <w:spacing w:before="240" w:after="240"/>
        <w:jc w:val="both"/>
      </w:pPr>
      <w:r w:rsidRPr="714557D8" w:rsidR="04C6CC26">
        <w:rPr>
          <w:rFonts w:ascii="Nunito Sans" w:hAnsi="Nunito Sans" w:eastAsia="Nunito Sans" w:cs="Nunito Sans"/>
          <w:color w:val="000000" w:themeColor="text1" w:themeTint="FF" w:themeShade="FF"/>
          <w:sz w:val="22"/>
          <w:szCs w:val="22"/>
        </w:rPr>
        <w:t>La medición periódica de estos indicadores constituye un instrumento fundamental de gobernanza, ya que habilita la identificación temprana de brechas, la priorización de acciones de mejora y la rendición de cuentas sobre el avance de la hoja de ruta sectorial, asegurando que la inversión en tecnologías de la información genere valor público, eficiencia operativa y transparencia para la ciudadanía y los actores del sector. Para ello, cada indicador fue formulado especificando su objetivo, tipo (resultado</w:t>
      </w:r>
      <w:r w:rsidRPr="714557D8" w:rsidR="2D81E1B1">
        <w:rPr>
          <w:rFonts w:ascii="Nunito Sans" w:hAnsi="Nunito Sans" w:eastAsia="Nunito Sans" w:cs="Nunito Sans"/>
          <w:color w:val="000000" w:themeColor="text1" w:themeTint="FF" w:themeShade="FF"/>
          <w:sz w:val="22"/>
          <w:szCs w:val="22"/>
        </w:rPr>
        <w:t xml:space="preserve"> o</w:t>
      </w:r>
      <w:r w:rsidRPr="714557D8" w:rsidR="04C6CC26">
        <w:rPr>
          <w:rFonts w:ascii="Nunito Sans" w:hAnsi="Nunito Sans" w:eastAsia="Nunito Sans" w:cs="Nunito Sans"/>
          <w:color w:val="000000" w:themeColor="text1" w:themeTint="FF" w:themeShade="FF"/>
          <w:sz w:val="22"/>
          <w:szCs w:val="22"/>
        </w:rPr>
        <w:t xml:space="preserve"> gestión), fórmula de cálculo, frecuencia de medición y fuente de información, así como los rangos de calificación que permiten clasificar el desempeño alcanzado en las categorías de sobresaliente, satisfactorio o deficiente.</w:t>
      </w:r>
    </w:p>
    <w:p w:rsidR="005E3BD6" w:rsidP="005E3BD6" w:rsidRDefault="005E3BD6" w14:paraId="143255B0" w14:textId="77777777">
      <w:pPr>
        <w:pBdr>
          <w:top w:val="nil"/>
          <w:left w:val="nil"/>
          <w:bottom w:val="nil"/>
          <w:right w:val="nil"/>
          <w:between w:val="nil"/>
        </w:pBdr>
        <w:jc w:val="both"/>
        <w:rPr>
          <w:rFonts w:ascii="Nunito Sans" w:hAnsi="Nunito Sans" w:eastAsia="Arial" w:cs="Calibri"/>
          <w:color w:val="000000" w:themeColor="text1"/>
          <w:sz w:val="22"/>
          <w:szCs w:val="22"/>
          <w:highlight w:val="white"/>
        </w:rPr>
      </w:pPr>
      <w:r w:rsidRPr="007E3FC8">
        <w:rPr>
          <w:rFonts w:ascii="Nunito Sans" w:hAnsi="Nunito Sans" w:eastAsia="Arial" w:cs="Calibri"/>
          <w:color w:val="000000" w:themeColor="text1"/>
          <w:sz w:val="22"/>
          <w:szCs w:val="22"/>
          <w:highlight w:val="white"/>
        </w:rPr>
        <w:lastRenderedPageBreak/>
        <w:t>El Plan Estratégico de Tecnologías de la Información sectorial define un tablero de control que contiene los indicadores con los cuales se controlará el grado de ejecución.</w:t>
      </w:r>
    </w:p>
    <w:p w:rsidR="005E3BD6" w:rsidP="005E3BD6" w:rsidRDefault="005E3BD6" w14:paraId="6A0DFCBA" w14:textId="77777777">
      <w:pPr>
        <w:pBdr>
          <w:top w:val="nil"/>
          <w:left w:val="nil"/>
          <w:bottom w:val="nil"/>
          <w:right w:val="nil"/>
          <w:between w:val="nil"/>
        </w:pBdr>
        <w:jc w:val="both"/>
        <w:rPr>
          <w:rFonts w:ascii="Nunito Sans" w:hAnsi="Nunito Sans" w:eastAsia="Arial" w:cs="Calibri"/>
          <w:color w:val="000000" w:themeColor="text1"/>
          <w:sz w:val="22"/>
          <w:szCs w:val="22"/>
          <w:highlight w:val="white"/>
        </w:rPr>
      </w:pPr>
    </w:p>
    <w:p w:rsidR="00E45456" w:rsidP="00D34B49" w:rsidRDefault="00E45456" w14:paraId="766CBFE3" w14:textId="2E928DDE">
      <w:pPr>
        <w:ind w:left="360" w:hanging="360"/>
        <w:jc w:val="center"/>
      </w:pPr>
      <w:bookmarkStart w:name="_Toc220664247" w:id="654"/>
      <w:r w:rsidRPr="00E45456">
        <w:rPr>
          <w:rFonts w:ascii="Nunito Sans" w:hAnsi="Nunito Sans" w:cs="Calibri"/>
          <w:b/>
          <w:bCs/>
          <w:sz w:val="18"/>
          <w:szCs w:val="18"/>
        </w:rPr>
        <w:t xml:space="preserve">Tabla </w:t>
      </w:r>
      <w:r w:rsidRPr="00E45456">
        <w:rPr>
          <w:rFonts w:ascii="Nunito Sans" w:hAnsi="Nunito Sans" w:cs="Calibri"/>
          <w:b/>
          <w:bCs/>
          <w:sz w:val="18"/>
          <w:szCs w:val="18"/>
        </w:rPr>
        <w:fldChar w:fldCharType="begin"/>
      </w:r>
      <w:r w:rsidRPr="00E45456">
        <w:rPr>
          <w:rFonts w:ascii="Nunito Sans" w:hAnsi="Nunito Sans" w:cs="Calibri"/>
          <w:b/>
          <w:bCs/>
          <w:sz w:val="18"/>
          <w:szCs w:val="18"/>
        </w:rPr>
        <w:instrText xml:space="preserve"> SEQ Tabla \* ARABIC </w:instrText>
      </w:r>
      <w:r w:rsidRPr="00E45456">
        <w:rPr>
          <w:rFonts w:ascii="Nunito Sans" w:hAnsi="Nunito Sans" w:cs="Calibri"/>
          <w:b/>
          <w:bCs/>
          <w:sz w:val="18"/>
          <w:szCs w:val="18"/>
        </w:rPr>
        <w:fldChar w:fldCharType="separate"/>
      </w:r>
      <w:r w:rsidR="00C57F7B">
        <w:rPr>
          <w:rFonts w:ascii="Nunito Sans" w:hAnsi="Nunito Sans" w:cs="Calibri"/>
          <w:b/>
          <w:bCs/>
          <w:noProof/>
          <w:sz w:val="18"/>
          <w:szCs w:val="18"/>
        </w:rPr>
        <w:t>76</w:t>
      </w:r>
      <w:r w:rsidRPr="00E45456">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005E3BD6">
        <w:rPr>
          <w:rFonts w:ascii="Nunito Sans" w:hAnsi="Nunito Sans" w:cs="Calibri"/>
          <w:b/>
          <w:bCs/>
          <w:sz w:val="18"/>
          <w:szCs w:val="18"/>
        </w:rPr>
        <w:t xml:space="preserve">Tablero de Control del Plan </w:t>
      </w:r>
      <w:r w:rsidRPr="00CB7427" w:rsidR="005E3BD6">
        <w:rPr>
          <w:rFonts w:ascii="Nunito Sans" w:hAnsi="Nunito Sans" w:cs="Calibri"/>
          <w:b/>
          <w:bCs/>
          <w:sz w:val="18"/>
          <w:szCs w:val="18"/>
        </w:rPr>
        <w:t>Estratégico de Tecnologías de la Información sectorial</w:t>
      </w:r>
      <w:bookmarkEnd w:id="654"/>
    </w:p>
    <w:tbl>
      <w:tblPr>
        <w:tblW w:w="5138" w:type="pct"/>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ayout w:type="fixed"/>
        <w:tblCellMar>
          <w:left w:w="0" w:type="dxa"/>
          <w:right w:w="0" w:type="dxa"/>
        </w:tblCellMar>
        <w:tblLook w:val="04A0" w:firstRow="1" w:lastRow="0" w:firstColumn="1" w:lastColumn="0" w:noHBand="0" w:noVBand="1"/>
      </w:tblPr>
      <w:tblGrid>
        <w:gridCol w:w="846"/>
        <w:gridCol w:w="1416"/>
        <w:gridCol w:w="1985"/>
        <w:gridCol w:w="1420"/>
        <w:gridCol w:w="2835"/>
        <w:gridCol w:w="1275"/>
      </w:tblGrid>
      <w:tr w:rsidRPr="002F4217" w:rsidR="005E3BD6" w:rsidTr="714557D8" w14:paraId="6F2266E3" w14:textId="77777777">
        <w:trPr>
          <w:trHeight w:val="405"/>
        </w:trPr>
        <w:tc>
          <w:tcPr>
            <w:tcW w:w="433" w:type="pct"/>
            <w:vMerge w:val="restart"/>
            <w:shd w:val="clear" w:color="auto" w:fill="E1AF3B"/>
            <w:tcMar/>
            <w:vAlign w:val="center"/>
            <w:hideMark/>
          </w:tcPr>
          <w:p w:rsidRPr="00BF4888" w:rsidR="005E3BD6" w:rsidP="00B4771C" w:rsidRDefault="005E3BD6" w14:paraId="25D99FF7" w14:textId="77777777">
            <w:pPr>
              <w:pStyle w:val="paragraph"/>
              <w:spacing w:before="0" w:beforeAutospacing="0" w:after="0" w:afterAutospacing="0"/>
              <w:jc w:val="center"/>
              <w:textAlignment w:val="baseline"/>
              <w:rPr>
                <w:rFonts w:ascii="Nunito Sans" w:hAnsi="Nunito Sans" w:cs="Segoe UI"/>
                <w:sz w:val="18"/>
                <w:szCs w:val="18"/>
              </w:rPr>
            </w:pPr>
            <w:r w:rsidRPr="00BF4888">
              <w:rPr>
                <w:rStyle w:val="normaltextrun"/>
                <w:rFonts w:ascii="Nunito Sans" w:hAnsi="Nunito Sans" w:eastAsia="Nunito Sans"/>
                <w:b/>
                <w:bCs/>
                <w:color w:val="FFFFFF"/>
                <w:sz w:val="18"/>
                <w:szCs w:val="18"/>
              </w:rPr>
              <w:t>ID</w:t>
            </w:r>
          </w:p>
        </w:tc>
        <w:tc>
          <w:tcPr>
            <w:tcW w:w="724" w:type="pct"/>
            <w:vMerge w:val="restart"/>
            <w:shd w:val="clear" w:color="auto" w:fill="E1AF3B"/>
            <w:tcMar/>
            <w:vAlign w:val="center"/>
            <w:hideMark/>
          </w:tcPr>
          <w:p w:rsidRPr="00BF4888" w:rsidR="005E3BD6" w:rsidP="00B4771C" w:rsidRDefault="005E3BD6" w14:paraId="28DA982E" w14:textId="77777777">
            <w:pPr>
              <w:pStyle w:val="paragraph"/>
              <w:spacing w:before="0" w:beforeAutospacing="0" w:after="0" w:afterAutospacing="0"/>
              <w:jc w:val="center"/>
              <w:textAlignment w:val="baseline"/>
              <w:rPr>
                <w:rFonts w:ascii="Nunito Sans" w:hAnsi="Nunito Sans" w:cs="Segoe UI"/>
                <w:sz w:val="18"/>
                <w:szCs w:val="18"/>
              </w:rPr>
            </w:pPr>
            <w:r w:rsidRPr="00BF4888">
              <w:rPr>
                <w:rStyle w:val="normaltextrun"/>
                <w:rFonts w:ascii="Nunito Sans" w:hAnsi="Nunito Sans" w:eastAsia="Nunito Sans" w:cs="Segoe UI"/>
                <w:b/>
                <w:bCs/>
                <w:color w:val="FFFFFF"/>
                <w:sz w:val="18"/>
                <w:szCs w:val="18"/>
              </w:rPr>
              <w:t>NOMBRE DEL INDICADOR</w:t>
            </w:r>
          </w:p>
        </w:tc>
        <w:tc>
          <w:tcPr>
            <w:tcW w:w="1015" w:type="pct"/>
            <w:vMerge w:val="restart"/>
            <w:shd w:val="clear" w:color="auto" w:fill="E1AF3B"/>
            <w:tcMar/>
            <w:vAlign w:val="center"/>
            <w:hideMark/>
          </w:tcPr>
          <w:p w:rsidRPr="00BF4888" w:rsidR="005E3BD6" w:rsidP="00B4771C" w:rsidRDefault="005E3BD6" w14:paraId="650CE132" w14:textId="77777777">
            <w:pPr>
              <w:pStyle w:val="paragraph"/>
              <w:spacing w:before="0" w:beforeAutospacing="0" w:after="0" w:afterAutospacing="0"/>
              <w:jc w:val="center"/>
              <w:textAlignment w:val="baseline"/>
              <w:rPr>
                <w:rFonts w:ascii="Nunito Sans" w:hAnsi="Nunito Sans" w:cs="Segoe UI"/>
                <w:sz w:val="18"/>
                <w:szCs w:val="18"/>
              </w:rPr>
            </w:pPr>
            <w:r w:rsidRPr="00BF4888">
              <w:rPr>
                <w:rStyle w:val="normaltextrun"/>
                <w:rFonts w:ascii="Nunito Sans" w:hAnsi="Nunito Sans" w:eastAsia="Nunito Sans" w:cs="Segoe UI"/>
                <w:b/>
                <w:bCs/>
                <w:color w:val="FFFFFF"/>
                <w:sz w:val="18"/>
                <w:szCs w:val="18"/>
              </w:rPr>
              <w:t>OBJETIVO</w:t>
            </w:r>
          </w:p>
        </w:tc>
        <w:tc>
          <w:tcPr>
            <w:tcW w:w="726" w:type="pct"/>
            <w:vMerge w:val="restart"/>
            <w:shd w:val="clear" w:color="auto" w:fill="E1AF3B"/>
            <w:tcMar/>
            <w:vAlign w:val="center"/>
            <w:hideMark/>
          </w:tcPr>
          <w:p w:rsidRPr="00BF4888" w:rsidR="005E3BD6" w:rsidP="00B4771C" w:rsidRDefault="005E3BD6" w14:paraId="3A2815C1" w14:textId="77777777">
            <w:pPr>
              <w:pStyle w:val="paragraph"/>
              <w:spacing w:before="0" w:beforeAutospacing="0" w:after="0" w:afterAutospacing="0"/>
              <w:jc w:val="center"/>
              <w:textAlignment w:val="baseline"/>
              <w:rPr>
                <w:rFonts w:ascii="Nunito Sans" w:hAnsi="Nunito Sans" w:cs="Segoe UI"/>
                <w:sz w:val="18"/>
                <w:szCs w:val="18"/>
              </w:rPr>
            </w:pPr>
            <w:r w:rsidRPr="00BF4888">
              <w:rPr>
                <w:rStyle w:val="normaltextrun"/>
                <w:rFonts w:ascii="Nunito Sans" w:hAnsi="Nunito Sans" w:eastAsia="Nunito Sans" w:cs="Segoe UI"/>
                <w:b/>
                <w:bCs/>
                <w:color w:val="FFFFFF"/>
                <w:sz w:val="18"/>
                <w:szCs w:val="18"/>
              </w:rPr>
              <w:t>TIPO INDICADOR</w:t>
            </w:r>
          </w:p>
        </w:tc>
        <w:tc>
          <w:tcPr>
            <w:tcW w:w="1450" w:type="pct"/>
            <w:vMerge w:val="restart"/>
            <w:shd w:val="clear" w:color="auto" w:fill="E1AF3B"/>
            <w:tcMar/>
            <w:vAlign w:val="center"/>
            <w:hideMark/>
          </w:tcPr>
          <w:p w:rsidRPr="00BF4888" w:rsidR="005E3BD6" w:rsidP="00B4771C" w:rsidRDefault="005E3BD6" w14:paraId="2ED757BE" w14:textId="77777777">
            <w:pPr>
              <w:pStyle w:val="paragraph"/>
              <w:spacing w:before="0" w:beforeAutospacing="0" w:after="0" w:afterAutospacing="0"/>
              <w:jc w:val="center"/>
              <w:textAlignment w:val="baseline"/>
              <w:rPr>
                <w:rFonts w:ascii="Nunito Sans" w:hAnsi="Nunito Sans" w:cs="Segoe UI"/>
                <w:sz w:val="18"/>
                <w:szCs w:val="18"/>
              </w:rPr>
            </w:pPr>
            <w:r w:rsidRPr="00BF4888">
              <w:rPr>
                <w:rStyle w:val="normaltextrun"/>
                <w:rFonts w:ascii="Nunito Sans" w:hAnsi="Nunito Sans" w:eastAsia="Nunito Sans" w:cs="Segoe UI"/>
                <w:b/>
                <w:bCs/>
                <w:color w:val="FFFFFF"/>
                <w:sz w:val="18"/>
                <w:szCs w:val="18"/>
              </w:rPr>
              <w:t>FÓRMULA</w:t>
            </w:r>
          </w:p>
        </w:tc>
        <w:tc>
          <w:tcPr>
            <w:tcW w:w="652" w:type="pct"/>
            <w:vMerge w:val="restart"/>
            <w:shd w:val="clear" w:color="auto" w:fill="E1AF3B"/>
            <w:tcMar/>
            <w:vAlign w:val="center"/>
            <w:hideMark/>
          </w:tcPr>
          <w:p w:rsidRPr="00BF4888" w:rsidR="005E3BD6" w:rsidP="00B4771C" w:rsidRDefault="005E3BD6" w14:paraId="164DEA92" w14:textId="77777777">
            <w:pPr>
              <w:pStyle w:val="paragraph"/>
              <w:spacing w:before="0" w:beforeAutospacing="0" w:after="0" w:afterAutospacing="0"/>
              <w:jc w:val="center"/>
              <w:textAlignment w:val="baseline"/>
              <w:rPr>
                <w:rFonts w:ascii="Nunito Sans" w:hAnsi="Nunito Sans" w:cs="Segoe UI"/>
                <w:sz w:val="18"/>
                <w:szCs w:val="18"/>
              </w:rPr>
            </w:pPr>
            <w:r w:rsidRPr="00BF4888">
              <w:rPr>
                <w:rStyle w:val="normaltextrun"/>
                <w:rFonts w:ascii="Nunito Sans" w:hAnsi="Nunito Sans" w:eastAsia="Nunito Sans" w:cs="Segoe UI"/>
                <w:b/>
                <w:bCs/>
                <w:color w:val="FFFFFF"/>
                <w:sz w:val="18"/>
                <w:szCs w:val="18"/>
              </w:rPr>
              <w:t>FRECUENCIA</w:t>
            </w:r>
          </w:p>
        </w:tc>
      </w:tr>
      <w:tr w:rsidRPr="002F4217" w:rsidR="005E3BD6" w:rsidTr="714557D8" w14:paraId="6F3495FE" w14:textId="77777777">
        <w:trPr>
          <w:trHeight w:val="315"/>
        </w:trPr>
        <w:tc>
          <w:tcPr>
            <w:tcW w:w="433" w:type="pct"/>
            <w:vMerge/>
            <w:tcMar/>
            <w:vAlign w:val="center"/>
            <w:hideMark/>
          </w:tcPr>
          <w:p w:rsidRPr="002F4217" w:rsidR="005E3BD6" w:rsidP="00B4771C" w:rsidRDefault="005E3BD6" w14:paraId="15D1F6CC" w14:textId="77777777">
            <w:pPr>
              <w:rPr>
                <w:rFonts w:ascii="Nunito Sans" w:hAnsi="Nunito Sans" w:cs="Segoe UI"/>
                <w:sz w:val="18"/>
                <w:szCs w:val="18"/>
              </w:rPr>
            </w:pPr>
          </w:p>
        </w:tc>
        <w:tc>
          <w:tcPr>
            <w:tcW w:w="724" w:type="pct"/>
            <w:vMerge/>
            <w:tcMar/>
            <w:vAlign w:val="center"/>
            <w:hideMark/>
          </w:tcPr>
          <w:p w:rsidRPr="002F4217" w:rsidR="005E3BD6" w:rsidP="00B4771C" w:rsidRDefault="005E3BD6" w14:paraId="32F5ABFA" w14:textId="77777777">
            <w:pPr>
              <w:rPr>
                <w:rFonts w:ascii="Nunito Sans" w:hAnsi="Nunito Sans" w:cs="Segoe UI"/>
                <w:sz w:val="18"/>
                <w:szCs w:val="18"/>
              </w:rPr>
            </w:pPr>
          </w:p>
        </w:tc>
        <w:tc>
          <w:tcPr>
            <w:tcW w:w="1015" w:type="pct"/>
            <w:vMerge/>
            <w:tcMar/>
            <w:vAlign w:val="center"/>
            <w:hideMark/>
          </w:tcPr>
          <w:p w:rsidRPr="002F4217" w:rsidR="005E3BD6" w:rsidP="00B4771C" w:rsidRDefault="005E3BD6" w14:paraId="15D374AF" w14:textId="77777777">
            <w:pPr>
              <w:rPr>
                <w:rFonts w:ascii="Nunito Sans" w:hAnsi="Nunito Sans" w:cs="Segoe UI"/>
                <w:sz w:val="18"/>
                <w:szCs w:val="18"/>
              </w:rPr>
            </w:pPr>
          </w:p>
        </w:tc>
        <w:tc>
          <w:tcPr>
            <w:tcW w:w="726" w:type="pct"/>
            <w:vMerge/>
            <w:tcMar/>
            <w:vAlign w:val="center"/>
            <w:hideMark/>
          </w:tcPr>
          <w:p w:rsidRPr="002F4217" w:rsidR="005E3BD6" w:rsidP="00B4771C" w:rsidRDefault="005E3BD6" w14:paraId="6C300F66" w14:textId="77777777">
            <w:pPr>
              <w:rPr>
                <w:rFonts w:ascii="Nunito Sans" w:hAnsi="Nunito Sans" w:cs="Segoe UI"/>
                <w:sz w:val="18"/>
                <w:szCs w:val="18"/>
              </w:rPr>
            </w:pPr>
          </w:p>
        </w:tc>
        <w:tc>
          <w:tcPr>
            <w:tcW w:w="1450" w:type="pct"/>
            <w:vMerge/>
            <w:tcMar/>
            <w:vAlign w:val="center"/>
            <w:hideMark/>
          </w:tcPr>
          <w:p w:rsidRPr="002F4217" w:rsidR="005E3BD6" w:rsidP="00B4771C" w:rsidRDefault="005E3BD6" w14:paraId="0ACBB43E" w14:textId="77777777">
            <w:pPr>
              <w:rPr>
                <w:rFonts w:ascii="Nunito Sans" w:hAnsi="Nunito Sans" w:cs="Segoe UI"/>
                <w:sz w:val="18"/>
                <w:szCs w:val="18"/>
              </w:rPr>
            </w:pPr>
          </w:p>
        </w:tc>
        <w:tc>
          <w:tcPr>
            <w:tcW w:w="652" w:type="pct"/>
            <w:vMerge/>
            <w:tcMar/>
            <w:vAlign w:val="center"/>
            <w:hideMark/>
          </w:tcPr>
          <w:p w:rsidRPr="002F4217" w:rsidR="005E3BD6" w:rsidP="00B4771C" w:rsidRDefault="005E3BD6" w14:paraId="43CE6F7D" w14:textId="77777777">
            <w:pPr>
              <w:rPr>
                <w:rFonts w:ascii="Nunito Sans" w:hAnsi="Nunito Sans" w:cs="Segoe UI"/>
                <w:sz w:val="18"/>
                <w:szCs w:val="18"/>
              </w:rPr>
            </w:pPr>
          </w:p>
        </w:tc>
      </w:tr>
      <w:tr w:rsidRPr="002F4217" w:rsidR="005E3BD6" w:rsidTr="714557D8" w14:paraId="5260CDD1" w14:textId="77777777">
        <w:trPr>
          <w:trHeight w:val="1080"/>
        </w:trPr>
        <w:tc>
          <w:tcPr>
            <w:tcW w:w="433" w:type="pct"/>
            <w:tcMar/>
            <w:vAlign w:val="center"/>
            <w:hideMark/>
          </w:tcPr>
          <w:p w:rsidRPr="002F4217" w:rsidR="005E3BD6" w:rsidP="00BF4888" w:rsidRDefault="005E3BD6" w14:paraId="4F6B1753" w14:textId="7016FE75">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IND_001</w:t>
            </w:r>
          </w:p>
        </w:tc>
        <w:tc>
          <w:tcPr>
            <w:tcW w:w="724" w:type="pct"/>
            <w:tcMar/>
            <w:vAlign w:val="center"/>
            <w:hideMark/>
          </w:tcPr>
          <w:p w:rsidRPr="002F4217" w:rsidR="005E3BD6" w:rsidP="00BF4888" w:rsidRDefault="005E3BD6" w14:paraId="5A6AB447" w14:textId="3D2CC172">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b/>
                <w:bCs/>
                <w:color w:val="000000"/>
                <w:sz w:val="18"/>
                <w:szCs w:val="18"/>
              </w:rPr>
              <w:t>Porcentaje de Entidades Integradas al CSIRT mediante Sensores y Agentes de Monitoreo</w:t>
            </w:r>
            <w:r w:rsidRPr="002F4217">
              <w:rPr>
                <w:rStyle w:val="normaltextrun"/>
                <w:rFonts w:eastAsia="Nunito Sans"/>
                <w:b/>
                <w:bCs/>
                <w:color w:val="000000"/>
                <w:sz w:val="18"/>
                <w:szCs w:val="18"/>
                <w:lang w:val="es-ES"/>
              </w:rPr>
              <w:t> </w:t>
            </w:r>
          </w:p>
          <w:p w:rsidRPr="002F4217" w:rsidR="005E3BD6" w:rsidP="00BF4888" w:rsidRDefault="005E3BD6" w14:paraId="4A92DB90" w14:textId="7905FE50">
            <w:pPr>
              <w:pStyle w:val="paragraph"/>
              <w:spacing w:before="0" w:beforeAutospacing="0" w:after="0" w:afterAutospacing="0"/>
              <w:jc w:val="center"/>
              <w:textAlignment w:val="baseline"/>
              <w:rPr>
                <w:rFonts w:ascii="Nunito Sans" w:hAnsi="Nunito Sans" w:cs="Segoe UI"/>
                <w:sz w:val="18"/>
                <w:szCs w:val="18"/>
              </w:rPr>
            </w:pPr>
          </w:p>
        </w:tc>
        <w:tc>
          <w:tcPr>
            <w:tcW w:w="1015" w:type="pct"/>
            <w:tcMar/>
            <w:vAlign w:val="center"/>
            <w:hideMark/>
          </w:tcPr>
          <w:p w:rsidR="5EA097BD" w:rsidP="714557D8" w:rsidRDefault="5EA097BD" w14:paraId="35B36078" w14:textId="5B9C061D">
            <w:pPr>
              <w:pStyle w:val="paragraph"/>
              <w:spacing w:before="0" w:beforeAutospacing="off" w:after="0" w:afterAutospacing="off"/>
              <w:jc w:val="center"/>
            </w:pPr>
            <w:r w:rsidRPr="714557D8" w:rsidR="5EA097BD">
              <w:rPr>
                <w:rStyle w:val="eop"/>
                <w:rFonts w:ascii="Nunito Sans" w:hAnsi="Nunito Sans" w:eastAsia="Nunito Sans" w:cs="Segoe UI"/>
                <w:color w:val="000000" w:themeColor="text1" w:themeTint="FF" w:themeShade="FF"/>
                <w:sz w:val="18"/>
                <w:szCs w:val="18"/>
              </w:rPr>
              <w:t>Mide el nivel de adopción sectorial del Centro de Monitoreo y CSIRT, evaluando cuántas entidades adscritas tienen instalados y operativos los sensores, agentes, colectores o sondas necesarias para la supervisión de infraestructura IT/OT </w:t>
            </w:r>
          </w:p>
          <w:p w:rsidRPr="002F4217" w:rsidR="005E3BD6" w:rsidP="00BF4888" w:rsidRDefault="005E3BD6" w14:paraId="7152CDEC" w14:textId="1CF63940">
            <w:pPr>
              <w:pStyle w:val="paragraph"/>
              <w:spacing w:before="0" w:beforeAutospacing="0" w:after="0" w:afterAutospacing="0"/>
              <w:jc w:val="center"/>
              <w:textAlignment w:val="baseline"/>
              <w:rPr>
                <w:rFonts w:ascii="Nunito Sans" w:hAnsi="Nunito Sans" w:cs="Segoe UI"/>
                <w:sz w:val="18"/>
                <w:szCs w:val="18"/>
              </w:rPr>
            </w:pPr>
          </w:p>
        </w:tc>
        <w:tc>
          <w:tcPr>
            <w:tcW w:w="726" w:type="pct"/>
            <w:tcMar/>
            <w:vAlign w:val="center"/>
            <w:hideMark/>
          </w:tcPr>
          <w:p w:rsidRPr="002F4217" w:rsidR="005E3BD6" w:rsidP="00BF4888" w:rsidRDefault="6D30955E" w14:paraId="10B2D358" w14:textId="33ED8E95">
            <w:pPr>
              <w:pStyle w:val="paragraph"/>
              <w:spacing w:before="0" w:beforeAutospacing="0" w:after="0" w:afterAutospacing="0"/>
              <w:jc w:val="center"/>
              <w:textAlignment w:val="baseline"/>
            </w:pPr>
            <w:r w:rsidRPr="2FC2A464">
              <w:rPr>
                <w:rStyle w:val="eop"/>
                <w:rFonts w:ascii="Nunito Sans" w:hAnsi="Nunito Sans" w:eastAsia="Nunito Sans" w:cs="Segoe UI"/>
                <w:color w:val="000000" w:themeColor="text1"/>
                <w:sz w:val="18"/>
                <w:szCs w:val="18"/>
              </w:rPr>
              <w:t>Resultado</w:t>
            </w:r>
          </w:p>
        </w:tc>
        <w:tc>
          <w:tcPr>
            <w:tcW w:w="1450" w:type="pct"/>
            <w:tcMar/>
            <w:vAlign w:val="center"/>
            <w:hideMark/>
          </w:tcPr>
          <w:p w:rsidR="6D30955E" w:rsidP="00BF4888" w:rsidRDefault="6D30955E" w14:paraId="7C337D11" w14:textId="2CFEFB3B">
            <w:pPr>
              <w:pStyle w:val="paragraph"/>
              <w:spacing w:before="0" w:beforeAutospacing="0" w:after="0" w:afterAutospacing="0"/>
              <w:jc w:val="center"/>
            </w:pPr>
            <w:r w:rsidRPr="2FC2A464">
              <w:rPr>
                <w:rStyle w:val="eop"/>
                <w:rFonts w:ascii="Nunito Sans" w:hAnsi="Nunito Sans" w:eastAsia="Nunito Sans" w:cs="Segoe UI"/>
                <w:color w:val="000000" w:themeColor="text1"/>
                <w:sz w:val="18"/>
                <w:szCs w:val="18"/>
              </w:rPr>
              <w:t>Porcentaje de Integración= (Número de entidades con sensores activos y reportando al CSIRT /Total de entidades del sector) ×100</w:t>
            </w:r>
          </w:p>
          <w:p w:rsidRPr="002F4217" w:rsidR="005E3BD6" w:rsidP="00BF4888" w:rsidRDefault="005E3BD6" w14:paraId="5ACD846E" w14:textId="4CF8DC00">
            <w:pPr>
              <w:pStyle w:val="paragraph"/>
              <w:spacing w:before="0" w:beforeAutospacing="0" w:after="0" w:afterAutospacing="0"/>
              <w:jc w:val="center"/>
              <w:textAlignment w:val="baseline"/>
              <w:rPr>
                <w:rFonts w:ascii="Nunito Sans" w:hAnsi="Nunito Sans" w:cs="Segoe UI"/>
                <w:sz w:val="18"/>
                <w:szCs w:val="18"/>
              </w:rPr>
            </w:pPr>
          </w:p>
        </w:tc>
        <w:tc>
          <w:tcPr>
            <w:tcW w:w="652" w:type="pct"/>
            <w:tcMar/>
            <w:vAlign w:val="center"/>
            <w:hideMark/>
          </w:tcPr>
          <w:p w:rsidRPr="002F4217" w:rsidR="005E3BD6" w:rsidP="00BF4888" w:rsidRDefault="3049B9EF" w14:paraId="195E4E73" w14:textId="3BCA6355">
            <w:pPr>
              <w:pStyle w:val="paragraph"/>
              <w:spacing w:before="0" w:beforeAutospacing="0" w:after="0" w:afterAutospacing="0" w:line="259" w:lineRule="auto"/>
              <w:jc w:val="center"/>
            </w:pPr>
            <w:r w:rsidRPr="2FC2A464">
              <w:rPr>
                <w:rStyle w:val="normaltextrun"/>
                <w:rFonts w:ascii="Nunito Sans" w:hAnsi="Nunito Sans" w:eastAsia="Nunito Sans" w:cs="Segoe UI"/>
                <w:color w:val="000000" w:themeColor="text1"/>
                <w:sz w:val="18"/>
                <w:szCs w:val="18"/>
              </w:rPr>
              <w:t>Anual</w:t>
            </w:r>
          </w:p>
        </w:tc>
      </w:tr>
      <w:tr w:rsidRPr="002F4217" w:rsidR="005E3BD6" w:rsidTr="714557D8" w14:paraId="1CCBE563" w14:textId="77777777">
        <w:trPr>
          <w:trHeight w:val="1440"/>
        </w:trPr>
        <w:tc>
          <w:tcPr>
            <w:tcW w:w="433" w:type="pct"/>
            <w:tcMar/>
            <w:vAlign w:val="center"/>
            <w:hideMark/>
          </w:tcPr>
          <w:p w:rsidRPr="002F4217" w:rsidR="005E3BD6" w:rsidP="00BF4888" w:rsidRDefault="005E3BD6" w14:paraId="66C49B52" w14:textId="021CD67A">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IND_002</w:t>
            </w:r>
          </w:p>
        </w:tc>
        <w:tc>
          <w:tcPr>
            <w:tcW w:w="724" w:type="pct"/>
            <w:tcMar/>
            <w:vAlign w:val="center"/>
            <w:hideMark/>
          </w:tcPr>
          <w:p w:rsidR="63416296" w:rsidP="714557D8" w:rsidRDefault="63416296" w14:paraId="38257FC9" w14:textId="1F82FC2F">
            <w:pPr>
              <w:pStyle w:val="paragraph"/>
              <w:spacing w:before="0" w:beforeAutospacing="off" w:after="0" w:afterAutospacing="off"/>
              <w:jc w:val="center"/>
            </w:pPr>
            <w:r w:rsidRPr="714557D8" w:rsidR="63416296">
              <w:rPr>
                <w:rStyle w:val="eop"/>
                <w:rFonts w:ascii="Nunito Sans" w:hAnsi="Nunito Sans" w:eastAsia="Nunito Sans" w:cs="Segoe UI"/>
                <w:b w:val="1"/>
                <w:bCs w:val="1"/>
                <w:color w:val="000000" w:themeColor="text1" w:themeTint="FF" w:themeShade="FF"/>
                <w:sz w:val="18"/>
                <w:szCs w:val="18"/>
              </w:rPr>
              <w:t>Lineamientos sectoriales formulados y socializados</w:t>
            </w:r>
          </w:p>
          <w:p w:rsidRPr="002F4217" w:rsidR="005E3BD6" w:rsidP="00BF4888" w:rsidRDefault="005E3BD6" w14:paraId="2F72808B" w14:textId="2BF4716A">
            <w:pPr>
              <w:pStyle w:val="paragraph"/>
              <w:spacing w:before="0" w:beforeAutospacing="0" w:after="0" w:afterAutospacing="0"/>
              <w:jc w:val="center"/>
              <w:textAlignment w:val="baseline"/>
              <w:rPr>
                <w:rFonts w:ascii="Nunito Sans" w:hAnsi="Nunito Sans" w:cs="Segoe UI"/>
                <w:sz w:val="18"/>
                <w:szCs w:val="18"/>
              </w:rPr>
            </w:pPr>
          </w:p>
        </w:tc>
        <w:tc>
          <w:tcPr>
            <w:tcW w:w="1015" w:type="pct"/>
            <w:tcMar/>
            <w:vAlign w:val="center"/>
            <w:hideMark/>
          </w:tcPr>
          <w:p w:rsidRPr="002F4217" w:rsidR="005E3BD6" w:rsidP="00BF4888" w:rsidRDefault="005E3BD6" w14:paraId="56BA19E1" w14:textId="5BAFB4D1">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Medir el avance cualitativo en la formulación, consolidación y formalización de lineamientos sectoriales que orientan la gestión institucional y sectorial.</w:t>
            </w:r>
            <w:r w:rsidRPr="002F4217">
              <w:rPr>
                <w:rStyle w:val="normaltextrun"/>
                <w:rFonts w:eastAsia="Nunito Sans"/>
                <w:color w:val="000000"/>
                <w:sz w:val="18"/>
                <w:szCs w:val="18"/>
                <w:lang w:val="es-ES"/>
              </w:rPr>
              <w:t> </w:t>
            </w:r>
          </w:p>
          <w:p w:rsidRPr="002F4217" w:rsidR="005E3BD6" w:rsidP="00BF4888" w:rsidRDefault="005E3BD6" w14:paraId="3C7FAE38" w14:textId="7EB89070">
            <w:pPr>
              <w:pStyle w:val="paragraph"/>
              <w:spacing w:before="0" w:beforeAutospacing="0" w:after="0" w:afterAutospacing="0"/>
              <w:jc w:val="center"/>
              <w:textAlignment w:val="baseline"/>
              <w:rPr>
                <w:rFonts w:ascii="Nunito Sans" w:hAnsi="Nunito Sans" w:cs="Segoe UI"/>
                <w:sz w:val="18"/>
                <w:szCs w:val="18"/>
              </w:rPr>
            </w:pPr>
          </w:p>
        </w:tc>
        <w:tc>
          <w:tcPr>
            <w:tcW w:w="726" w:type="pct"/>
            <w:tcMar/>
            <w:vAlign w:val="center"/>
            <w:hideMark/>
          </w:tcPr>
          <w:p w:rsidR="714557D8" w:rsidP="714557D8" w:rsidRDefault="714557D8" w14:paraId="1BBC59B8" w14:textId="63DCD61A">
            <w:pPr>
              <w:pStyle w:val="paragraph"/>
              <w:suppressLineNumbers w:val="0"/>
              <w:bidi w:val="0"/>
              <w:spacing w:before="0" w:beforeAutospacing="off" w:after="0" w:afterAutospacing="off" w:line="259" w:lineRule="auto"/>
              <w:ind w:left="0" w:right="0"/>
              <w:jc w:val="center"/>
              <w:rPr>
                <w:rStyle w:val="eop"/>
                <w:rFonts w:ascii="Nunito Sans" w:hAnsi="Nunito Sans" w:eastAsia="Nunito Sans" w:cs="Segoe UI"/>
                <w:color w:val="000000" w:themeColor="text1" w:themeTint="FF" w:themeShade="FF"/>
                <w:sz w:val="18"/>
                <w:szCs w:val="18"/>
              </w:rPr>
            </w:pPr>
            <w:r w:rsidRPr="714557D8" w:rsidR="714557D8">
              <w:rPr>
                <w:rStyle w:val="eop"/>
                <w:rFonts w:ascii="Nunito Sans" w:hAnsi="Nunito Sans" w:eastAsia="Nunito Sans" w:cs="Segoe UI"/>
                <w:color w:val="000000" w:themeColor="text1" w:themeTint="FF" w:themeShade="FF"/>
                <w:sz w:val="18"/>
                <w:szCs w:val="18"/>
              </w:rPr>
              <w:t>Resultado</w:t>
            </w:r>
          </w:p>
        </w:tc>
        <w:tc>
          <w:tcPr>
            <w:tcW w:w="1450" w:type="pct"/>
            <w:tcMar/>
            <w:vAlign w:val="center"/>
            <w:hideMark/>
          </w:tcPr>
          <w:p w:rsidR="0EF28AD2" w:rsidP="00BF4888" w:rsidRDefault="0EF28AD2" w14:paraId="074B9F6C" w14:textId="4C56DC20">
            <w:pPr>
              <w:pStyle w:val="paragraph"/>
              <w:spacing w:before="0" w:beforeAutospacing="0" w:after="0" w:afterAutospacing="0"/>
              <w:jc w:val="center"/>
            </w:pPr>
            <w:r w:rsidRPr="2FC2A464">
              <w:rPr>
                <w:rStyle w:val="eop"/>
                <w:rFonts w:ascii="Nunito Sans" w:hAnsi="Nunito Sans" w:eastAsia="Nunito Sans" w:cs="Segoe UI"/>
                <w:color w:val="000000" w:themeColor="text1"/>
                <w:sz w:val="18"/>
                <w:szCs w:val="18"/>
              </w:rPr>
              <w:t>Evaluación cualitativa del estado de formulación y consolidación de los lineamientos sectoriales, de acuerdo con la escala definida.</w:t>
            </w:r>
          </w:p>
          <w:p w:rsidRPr="002F4217" w:rsidR="005E3BD6" w:rsidP="00BF4888" w:rsidRDefault="005E3BD6" w14:paraId="0126A92B" w14:textId="3B4785ED">
            <w:pPr>
              <w:pStyle w:val="paragraph"/>
              <w:spacing w:before="0" w:beforeAutospacing="0" w:after="0" w:afterAutospacing="0"/>
              <w:jc w:val="center"/>
              <w:textAlignment w:val="baseline"/>
              <w:rPr>
                <w:rFonts w:ascii="Nunito Sans" w:hAnsi="Nunito Sans" w:cs="Segoe UI"/>
                <w:sz w:val="18"/>
                <w:szCs w:val="18"/>
              </w:rPr>
            </w:pPr>
          </w:p>
        </w:tc>
        <w:tc>
          <w:tcPr>
            <w:tcW w:w="652" w:type="pct"/>
            <w:tcMar/>
            <w:vAlign w:val="center"/>
            <w:hideMark/>
          </w:tcPr>
          <w:p w:rsidRPr="002F4217" w:rsidR="005E3BD6" w:rsidP="00BF4888" w:rsidRDefault="005E3BD6" w14:paraId="4334847A" w14:textId="41E9A7D2">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Anual</w:t>
            </w:r>
          </w:p>
        </w:tc>
      </w:tr>
      <w:tr w:rsidRPr="002F4217" w:rsidR="005E3BD6" w:rsidTr="714557D8" w14:paraId="2BBD67FD" w14:textId="77777777">
        <w:trPr>
          <w:trHeight w:val="673"/>
        </w:trPr>
        <w:tc>
          <w:tcPr>
            <w:tcW w:w="433" w:type="pct"/>
            <w:tcMar/>
            <w:vAlign w:val="center"/>
            <w:hideMark/>
          </w:tcPr>
          <w:p w:rsidRPr="002F4217" w:rsidR="005E3BD6" w:rsidP="00BF4888" w:rsidRDefault="005E3BD6" w14:paraId="552BD9AF" w14:textId="3BD7EB25">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IND_003</w:t>
            </w:r>
          </w:p>
        </w:tc>
        <w:tc>
          <w:tcPr>
            <w:tcW w:w="724" w:type="pct"/>
            <w:tcMar/>
            <w:vAlign w:val="center"/>
            <w:hideMark/>
          </w:tcPr>
          <w:p w:rsidRPr="002F4217" w:rsidR="005E3BD6" w:rsidP="00BF4888" w:rsidRDefault="005E3BD6" w14:paraId="6DD0D900" w14:textId="6564CBB2">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b/>
                <w:bCs/>
                <w:color w:val="000000"/>
                <w:sz w:val="18"/>
                <w:szCs w:val="18"/>
              </w:rPr>
              <w:t>Porcentaje de Trámites Sectoriales Incorporados en la Ventanilla única minero - energético</w:t>
            </w:r>
            <w:r w:rsidRPr="002F4217">
              <w:rPr>
                <w:rStyle w:val="normaltextrun"/>
                <w:rFonts w:eastAsia="Nunito Sans"/>
                <w:b/>
                <w:bCs/>
                <w:color w:val="000000"/>
                <w:sz w:val="18"/>
                <w:szCs w:val="18"/>
                <w:lang w:val="es-ES"/>
              </w:rPr>
              <w:t> </w:t>
            </w:r>
          </w:p>
        </w:tc>
        <w:tc>
          <w:tcPr>
            <w:tcW w:w="1015" w:type="pct"/>
            <w:tcMar/>
            <w:vAlign w:val="center"/>
            <w:hideMark/>
          </w:tcPr>
          <w:p w:rsidRPr="002F4217" w:rsidR="005E3BD6" w:rsidP="00BF4888" w:rsidRDefault="005E3BD6" w14:paraId="2BA9CCE6" w14:textId="46BD143A">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Medir el avance en la digitalización, estandarización e integración de los trámites del sector en la Ventanilla Única Minero-Energético</w:t>
            </w:r>
            <w:r w:rsidRPr="002F4217">
              <w:rPr>
                <w:rStyle w:val="normaltextrun"/>
                <w:rFonts w:eastAsia="Nunito Sans"/>
                <w:color w:val="000000"/>
                <w:sz w:val="18"/>
                <w:szCs w:val="18"/>
                <w:lang w:val="es-ES"/>
              </w:rPr>
              <w:t> </w:t>
            </w:r>
          </w:p>
        </w:tc>
        <w:tc>
          <w:tcPr>
            <w:tcW w:w="726" w:type="pct"/>
            <w:tcMar/>
            <w:vAlign w:val="center"/>
            <w:hideMark/>
          </w:tcPr>
          <w:p w:rsidRPr="002F4217" w:rsidR="005E3BD6" w:rsidP="00BF4888" w:rsidRDefault="18905B7C" w14:paraId="2C26677A" w14:textId="678604EB">
            <w:pPr>
              <w:pStyle w:val="paragraph"/>
              <w:spacing w:before="0" w:beforeAutospacing="0" w:after="0" w:afterAutospacing="0"/>
              <w:jc w:val="center"/>
              <w:textAlignment w:val="baseline"/>
            </w:pPr>
            <w:r w:rsidRPr="2FC2A464">
              <w:rPr>
                <w:rStyle w:val="eop"/>
                <w:rFonts w:ascii="Nunito Sans" w:hAnsi="Nunito Sans" w:eastAsia="Nunito Sans" w:cs="Segoe UI"/>
                <w:color w:val="000000" w:themeColor="text1"/>
                <w:sz w:val="18"/>
                <w:szCs w:val="18"/>
              </w:rPr>
              <w:t>Resultado</w:t>
            </w:r>
          </w:p>
        </w:tc>
        <w:tc>
          <w:tcPr>
            <w:tcW w:w="1450" w:type="pct"/>
            <w:tcMar/>
            <w:vAlign w:val="center"/>
            <w:hideMark/>
          </w:tcPr>
          <w:p w:rsidRPr="002F4217" w:rsidR="005E3BD6" w:rsidP="00BF4888" w:rsidRDefault="18905B7C" w14:paraId="708C3BFB" w14:textId="093F9DC9">
            <w:pPr>
              <w:pStyle w:val="paragraph"/>
              <w:spacing w:before="0" w:beforeAutospacing="0" w:after="0" w:afterAutospacing="0"/>
              <w:jc w:val="center"/>
              <w:textAlignment w:val="baseline"/>
            </w:pPr>
            <w:r w:rsidRPr="2FC2A464">
              <w:rPr>
                <w:rStyle w:val="normaltextrun"/>
                <w:rFonts w:ascii="Nunito Sans" w:hAnsi="Nunito Sans" w:eastAsia="Nunito Sans" w:cs="Segoe UI"/>
                <w:color w:val="000000" w:themeColor="text1"/>
                <w:sz w:val="18"/>
                <w:szCs w:val="18"/>
              </w:rPr>
              <w:t>Porcentaje de Trámites Sectoriales Incorporados en la Ventanilla única minero-energética = (Número de trámites del sector definidos, priorizados e implementados por cada entidad en la ventanilla única / Número de trámites sectoriales definidos y priorizados por cada entidad en la ventanilla única)  X 100</w:t>
            </w:r>
          </w:p>
        </w:tc>
        <w:tc>
          <w:tcPr>
            <w:tcW w:w="652" w:type="pct"/>
            <w:tcMar/>
            <w:vAlign w:val="center"/>
            <w:hideMark/>
          </w:tcPr>
          <w:p w:rsidRPr="002F4217" w:rsidR="005E3BD6" w:rsidP="00BF4888" w:rsidRDefault="18905B7C" w14:paraId="4EE5F190" w14:textId="73DAFCA5">
            <w:pPr>
              <w:pStyle w:val="paragraph"/>
              <w:spacing w:before="0" w:beforeAutospacing="0" w:after="0" w:afterAutospacing="0" w:line="259" w:lineRule="auto"/>
              <w:jc w:val="center"/>
            </w:pPr>
            <w:r w:rsidRPr="2FC2A464">
              <w:rPr>
                <w:rStyle w:val="normaltextrun"/>
                <w:rFonts w:ascii="Nunito Sans" w:hAnsi="Nunito Sans" w:eastAsia="Nunito Sans" w:cs="Segoe UI"/>
                <w:color w:val="000000" w:themeColor="text1"/>
                <w:sz w:val="18"/>
                <w:szCs w:val="18"/>
              </w:rPr>
              <w:t>Anual</w:t>
            </w:r>
          </w:p>
        </w:tc>
      </w:tr>
      <w:tr w:rsidRPr="002F4217" w:rsidR="005E3BD6" w:rsidTr="714557D8" w14:paraId="4E194EA4" w14:textId="77777777">
        <w:trPr>
          <w:trHeight w:val="1380"/>
        </w:trPr>
        <w:tc>
          <w:tcPr>
            <w:tcW w:w="433" w:type="pct"/>
            <w:tcMar/>
            <w:vAlign w:val="center"/>
            <w:hideMark/>
          </w:tcPr>
          <w:p w:rsidRPr="002F4217" w:rsidR="005E3BD6" w:rsidP="00BF4888" w:rsidRDefault="005E3BD6" w14:paraId="1C4B1C9E" w14:textId="66E76306">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IND_004</w:t>
            </w:r>
          </w:p>
        </w:tc>
        <w:tc>
          <w:tcPr>
            <w:tcW w:w="724" w:type="pct"/>
            <w:tcMar/>
            <w:vAlign w:val="center"/>
            <w:hideMark/>
          </w:tcPr>
          <w:p w:rsidRPr="00BF4888" w:rsidR="005E3BD6" w:rsidP="00BF4888" w:rsidRDefault="0131629F" w14:paraId="0895ACB9" w14:textId="4649183F">
            <w:pPr>
              <w:pStyle w:val="paragraph"/>
              <w:spacing w:before="0" w:beforeAutospacing="0" w:after="0" w:afterAutospacing="0"/>
              <w:jc w:val="center"/>
              <w:textAlignment w:val="baseline"/>
              <w:rPr>
                <w:b/>
                <w:bCs/>
              </w:rPr>
            </w:pPr>
            <w:r w:rsidRPr="00BF4888">
              <w:rPr>
                <w:rStyle w:val="eop"/>
                <w:rFonts w:ascii="Nunito Sans" w:hAnsi="Nunito Sans" w:eastAsia="Nunito Sans" w:cs="Segoe UI"/>
                <w:b/>
                <w:bCs/>
                <w:color w:val="000000" w:themeColor="text1"/>
                <w:sz w:val="18"/>
                <w:szCs w:val="18"/>
              </w:rPr>
              <w:t>Cumplimiento actividades programadas Proyectos PETI Sectorial</w:t>
            </w:r>
          </w:p>
        </w:tc>
        <w:tc>
          <w:tcPr>
            <w:tcW w:w="1015" w:type="pct"/>
            <w:tcMar/>
            <w:vAlign w:val="center"/>
            <w:hideMark/>
          </w:tcPr>
          <w:p w:rsidRPr="002F4217" w:rsidR="005E3BD6" w:rsidP="00BF4888" w:rsidRDefault="0131629F" w14:paraId="710FE815" w14:textId="492BD252">
            <w:pPr>
              <w:pStyle w:val="paragraph"/>
              <w:spacing w:before="0" w:beforeAutospacing="0" w:after="0" w:afterAutospacing="0"/>
              <w:jc w:val="center"/>
              <w:textAlignment w:val="baseline"/>
            </w:pPr>
            <w:r w:rsidRPr="2FC2A464">
              <w:rPr>
                <w:rStyle w:val="eop"/>
                <w:rFonts w:ascii="Nunito Sans" w:hAnsi="Nunito Sans" w:eastAsia="Nunito Sans" w:cs="Segoe UI"/>
                <w:color w:val="000000" w:themeColor="text1"/>
                <w:sz w:val="18"/>
                <w:szCs w:val="18"/>
              </w:rPr>
              <w:t>Medir el grado de ejecución de las actividades definidas para cada proyecto</w:t>
            </w:r>
          </w:p>
        </w:tc>
        <w:tc>
          <w:tcPr>
            <w:tcW w:w="726" w:type="pct"/>
            <w:tcMar/>
            <w:vAlign w:val="center"/>
            <w:hideMark/>
          </w:tcPr>
          <w:p w:rsidRPr="002F4217" w:rsidR="005E3BD6" w:rsidP="00BF4888" w:rsidRDefault="005E3BD6" w14:paraId="0A475449" w14:textId="55CEC494">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Gestión</w:t>
            </w:r>
          </w:p>
        </w:tc>
        <w:tc>
          <w:tcPr>
            <w:tcW w:w="1450" w:type="pct"/>
            <w:tcMar/>
            <w:vAlign w:val="center"/>
            <w:hideMark/>
          </w:tcPr>
          <w:p w:rsidR="5BE4823F" w:rsidP="00BF4888" w:rsidRDefault="5BE4823F" w14:paraId="1793BAC6" w14:textId="33D08331">
            <w:pPr>
              <w:pStyle w:val="paragraph"/>
              <w:spacing w:before="0" w:beforeAutospacing="0" w:after="0" w:afterAutospacing="0"/>
              <w:jc w:val="center"/>
            </w:pPr>
            <w:r w:rsidRPr="2FC2A464">
              <w:rPr>
                <w:rStyle w:val="eop"/>
                <w:rFonts w:ascii="Nunito Sans" w:hAnsi="Nunito Sans" w:eastAsia="Nunito Sans" w:cs="Segoe UI"/>
                <w:color w:val="000000" w:themeColor="text1"/>
                <w:sz w:val="18"/>
                <w:szCs w:val="18"/>
              </w:rPr>
              <w:t>(Número de actividades</w:t>
            </w:r>
          </w:p>
          <w:p w:rsidR="5BE4823F" w:rsidP="00BF4888" w:rsidRDefault="5BE4823F" w14:paraId="705F33E4" w14:textId="1D503F95">
            <w:pPr>
              <w:pStyle w:val="paragraph"/>
              <w:spacing w:before="0" w:beforeAutospacing="0" w:after="0" w:afterAutospacing="0"/>
              <w:jc w:val="center"/>
            </w:pPr>
            <w:r w:rsidRPr="2FC2A464">
              <w:rPr>
                <w:rStyle w:val="eop"/>
                <w:rFonts w:ascii="Nunito Sans" w:hAnsi="Nunito Sans" w:eastAsia="Nunito Sans" w:cs="Segoe UI"/>
                <w:color w:val="000000" w:themeColor="text1"/>
                <w:sz w:val="18"/>
                <w:szCs w:val="18"/>
              </w:rPr>
              <w:t>ejecutadas / Número de</w:t>
            </w:r>
          </w:p>
          <w:p w:rsidR="5BE4823F" w:rsidP="00BF4888" w:rsidRDefault="5BE4823F" w14:paraId="1E26D399" w14:textId="42D33D42">
            <w:pPr>
              <w:pStyle w:val="paragraph"/>
              <w:spacing w:before="0" w:beforeAutospacing="0" w:after="0" w:afterAutospacing="0"/>
              <w:jc w:val="center"/>
            </w:pPr>
            <w:r w:rsidRPr="2FC2A464">
              <w:rPr>
                <w:rStyle w:val="eop"/>
                <w:rFonts w:ascii="Nunito Sans" w:hAnsi="Nunito Sans" w:eastAsia="Nunito Sans" w:cs="Segoe UI"/>
                <w:color w:val="000000" w:themeColor="text1"/>
                <w:sz w:val="18"/>
                <w:szCs w:val="18"/>
              </w:rPr>
              <w:t>actividades programadas) ×</w:t>
            </w:r>
          </w:p>
          <w:p w:rsidR="5BE4823F" w:rsidP="00BF4888" w:rsidRDefault="5BE4823F" w14:paraId="13EE3309" w14:textId="24592102">
            <w:pPr>
              <w:pStyle w:val="paragraph"/>
              <w:spacing w:before="0" w:beforeAutospacing="0" w:after="0" w:afterAutospacing="0"/>
              <w:jc w:val="center"/>
            </w:pPr>
            <w:r w:rsidRPr="2FC2A464">
              <w:rPr>
                <w:rStyle w:val="eop"/>
                <w:rFonts w:ascii="Nunito Sans" w:hAnsi="Nunito Sans" w:eastAsia="Nunito Sans" w:cs="Segoe UI"/>
                <w:color w:val="000000" w:themeColor="text1"/>
                <w:sz w:val="18"/>
                <w:szCs w:val="18"/>
              </w:rPr>
              <w:t>100</w:t>
            </w:r>
          </w:p>
          <w:p w:rsidRPr="002F4217" w:rsidR="005E3BD6" w:rsidP="00BF4888" w:rsidRDefault="005E3BD6" w14:paraId="5B25BD23" w14:textId="78585514">
            <w:pPr>
              <w:pStyle w:val="paragraph"/>
              <w:spacing w:before="0" w:beforeAutospacing="0" w:after="0" w:afterAutospacing="0"/>
              <w:jc w:val="center"/>
              <w:textAlignment w:val="baseline"/>
              <w:rPr>
                <w:rFonts w:ascii="Nunito Sans" w:hAnsi="Nunito Sans" w:cs="Segoe UI"/>
                <w:sz w:val="18"/>
                <w:szCs w:val="18"/>
              </w:rPr>
            </w:pPr>
          </w:p>
        </w:tc>
        <w:tc>
          <w:tcPr>
            <w:tcW w:w="652" w:type="pct"/>
            <w:tcMar/>
            <w:vAlign w:val="center"/>
            <w:hideMark/>
          </w:tcPr>
          <w:p w:rsidRPr="002F4217" w:rsidR="005E3BD6" w:rsidP="00BF4888" w:rsidRDefault="005E3BD6" w14:paraId="51D5C78C" w14:textId="6FC4CF02">
            <w:pPr>
              <w:pStyle w:val="paragraph"/>
              <w:spacing w:before="0" w:beforeAutospacing="0" w:after="0" w:afterAutospacing="0"/>
              <w:jc w:val="center"/>
              <w:textAlignment w:val="baseline"/>
              <w:rPr>
                <w:rFonts w:ascii="Nunito Sans" w:hAnsi="Nunito Sans" w:cs="Segoe UI"/>
                <w:sz w:val="18"/>
                <w:szCs w:val="18"/>
              </w:rPr>
            </w:pPr>
            <w:r w:rsidRPr="002F4217">
              <w:rPr>
                <w:rStyle w:val="normaltextrun"/>
                <w:rFonts w:ascii="Nunito Sans" w:hAnsi="Nunito Sans" w:eastAsia="Nunito Sans" w:cs="Segoe UI"/>
                <w:color w:val="000000"/>
                <w:sz w:val="18"/>
                <w:szCs w:val="18"/>
              </w:rPr>
              <w:t>Semestral</w:t>
            </w:r>
          </w:p>
        </w:tc>
      </w:tr>
    </w:tbl>
    <w:p w:rsidRPr="000A3312" w:rsidR="005E3BD6" w:rsidP="005E3BD6" w:rsidRDefault="005E3BD6" w14:paraId="3BEAB568" w14:textId="77777777">
      <w:pPr>
        <w:pStyle w:val="Default"/>
        <w:spacing w:line="360" w:lineRule="auto"/>
        <w:jc w:val="center"/>
        <w:rPr>
          <w:rFonts w:ascii="Nunito Sans" w:hAnsi="Nunito Sans" w:cs="Calibri"/>
        </w:rPr>
      </w:pPr>
      <w:r w:rsidRPr="2FC2A464">
        <w:rPr>
          <w:rFonts w:ascii="Nunito Sans" w:hAnsi="Nunito Sans" w:eastAsia="CIDFont+F9" w:cs="Calibri"/>
          <w:color w:val="000000" w:themeColor="text1"/>
          <w:sz w:val="18"/>
          <w:szCs w:val="18"/>
        </w:rPr>
        <w:t>Fuente: Elaboración propia</w:t>
      </w:r>
    </w:p>
    <w:p w:rsidRPr="00446C95" w:rsidR="00446C95" w:rsidP="2FC2A464" w:rsidRDefault="4C0109DA" w14:paraId="0EA55D80" w14:textId="65B8600A">
      <w:pPr>
        <w:spacing w:before="240" w:after="240"/>
        <w:jc w:val="both"/>
      </w:pPr>
      <w:r w:rsidRPr="2FC2A464">
        <w:rPr>
          <w:rFonts w:ascii="Nunito Sans" w:hAnsi="Nunito Sans" w:eastAsia="Nunito Sans" w:cs="Nunito Sans"/>
          <w:color w:val="000000" w:themeColor="text1"/>
          <w:sz w:val="22"/>
          <w:szCs w:val="22"/>
        </w:rPr>
        <w:t>El seguimiento a indicadores no está atado a un corte temporal específico, sino que constituye una herramienta de monitoreo permanente al proyecto PETI Sectorial, cuya periodicidad de medición varía según la naturaleza de cada indicador (anual o semestral, según corresponda).</w:t>
      </w:r>
    </w:p>
    <w:p w:rsidRPr="00446C95" w:rsidR="00446C95" w:rsidP="2FC2A464" w:rsidRDefault="4C0109DA" w14:paraId="143B0DD2" w14:textId="0D1FA1F9">
      <w:pPr>
        <w:spacing w:before="240" w:after="240"/>
        <w:jc w:val="both"/>
      </w:pPr>
      <w:r w:rsidRPr="2FC2A464">
        <w:rPr>
          <w:rFonts w:ascii="Nunito Sans" w:hAnsi="Nunito Sans" w:eastAsia="Nunito Sans" w:cs="Nunito Sans"/>
          <w:color w:val="000000" w:themeColor="text1"/>
          <w:sz w:val="22"/>
          <w:szCs w:val="22"/>
        </w:rPr>
        <w:lastRenderedPageBreak/>
        <w:t>El detalle completo de cada indicador, incluyendo su fórmula, fuente y rangos de calificación, se encuentra consignado en el Tablero de Control Sectorial (Anexo 12), el cual se comparte como anexo del presente documento y constituye la fuente de referencia para su consulta.</w:t>
      </w:r>
    </w:p>
    <w:p w:rsidR="4C0109DA" w:rsidP="00DF5761" w:rsidRDefault="4C0109DA" w14:paraId="391AE1F9" w14:textId="5D7AF9B9">
      <w:pPr>
        <w:pStyle w:val="Ttulo2"/>
        <w:numPr>
          <w:ilvl w:val="0"/>
          <w:numId w:val="0"/>
        </w:numPr>
      </w:pPr>
      <w:bookmarkStart w:name="_Toc234234542" w:id="655"/>
      <w:r w:rsidRPr="2FC2A464">
        <w:t>11.2 Riesgos</w:t>
      </w:r>
      <w:bookmarkEnd w:id="655"/>
    </w:p>
    <w:p w:rsidRPr="00C42311" w:rsidR="4C0109DA" w:rsidP="2FC2A464" w:rsidRDefault="4C0109DA" w14:paraId="0BB155CC" w14:textId="05D672F8">
      <w:pPr>
        <w:spacing w:after="160"/>
        <w:jc w:val="both"/>
        <w:rPr>
          <w:rFonts w:ascii="Nunito Sans" w:hAnsi="Nunito Sans"/>
        </w:rPr>
      </w:pPr>
      <w:r w:rsidRPr="00C42311">
        <w:rPr>
          <w:rFonts w:ascii="Nunito Sans" w:hAnsi="Nunito Sans" w:eastAsia="Verdana" w:cs="Verdana"/>
          <w:color w:val="000000" w:themeColor="text1"/>
          <w:sz w:val="22"/>
          <w:szCs w:val="22"/>
        </w:rPr>
        <w:t>El presente apartado describe el componente de gestión de riesgos asociado al Plan Estratégico de Tecnologías de la Información, PETI Sectorial, desarrollado en el marco de lo establecido por el Decreto 1499 de 2017, que modifica el Decreto 1083 de 2015 e integra el Sistema de Control Interno al Modelo Integrado de Planeación y Gestión (MIPG) a través del Modelo Estándar de Control Interno (MECI), en su séptima dimensión. Bajo este marco normativo, la administración del riesgo se concibe como un esfuerzo articulado entre la Alta Dirección y los servidores responsables de la ejecución del proyecto sectorial, en todos sus niveles de gestión.</w:t>
      </w:r>
    </w:p>
    <w:p w:rsidRPr="00C42311" w:rsidR="4C0109DA" w:rsidP="2FC2A464" w:rsidRDefault="4C0109DA" w14:paraId="31DFBB38" w14:textId="61687628">
      <w:pPr>
        <w:spacing w:after="160"/>
        <w:jc w:val="both"/>
        <w:rPr>
          <w:rFonts w:ascii="Nunito Sans" w:hAnsi="Nunito Sans"/>
        </w:rPr>
      </w:pPr>
      <w:r w:rsidRPr="00C42311">
        <w:rPr>
          <w:rFonts w:ascii="Nunito Sans" w:hAnsi="Nunito Sans" w:eastAsia="Verdana" w:cs="Verdana"/>
          <w:color w:val="000000" w:themeColor="text1"/>
          <w:sz w:val="22"/>
          <w:szCs w:val="22"/>
        </w:rPr>
        <w:t>La identificación, análisis y valoración de los riesgos del PETI Sectorial se estructuró siguiendo los lineamientos metodológicos de la Guía para la Administración del Riesgo y el Diseño de Controles V5, considerando para cada riesgo su descripción, causa inmediata, causa raíz, clasificación, probabilidad e impacto inherente, así como los controles definidos para su mitigación y su nivel de riesgo residual resultante.</w:t>
      </w:r>
    </w:p>
    <w:p w:rsidRPr="00C42311" w:rsidR="4C0109DA" w:rsidP="2FC2A464" w:rsidRDefault="4C0109DA" w14:paraId="4F2DF4FA" w14:textId="5DB6D62C">
      <w:pPr>
        <w:spacing w:after="160"/>
        <w:jc w:val="both"/>
        <w:rPr>
          <w:rFonts w:ascii="Nunito Sans" w:hAnsi="Nunito Sans"/>
        </w:rPr>
      </w:pPr>
      <w:r w:rsidRPr="00C42311">
        <w:rPr>
          <w:rFonts w:ascii="Nunito Sans" w:hAnsi="Nunito Sans" w:eastAsia="Verdana" w:cs="Verdana"/>
          <w:color w:val="000000" w:themeColor="text1"/>
          <w:sz w:val="22"/>
          <w:szCs w:val="22"/>
        </w:rPr>
        <w:t>A la fecha, el ejercicio de gestión del riesgo del PETI Sectorial ha identificado los siguientes riesgos:</w:t>
      </w:r>
    </w:p>
    <w:p w:rsidRPr="00C42311" w:rsidR="4C0109DA" w:rsidRDefault="4C0109DA" w14:paraId="459098E0" w14:textId="3B99E56E">
      <w:pPr>
        <w:pStyle w:val="Prrafodelista"/>
        <w:numPr>
          <w:ilvl w:val="0"/>
          <w:numId w:val="28"/>
        </w:numPr>
        <w:tabs>
          <w:tab w:val="left" w:pos="0"/>
          <w:tab w:val="left" w:pos="0"/>
          <w:tab w:val="left" w:pos="0"/>
          <w:tab w:val="left" w:pos="0"/>
          <w:tab w:val="left" w:pos="0"/>
          <w:tab w:val="left" w:pos="0"/>
          <w:tab w:val="left" w:pos="720"/>
        </w:tabs>
        <w:jc w:val="both"/>
        <w:rPr>
          <w:rFonts w:ascii="Nunito Sans" w:hAnsi="Nunito Sans" w:eastAsia="Verdana" w:cs="Verdana"/>
          <w:color w:val="000000" w:themeColor="text1"/>
          <w:sz w:val="22"/>
          <w:szCs w:val="22"/>
        </w:rPr>
      </w:pPr>
      <w:r w:rsidRPr="00C42311">
        <w:rPr>
          <w:rFonts w:ascii="Nunito Sans" w:hAnsi="Nunito Sans" w:eastAsia="Verdana" w:cs="Verdana"/>
          <w:b/>
          <w:bCs/>
          <w:color w:val="000000" w:themeColor="text1"/>
          <w:sz w:val="22"/>
          <w:szCs w:val="22"/>
        </w:rPr>
        <w:t>Riesgo 1:</w:t>
      </w:r>
      <w:r w:rsidRPr="00C42311">
        <w:rPr>
          <w:rFonts w:ascii="Nunito Sans" w:hAnsi="Nunito Sans" w:eastAsia="Verdana" w:cs="Verdana"/>
          <w:color w:val="000000" w:themeColor="text1"/>
          <w:sz w:val="22"/>
          <w:szCs w:val="22"/>
        </w:rPr>
        <w:t xml:space="preserve"> Posibilidad de afectación económica y reputacional por la baja incorporación, participación y apropiación de las iniciativas del PETI Sectorial en los instrumentos de planeación y gestión de las entidades participantes.</w:t>
      </w:r>
    </w:p>
    <w:p w:rsidRPr="00C42311" w:rsidR="4C0109DA" w:rsidRDefault="4C0109DA" w14:paraId="2D79C0CB" w14:textId="6BC128F7">
      <w:pPr>
        <w:pStyle w:val="Prrafodelista"/>
        <w:numPr>
          <w:ilvl w:val="0"/>
          <w:numId w:val="28"/>
        </w:numPr>
        <w:tabs>
          <w:tab w:val="left" w:pos="0"/>
          <w:tab w:val="left" w:pos="0"/>
          <w:tab w:val="left" w:pos="0"/>
          <w:tab w:val="left" w:pos="0"/>
          <w:tab w:val="left" w:pos="0"/>
          <w:tab w:val="left" w:pos="0"/>
          <w:tab w:val="left" w:pos="720"/>
        </w:tabs>
        <w:jc w:val="both"/>
        <w:rPr>
          <w:rFonts w:ascii="Nunito Sans" w:hAnsi="Nunito Sans" w:eastAsia="Verdana" w:cs="Verdana"/>
          <w:color w:val="000000" w:themeColor="text1"/>
          <w:sz w:val="22"/>
          <w:szCs w:val="22"/>
        </w:rPr>
      </w:pPr>
      <w:r w:rsidRPr="00C42311">
        <w:rPr>
          <w:rFonts w:ascii="Nunito Sans" w:hAnsi="Nunito Sans" w:eastAsia="Verdana" w:cs="Verdana"/>
          <w:b/>
          <w:bCs/>
          <w:color w:val="000000" w:themeColor="text1"/>
          <w:sz w:val="22"/>
          <w:szCs w:val="22"/>
        </w:rPr>
        <w:t>Riesgo 2:</w:t>
      </w:r>
      <w:r w:rsidRPr="00C42311">
        <w:rPr>
          <w:rFonts w:ascii="Nunito Sans" w:hAnsi="Nunito Sans" w:eastAsia="Verdana" w:cs="Verdana"/>
          <w:color w:val="000000" w:themeColor="text1"/>
          <w:sz w:val="22"/>
          <w:szCs w:val="22"/>
        </w:rPr>
        <w:t xml:space="preserve"> Posibilidad de afectación económica y reputacional por la pérdida de continuidad institucional y del conocimiento asociado a la gestión del PETI Sectorial.</w:t>
      </w:r>
    </w:p>
    <w:p w:rsidRPr="00C42311" w:rsidR="2FC2A464" w:rsidP="2FC2A464" w:rsidRDefault="2FC2A464" w14:paraId="48A98D77" w14:textId="0C00CEBF">
      <w:pPr>
        <w:pStyle w:val="Prrafodelista"/>
        <w:tabs>
          <w:tab w:val="left" w:pos="0"/>
          <w:tab w:val="left" w:pos="0"/>
          <w:tab w:val="left" w:pos="0"/>
          <w:tab w:val="left" w:pos="0"/>
          <w:tab w:val="left" w:pos="0"/>
          <w:tab w:val="left" w:pos="0"/>
          <w:tab w:val="left" w:pos="720"/>
        </w:tabs>
        <w:ind w:left="720"/>
        <w:jc w:val="both"/>
        <w:rPr>
          <w:rFonts w:ascii="Nunito Sans" w:hAnsi="Nunito Sans" w:eastAsia="Verdana" w:cs="Verdana"/>
          <w:color w:val="000000" w:themeColor="text1"/>
          <w:sz w:val="22"/>
          <w:szCs w:val="22"/>
        </w:rPr>
      </w:pPr>
    </w:p>
    <w:p w:rsidRPr="00C42311" w:rsidR="4C0109DA" w:rsidP="2FC2A464" w:rsidRDefault="4C0109DA" w14:paraId="17EADF29" w14:textId="54F2F691">
      <w:pPr>
        <w:spacing w:after="160"/>
        <w:jc w:val="both"/>
        <w:rPr>
          <w:rFonts w:ascii="Nunito Sans" w:hAnsi="Nunito Sans"/>
        </w:rPr>
      </w:pPr>
      <w:r w:rsidRPr="00C42311">
        <w:rPr>
          <w:rFonts w:ascii="Nunito Sans" w:hAnsi="Nunito Sans" w:eastAsia="Nunito Sans" w:cs="Nunito Sans"/>
          <w:color w:val="000000" w:themeColor="text1"/>
          <w:sz w:val="22"/>
          <w:szCs w:val="22"/>
        </w:rPr>
        <w:t>Al igual que el componente de indicadores, e</w:t>
      </w:r>
      <w:r w:rsidRPr="00C42311">
        <w:rPr>
          <w:rFonts w:ascii="Nunito Sans" w:hAnsi="Nunito Sans" w:eastAsia="Verdana" w:cs="Verdana"/>
          <w:color w:val="000000" w:themeColor="text1"/>
          <w:sz w:val="22"/>
          <w:szCs w:val="22"/>
        </w:rPr>
        <w:t>ste ejercicio no corresponde a una evaluación puntual de un periodo específico, sino a un instrumento de seguimiento continuo y transversal al proyecto PETI Sectorial en su conjunto, sujeto a actualización permanente en la medida en que evolucionen las condiciones de ejecución, los riesgos identificados o la efectividad de los controles establecidos.</w:t>
      </w:r>
    </w:p>
    <w:p w:rsidRPr="00C42311" w:rsidR="4C0109DA" w:rsidP="2FC2A464" w:rsidRDefault="4C0109DA" w14:paraId="59A175DD" w14:textId="1B802D05">
      <w:pPr>
        <w:spacing w:after="160"/>
        <w:jc w:val="both"/>
        <w:rPr>
          <w:rFonts w:ascii="Nunito Sans" w:hAnsi="Nunito Sans"/>
        </w:rPr>
      </w:pPr>
      <w:r w:rsidRPr="00C42311">
        <w:rPr>
          <w:rFonts w:ascii="Nunito Sans" w:hAnsi="Nunito Sans" w:eastAsia="Verdana" w:cs="Verdana"/>
          <w:color w:val="000000" w:themeColor="text1"/>
          <w:sz w:val="22"/>
          <w:szCs w:val="22"/>
        </w:rPr>
        <w:t>El detalle completo de la identificación, valoración y tratamiento de cada riesgo, junto con sus respectivos controles, atributos de eficiencia e informativos, y planes de acción, se encuentra consignado en la Matriz de Riesgos del PETI Sectorial, la cual se comparte como anexo del presente documento y constituye la fuente de referencia para su consulta.</w:t>
      </w:r>
    </w:p>
    <w:p w:rsidR="2FC2A464" w:rsidP="2FC2A464" w:rsidRDefault="2FC2A464" w14:paraId="59BD7A8B" w14:textId="4DEC8C79"/>
    <w:p w:rsidR="005E3BD6" w:rsidRDefault="00133BF0" w14:paraId="09D3A156" w14:textId="122F0BC4">
      <w:pPr>
        <w:pStyle w:val="Ttulo1"/>
        <w:numPr>
          <w:ilvl w:val="0"/>
          <w:numId w:val="39"/>
        </w:numPr>
        <w:ind w:hanging="11"/>
        <w:jc w:val="center"/>
      </w:pPr>
      <w:bookmarkStart w:name="_Toc234234543" w:id="656"/>
      <w:r w:rsidRPr="00265D18">
        <w:lastRenderedPageBreak/>
        <w:t>PLAN DE COMUNICACIONES</w:t>
      </w:r>
      <w:bookmarkEnd w:id="656"/>
    </w:p>
    <w:p w:rsidRPr="00264137" w:rsidR="00264137" w:rsidP="00264137" w:rsidRDefault="00264137" w14:paraId="310AADDF" w14:textId="77777777"/>
    <w:p w:rsidRPr="007E3FC8" w:rsidR="005E3BD6" w:rsidP="005E3BD6" w:rsidRDefault="005E3BD6" w14:paraId="16E10EC7" w14:textId="77777777">
      <w:pPr>
        <w:spacing w:after="240"/>
        <w:jc w:val="both"/>
        <w:rPr>
          <w:rFonts w:ascii="Nunito Sans" w:hAnsi="Nunito Sans" w:cs="Calibri"/>
          <w:sz w:val="22"/>
          <w:szCs w:val="22"/>
        </w:rPr>
      </w:pPr>
      <w:r w:rsidRPr="27AF7912">
        <w:rPr>
          <w:rFonts w:ascii="Nunito Sans" w:hAnsi="Nunito Sans" w:eastAsia="Nunito Sans" w:cs="Nunito Sans"/>
          <w:sz w:val="22"/>
          <w:szCs w:val="22"/>
        </w:rPr>
        <w:t>El Plan de Comunicaciones del PETI Sectorial Minero-Energético se articula con los lineamientos institucionales de comunicaciones del Ministerio de Minas y Energía y con las directrices sectoriales de la Política de Gobierno Digital. Su propósito es orientar de manera estructurada el proceso de socialización, divulgación y apropiación del PETI Sectorial, como instrumento estratégico que articula las iniciativas de tecnología, datos, interoperabilidad, seguridad y transformación digital de las entidades que conforman el sector.</w:t>
      </w:r>
    </w:p>
    <w:p w:rsidRPr="007E3FC8" w:rsidR="005E3BD6" w:rsidP="005E3BD6" w:rsidRDefault="005E3BD6" w14:paraId="5300940D" w14:textId="77777777">
      <w:pPr>
        <w:spacing w:before="240" w:after="240"/>
        <w:jc w:val="both"/>
      </w:pPr>
      <w:r w:rsidRPr="27AF7912">
        <w:rPr>
          <w:rFonts w:ascii="Nunito Sans" w:hAnsi="Nunito Sans" w:eastAsia="Nunito Sans" w:cs="Nunito Sans"/>
          <w:sz w:val="22"/>
          <w:szCs w:val="22"/>
        </w:rPr>
        <w:t>El plan tiene como objetivo asegurar que los distintos grupos de interés comprendan el alcance, propósito y beneficios del PETI Sectorial, facilitando su uso efectivo como marco de referencia para la planeación, ejecución y alineación de proyectos de Tecnologías de la Información en el periodo de vigencia definido. Así mismo, busca promover la apropiación institucional del PETI, impulsando una cultura de toma de decisiones basada en datos y una ejecución coordinada de la estrategia digital sectorial.</w:t>
      </w:r>
    </w:p>
    <w:p w:rsidRPr="007E3FC8" w:rsidR="005E3BD6" w:rsidP="005E3BD6" w:rsidRDefault="005E3BD6" w14:paraId="583C938F" w14:textId="77777777">
      <w:pPr>
        <w:spacing w:before="240" w:after="240"/>
        <w:jc w:val="both"/>
      </w:pPr>
      <w:r w:rsidRPr="27AF7912">
        <w:rPr>
          <w:rFonts w:ascii="Nunito Sans" w:hAnsi="Nunito Sans" w:eastAsia="Nunito Sans" w:cs="Nunito Sans"/>
          <w:sz w:val="22"/>
          <w:szCs w:val="22"/>
        </w:rPr>
        <w:t>En este sentido, el plan de comunicaciones se orienta a fortalecer la articulación entre el Ministerio de Minas y Energía, como ente rector y articulador sectorial, y las entidades adscritas y vinculadas, garantizando coherencia entre los proyectos institucionales y las prioridades estratégicas del sector, en el marco del Plan Nacional de Desarrollo y la Transición Energética Justa.</w:t>
      </w:r>
    </w:p>
    <w:p w:rsidRPr="007E3FC8" w:rsidR="005E3BD6" w:rsidP="005E3BD6" w:rsidRDefault="005E3BD6" w14:paraId="26F5B0D0" w14:textId="77777777">
      <w:pPr>
        <w:spacing w:before="240" w:after="240"/>
        <w:jc w:val="both"/>
      </w:pPr>
      <w:r w:rsidRPr="27AF7912">
        <w:rPr>
          <w:rFonts w:ascii="Nunito Sans" w:hAnsi="Nunito Sans" w:eastAsia="Nunito Sans" w:cs="Nunito Sans"/>
          <w:sz w:val="22"/>
          <w:szCs w:val="22"/>
        </w:rPr>
        <w:t>Las temáticas principales abordadas por el plan incluyen, sin perjuicio de otras que puedan incorporarse de acuerdo con la evolución del PETI:</w:t>
      </w:r>
    </w:p>
    <w:p w:rsidRPr="007E3FC8" w:rsidR="005E3BD6" w:rsidRDefault="005E3BD6" w14:paraId="3A8CE990" w14:textId="77777777">
      <w:pPr>
        <w:pStyle w:val="Prrafodelista"/>
        <w:numPr>
          <w:ilvl w:val="0"/>
          <w:numId w:val="29"/>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Necesidades estratégicas de TI del sector minero-energético.</w:t>
      </w:r>
    </w:p>
    <w:p w:rsidRPr="007E3FC8" w:rsidR="005E3BD6" w:rsidRDefault="005E3BD6" w14:paraId="4AE91686" w14:textId="77777777">
      <w:pPr>
        <w:pStyle w:val="Prrafodelista"/>
        <w:numPr>
          <w:ilvl w:val="0"/>
          <w:numId w:val="29"/>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Oportunidades de mejora identificadas a partir del diagnóstico sectorial.</w:t>
      </w:r>
    </w:p>
    <w:p w:rsidRPr="007E3FC8" w:rsidR="005E3BD6" w:rsidRDefault="005E3BD6" w14:paraId="6B11EB05" w14:textId="77777777">
      <w:pPr>
        <w:pStyle w:val="Prrafodelista"/>
        <w:numPr>
          <w:ilvl w:val="0"/>
          <w:numId w:val="29"/>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Portafolio sectorial de iniciativas y proyectos de TI.</w:t>
      </w:r>
    </w:p>
    <w:p w:rsidR="005E3BD6" w:rsidRDefault="005E3BD6" w14:paraId="2971FE94" w14:textId="77777777">
      <w:pPr>
        <w:pStyle w:val="Prrafodelista"/>
        <w:numPr>
          <w:ilvl w:val="0"/>
          <w:numId w:val="29"/>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Lineamientos, recomendaciones y hoja de ruta definidos en el PETI Sectorial.</w:t>
      </w:r>
    </w:p>
    <w:p w:rsidRPr="007E3FC8" w:rsidR="005E3BD6" w:rsidP="005E3BD6" w:rsidRDefault="005E3BD6" w14:paraId="15402CA4" w14:textId="77777777">
      <w:pPr>
        <w:pStyle w:val="Prrafodelista"/>
        <w:spacing w:before="240" w:after="240"/>
        <w:ind w:left="851"/>
        <w:jc w:val="both"/>
        <w:rPr>
          <w:rFonts w:ascii="Nunito Sans" w:hAnsi="Nunito Sans" w:eastAsia="Nunito Sans" w:cs="Nunito Sans"/>
          <w:sz w:val="22"/>
          <w:szCs w:val="22"/>
        </w:rPr>
      </w:pPr>
    </w:p>
    <w:p w:rsidRPr="007E3FC8" w:rsidR="005E3BD6" w:rsidRDefault="005E3BD6" w14:paraId="59FD3DE2" w14:textId="11452747">
      <w:pPr>
        <w:pStyle w:val="Ttulo2"/>
        <w:numPr>
          <w:ilvl w:val="1"/>
          <w:numId w:val="26"/>
        </w:numPr>
      </w:pPr>
      <w:bookmarkStart w:name="_Toc234234544" w:id="657"/>
      <w:r w:rsidRPr="0E79E4E6">
        <w:t>Público Objetivo</w:t>
      </w:r>
      <w:bookmarkEnd w:id="657"/>
    </w:p>
    <w:p w:rsidRPr="00E92603" w:rsidR="005E3BD6" w:rsidP="005E3BD6" w:rsidRDefault="005E3BD6" w14:paraId="633BEAAE" w14:textId="77777777">
      <w:pPr>
        <w:spacing w:after="240"/>
        <w:jc w:val="both"/>
        <w:rPr>
          <w:rFonts w:ascii="Nunito Sans" w:hAnsi="Nunito Sans" w:eastAsia="Nunito Sans" w:cs="Nunito Sans"/>
          <w:sz w:val="22"/>
          <w:szCs w:val="22"/>
        </w:rPr>
      </w:pPr>
      <w:r w:rsidRPr="27AF7912">
        <w:rPr>
          <w:rFonts w:ascii="Nunito Sans" w:hAnsi="Nunito Sans" w:eastAsia="Nunito Sans" w:cs="Nunito Sans"/>
          <w:sz w:val="22"/>
          <w:szCs w:val="22"/>
        </w:rPr>
        <w:t>El Plan de Comunicaciones está dirigido a los actores internos y externos que tienen interés, responsabilidad o impacto directo en la ejecución del PETI Sectorial Minero-Energético. Estos se agrupan de la siguiente manera:</w:t>
      </w:r>
    </w:p>
    <w:p w:rsidR="005E3BD6" w:rsidRDefault="005E3BD6" w14:paraId="0CA6FE6A" w14:textId="4A0B0044">
      <w:pPr>
        <w:pStyle w:val="Ttulo3"/>
        <w:numPr>
          <w:ilvl w:val="2"/>
          <w:numId w:val="26"/>
        </w:numPr>
        <w:ind w:left="1560" w:hanging="851"/>
      </w:pPr>
      <w:bookmarkStart w:name="_Toc234234545" w:id="658"/>
      <w:r>
        <w:t>Público Interno Sectorial</w:t>
      </w:r>
      <w:bookmarkEnd w:id="658"/>
    </w:p>
    <w:p w:rsidRPr="00DF354F" w:rsidR="00DF354F" w:rsidP="00DF354F" w:rsidRDefault="00DF354F" w14:paraId="43F99797" w14:textId="77777777">
      <w:pPr>
        <w:rPr>
          <w:lang w:val="es-ES"/>
        </w:rPr>
      </w:pPr>
    </w:p>
    <w:p w:rsidRPr="007E3FC8" w:rsidR="005E3BD6" w:rsidP="005E3BD6" w:rsidRDefault="005E3BD6" w14:paraId="7D7ADCE1" w14:textId="77777777">
      <w:pPr>
        <w:spacing w:after="240"/>
        <w:jc w:val="both"/>
      </w:pPr>
      <w:r w:rsidRPr="27AF7912">
        <w:rPr>
          <w:rFonts w:ascii="Nunito Sans" w:hAnsi="Nunito Sans" w:eastAsia="Nunito Sans" w:cs="Nunito Sans"/>
          <w:sz w:val="22"/>
          <w:szCs w:val="22"/>
        </w:rPr>
        <w:t>Servidores públicos y contratistas del Ministerio de Minas y Energía y de las entidades adscritas y vinculadas, que participan en la definición de decisiones estratégicas, la gestión institucional, la implementación de proyectos o el uso de las soluciones tecnológicas:</w:t>
      </w:r>
    </w:p>
    <w:p w:rsidRPr="007E3FC8" w:rsidR="005E3BD6" w:rsidRDefault="005E3BD6" w14:paraId="6D78A2AA" w14:textId="77777777">
      <w:pPr>
        <w:pStyle w:val="Prrafodelista"/>
        <w:numPr>
          <w:ilvl w:val="0"/>
          <w:numId w:val="30"/>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lastRenderedPageBreak/>
        <w:t>Directivos y alta dirección sectorial.</w:t>
      </w:r>
    </w:p>
    <w:p w:rsidRPr="007E3FC8" w:rsidR="005E3BD6" w:rsidRDefault="005E3BD6" w14:paraId="48054892" w14:textId="77777777">
      <w:pPr>
        <w:pStyle w:val="Prrafodelista"/>
        <w:numPr>
          <w:ilvl w:val="0"/>
          <w:numId w:val="30"/>
        </w:numPr>
        <w:spacing w:before="240" w:after="240"/>
        <w:ind w:left="709" w:hanging="283"/>
        <w:jc w:val="both"/>
        <w:rPr>
          <w:rFonts w:ascii="Nunito Sans" w:hAnsi="Nunito Sans" w:eastAsia="Nunito Sans" w:cs="Nunito Sans"/>
          <w:sz w:val="22"/>
          <w:szCs w:val="22"/>
        </w:rPr>
      </w:pPr>
      <w:r w:rsidRPr="0E79E4E6">
        <w:rPr>
          <w:rFonts w:ascii="Nunito Sans" w:hAnsi="Nunito Sans" w:eastAsia="Nunito Sans" w:cs="Nunito Sans"/>
          <w:sz w:val="22"/>
          <w:szCs w:val="22"/>
        </w:rPr>
        <w:t>Líderes TIC, CIO, equipos de los diferentes dominios de arquitectura.</w:t>
      </w:r>
    </w:p>
    <w:p w:rsidRPr="007E3FC8" w:rsidR="005E3BD6" w:rsidRDefault="005E3BD6" w14:paraId="0DBDE9C6" w14:textId="77777777">
      <w:pPr>
        <w:pStyle w:val="Prrafodelista"/>
        <w:numPr>
          <w:ilvl w:val="0"/>
          <w:numId w:val="30"/>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Líderes misionales y de planeación.</w:t>
      </w:r>
    </w:p>
    <w:p w:rsidRPr="007E3FC8" w:rsidR="005E3BD6" w:rsidRDefault="005E3BD6" w14:paraId="49BE1783" w14:textId="77777777">
      <w:pPr>
        <w:pStyle w:val="Prrafodelista"/>
        <w:numPr>
          <w:ilvl w:val="0"/>
          <w:numId w:val="30"/>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Equipos técnicos y de apoyo institucional.</w:t>
      </w:r>
    </w:p>
    <w:p w:rsidR="005E3BD6" w:rsidRDefault="005E3BD6" w14:paraId="1C98DA7A" w14:textId="518FC246">
      <w:pPr>
        <w:pStyle w:val="Ttulo3"/>
        <w:numPr>
          <w:ilvl w:val="2"/>
          <w:numId w:val="26"/>
        </w:numPr>
        <w:ind w:left="1560" w:hanging="851"/>
      </w:pPr>
      <w:bookmarkStart w:name="_Toc234234546" w:id="659"/>
      <w:r>
        <w:t>Público Externo</w:t>
      </w:r>
      <w:bookmarkEnd w:id="659"/>
    </w:p>
    <w:p w:rsidRPr="00DF354F" w:rsidR="00DF354F" w:rsidP="00DF354F" w:rsidRDefault="00DF354F" w14:paraId="09F5042E" w14:textId="77777777">
      <w:pPr>
        <w:rPr>
          <w:lang w:val="es-ES"/>
        </w:rPr>
      </w:pPr>
    </w:p>
    <w:p w:rsidRPr="007E3FC8" w:rsidR="005E3BD6" w:rsidP="005E3BD6" w:rsidRDefault="005E3BD6" w14:paraId="2F0244A7" w14:textId="77777777">
      <w:pPr>
        <w:spacing w:after="240"/>
        <w:jc w:val="both"/>
      </w:pPr>
      <w:r w:rsidRPr="27AF7912">
        <w:rPr>
          <w:rFonts w:ascii="Nunito Sans" w:hAnsi="Nunito Sans" w:eastAsia="Nunito Sans" w:cs="Nunito Sans"/>
          <w:sz w:val="22"/>
          <w:szCs w:val="22"/>
        </w:rPr>
        <w:t>Actores externos que pueden requerir conocer el alcance, avances y resultados del PETI Sectorial, en ejercicio de la transparencia, la articulación interinstitucional y la generación de valor público:</w:t>
      </w:r>
    </w:p>
    <w:p w:rsidRPr="007E3FC8" w:rsidR="005E3BD6" w:rsidRDefault="005E3BD6" w14:paraId="05107557" w14:textId="77777777">
      <w:pPr>
        <w:pStyle w:val="Prrafodelista"/>
        <w:numPr>
          <w:ilvl w:val="0"/>
          <w:numId w:val="31"/>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Ministerio de Tecnologías de la Información y las Comunicaciones (MinTIC).</w:t>
      </w:r>
    </w:p>
    <w:p w:rsidRPr="007E3FC8" w:rsidR="005E3BD6" w:rsidRDefault="005E3BD6" w14:paraId="637246B2" w14:textId="77777777">
      <w:pPr>
        <w:pStyle w:val="Prrafodelista"/>
        <w:numPr>
          <w:ilvl w:val="0"/>
          <w:numId w:val="31"/>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Entidades del Estado que interactúan con el sector.</w:t>
      </w:r>
    </w:p>
    <w:p w:rsidRPr="007E3FC8" w:rsidR="005E3BD6" w:rsidRDefault="005E3BD6" w14:paraId="320F0E6E" w14:textId="77777777">
      <w:pPr>
        <w:pStyle w:val="Prrafodelista"/>
        <w:numPr>
          <w:ilvl w:val="0"/>
          <w:numId w:val="31"/>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Gremios, empresarios e inversionistas del sector minero-energético.</w:t>
      </w:r>
    </w:p>
    <w:p w:rsidRPr="007E3FC8" w:rsidR="005E3BD6" w:rsidRDefault="005E3BD6" w14:paraId="06A95DCB" w14:textId="77777777">
      <w:pPr>
        <w:pStyle w:val="Prrafodelista"/>
        <w:numPr>
          <w:ilvl w:val="0"/>
          <w:numId w:val="31"/>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Academia, centros de investigación y actores de innovación.</w:t>
      </w:r>
    </w:p>
    <w:p w:rsidRPr="007E3FC8" w:rsidR="005E3BD6" w:rsidRDefault="005E3BD6" w14:paraId="2A7FE154" w14:textId="77777777">
      <w:pPr>
        <w:pStyle w:val="Prrafodelista"/>
        <w:numPr>
          <w:ilvl w:val="0"/>
          <w:numId w:val="31"/>
        </w:numPr>
        <w:spacing w:before="240" w:after="240"/>
        <w:ind w:left="709" w:hanging="283"/>
        <w:jc w:val="both"/>
        <w:rPr>
          <w:rFonts w:ascii="Nunito Sans" w:hAnsi="Nunito Sans" w:eastAsia="Nunito Sans" w:cs="Nunito Sans"/>
          <w:sz w:val="22"/>
          <w:szCs w:val="22"/>
        </w:rPr>
      </w:pPr>
      <w:r w:rsidRPr="27AF7912">
        <w:rPr>
          <w:rFonts w:ascii="Nunito Sans" w:hAnsi="Nunito Sans" w:eastAsia="Nunito Sans" w:cs="Nunito Sans"/>
          <w:sz w:val="22"/>
          <w:szCs w:val="22"/>
        </w:rPr>
        <w:t>Ciudadanía en general y organizaciones de la sociedad civil.</w:t>
      </w:r>
    </w:p>
    <w:p w:rsidRPr="007E3FC8" w:rsidR="005E3BD6" w:rsidP="005E3BD6" w:rsidRDefault="005E3BD6" w14:paraId="06F43048" w14:textId="77777777">
      <w:pPr>
        <w:jc w:val="both"/>
        <w:rPr>
          <w:rFonts w:ascii="Nunito Sans" w:hAnsi="Nunito Sans" w:cs="Calibri"/>
          <w:sz w:val="22"/>
          <w:szCs w:val="22"/>
        </w:rPr>
      </w:pPr>
    </w:p>
    <w:p w:rsidRPr="007E3FC8" w:rsidR="005E3BD6" w:rsidRDefault="005E3BD6" w14:paraId="60ECE8AF" w14:textId="468133C1">
      <w:pPr>
        <w:pStyle w:val="Ttulo2"/>
        <w:numPr>
          <w:ilvl w:val="1"/>
          <w:numId w:val="26"/>
        </w:numPr>
      </w:pPr>
      <w:bookmarkStart w:name="_Toc234234547" w:id="660"/>
      <w:r w:rsidRPr="0E79E4E6">
        <w:t>Medios y Canales de Difusión</w:t>
      </w:r>
      <w:bookmarkEnd w:id="660"/>
    </w:p>
    <w:p w:rsidRPr="007E3FC8" w:rsidR="005E3BD6" w:rsidP="005E3BD6" w:rsidRDefault="005E3BD6" w14:paraId="7BA77A0E" w14:textId="77777777">
      <w:pPr>
        <w:spacing w:before="240" w:after="240"/>
        <w:jc w:val="both"/>
      </w:pPr>
      <w:r w:rsidRPr="0E79E4E6">
        <w:rPr>
          <w:rFonts w:ascii="Nunito Sans" w:hAnsi="Nunito Sans" w:eastAsia="Nunito Sans" w:cs="Nunito Sans"/>
          <w:sz w:val="22"/>
          <w:szCs w:val="22"/>
        </w:rPr>
        <w:t>La socialización del PETI Sectorial se realizará a través de canales internos y externos, en coordinación con las áreas de comunicaciones del Ministerio de Minas y Energía y de las entidades participantes, garantizando mensajes claros, coherentes y diferenciados según el público objetivo.</w:t>
      </w:r>
    </w:p>
    <w:p w:rsidRPr="007E3FC8" w:rsidR="005E3BD6" w:rsidP="005E3BD6" w:rsidRDefault="005E3BD6" w14:paraId="63026E49" w14:textId="77777777">
      <w:pPr>
        <w:spacing w:before="240" w:after="240"/>
        <w:jc w:val="both"/>
      </w:pPr>
      <w:r w:rsidRPr="0E79E4E6">
        <w:rPr>
          <w:rFonts w:ascii="Nunito Sans" w:hAnsi="Nunito Sans" w:eastAsia="Nunito Sans" w:cs="Nunito Sans"/>
          <w:sz w:val="22"/>
          <w:szCs w:val="22"/>
        </w:rPr>
        <w:t>Entre los principales medios de difusión se contemplan:</w:t>
      </w:r>
    </w:p>
    <w:p w:rsidRPr="007E3FC8" w:rsidR="005E3BD6" w:rsidRDefault="005E3BD6" w14:paraId="6F4DC274" w14:textId="77777777">
      <w:pPr>
        <w:pStyle w:val="Prrafodelista"/>
        <w:numPr>
          <w:ilvl w:val="0"/>
          <w:numId w:val="32"/>
        </w:numPr>
        <w:spacing w:before="240" w:after="240"/>
        <w:ind w:left="709" w:hanging="283"/>
        <w:jc w:val="both"/>
        <w:rPr>
          <w:rFonts w:ascii="Nunito Sans" w:hAnsi="Nunito Sans" w:eastAsia="Nunito Sans" w:cs="Nunito Sans"/>
          <w:sz w:val="22"/>
          <w:szCs w:val="22"/>
        </w:rPr>
      </w:pPr>
      <w:r w:rsidRPr="0E79E4E6">
        <w:rPr>
          <w:rFonts w:ascii="Nunito Sans" w:hAnsi="Nunito Sans" w:eastAsia="Nunito Sans" w:cs="Nunito Sans"/>
          <w:sz w:val="22"/>
          <w:szCs w:val="22"/>
        </w:rPr>
        <w:t>Portal web institucional en la sección de transparencia y acceso a la información específicamente en los planes estratégicos sectoriales.</w:t>
      </w:r>
    </w:p>
    <w:p w:rsidRPr="007E3FC8" w:rsidR="005E3BD6" w:rsidRDefault="005E3BD6" w14:paraId="1529D77A" w14:textId="77777777">
      <w:pPr>
        <w:pStyle w:val="Prrafodelista"/>
        <w:numPr>
          <w:ilvl w:val="0"/>
          <w:numId w:val="32"/>
        </w:numPr>
        <w:spacing w:before="240" w:after="240"/>
        <w:ind w:left="709" w:hanging="283"/>
        <w:jc w:val="both"/>
        <w:rPr>
          <w:rFonts w:ascii="Nunito Sans" w:hAnsi="Nunito Sans" w:eastAsia="Nunito Sans" w:cs="Nunito Sans"/>
          <w:sz w:val="22"/>
          <w:szCs w:val="22"/>
        </w:rPr>
      </w:pPr>
      <w:r w:rsidRPr="0E79E4E6">
        <w:rPr>
          <w:rFonts w:ascii="Nunito Sans" w:hAnsi="Nunito Sans" w:eastAsia="Nunito Sans" w:cs="Nunito Sans"/>
          <w:sz w:val="22"/>
          <w:szCs w:val="22"/>
        </w:rPr>
        <w:t>Intranets y medios internos de las entidades del sector.</w:t>
      </w:r>
    </w:p>
    <w:p w:rsidRPr="007E3FC8" w:rsidR="005E3BD6" w:rsidRDefault="005E3BD6" w14:paraId="013C1633" w14:textId="77777777">
      <w:pPr>
        <w:pStyle w:val="Prrafodelista"/>
        <w:numPr>
          <w:ilvl w:val="0"/>
          <w:numId w:val="32"/>
        </w:numPr>
        <w:spacing w:before="240" w:after="240"/>
        <w:ind w:left="709" w:hanging="283"/>
        <w:jc w:val="both"/>
        <w:rPr>
          <w:rFonts w:ascii="Nunito Sans" w:hAnsi="Nunito Sans" w:eastAsia="Nunito Sans" w:cs="Nunito Sans"/>
          <w:sz w:val="22"/>
          <w:szCs w:val="22"/>
        </w:rPr>
      </w:pPr>
      <w:r w:rsidRPr="0E79E4E6">
        <w:rPr>
          <w:rFonts w:ascii="Nunito Sans" w:hAnsi="Nunito Sans" w:eastAsia="Nunito Sans" w:cs="Nunito Sans"/>
          <w:sz w:val="22"/>
          <w:szCs w:val="22"/>
        </w:rPr>
        <w:t>Correos institucionales y boletines informativos.</w:t>
      </w:r>
    </w:p>
    <w:p w:rsidRPr="007E3FC8" w:rsidR="005E3BD6" w:rsidRDefault="005E3BD6" w14:paraId="792C62D0" w14:textId="77777777">
      <w:pPr>
        <w:pStyle w:val="Prrafodelista"/>
        <w:numPr>
          <w:ilvl w:val="0"/>
          <w:numId w:val="32"/>
        </w:numPr>
        <w:spacing w:before="240" w:after="240"/>
        <w:ind w:left="709" w:hanging="283"/>
        <w:jc w:val="both"/>
        <w:rPr>
          <w:rFonts w:ascii="Nunito Sans" w:hAnsi="Nunito Sans" w:eastAsia="Nunito Sans" w:cs="Nunito Sans"/>
          <w:sz w:val="22"/>
          <w:szCs w:val="22"/>
        </w:rPr>
      </w:pPr>
      <w:r w:rsidRPr="0E79E4E6">
        <w:rPr>
          <w:rFonts w:ascii="Nunito Sans" w:hAnsi="Nunito Sans" w:eastAsia="Nunito Sans" w:cs="Nunito Sans"/>
          <w:sz w:val="22"/>
          <w:szCs w:val="22"/>
        </w:rPr>
        <w:t>Piezas gráficas y presentaciones ejecutivas.</w:t>
      </w:r>
    </w:p>
    <w:p w:rsidR="005E3BD6" w:rsidRDefault="005E3BD6" w14:paraId="36D7BFEC" w14:textId="77777777">
      <w:pPr>
        <w:pStyle w:val="Prrafodelista"/>
        <w:numPr>
          <w:ilvl w:val="0"/>
          <w:numId w:val="32"/>
        </w:numPr>
        <w:spacing w:before="240" w:after="240"/>
        <w:ind w:left="709" w:hanging="283"/>
        <w:jc w:val="both"/>
        <w:rPr>
          <w:rFonts w:ascii="Nunito Sans" w:hAnsi="Nunito Sans" w:eastAsia="Nunito Sans" w:cs="Nunito Sans"/>
          <w:sz w:val="22"/>
          <w:szCs w:val="22"/>
        </w:rPr>
      </w:pPr>
      <w:r w:rsidRPr="0E79E4E6">
        <w:rPr>
          <w:rFonts w:ascii="Nunito Sans" w:hAnsi="Nunito Sans" w:eastAsia="Nunito Sans" w:cs="Nunito Sans"/>
          <w:sz w:val="22"/>
          <w:szCs w:val="22"/>
        </w:rPr>
        <w:t>Espacios de socialización sectorial, comités y mesas técnicas de TI.</w:t>
      </w:r>
    </w:p>
    <w:p w:rsidR="005E3BD6" w:rsidRDefault="005E3BD6" w14:paraId="7BC5D03E" w14:textId="5EC6EB77">
      <w:pPr>
        <w:pStyle w:val="Ttulo2"/>
        <w:numPr>
          <w:ilvl w:val="1"/>
          <w:numId w:val="26"/>
        </w:numPr>
      </w:pPr>
      <w:bookmarkStart w:name="_Toc234234548" w:id="661"/>
      <w:r w:rsidRPr="0E79E4E6">
        <w:t>Esquema Ejecutivo del Plan de Comunicación</w:t>
      </w:r>
      <w:bookmarkEnd w:id="661"/>
    </w:p>
    <w:p w:rsidRPr="00EB43A6" w:rsidR="005E3BD6" w:rsidP="005E3BD6" w:rsidRDefault="00E45456" w14:paraId="6ED2E5AA" w14:textId="2EEC6AE6">
      <w:pPr>
        <w:ind w:left="360" w:hanging="360"/>
        <w:jc w:val="center"/>
        <w:rPr>
          <w:rFonts w:ascii="Nunito Sans" w:hAnsi="Nunito Sans" w:cs="Calibri"/>
          <w:b/>
          <w:bCs/>
          <w:sz w:val="18"/>
          <w:szCs w:val="18"/>
        </w:rPr>
      </w:pPr>
      <w:bookmarkStart w:name="_Toc220664248" w:id="662"/>
      <w:r w:rsidRPr="00C04A2C">
        <w:rPr>
          <w:rFonts w:ascii="Nunito Sans" w:hAnsi="Nunito Sans" w:cs="Calibri"/>
          <w:b/>
          <w:bCs/>
          <w:sz w:val="18"/>
          <w:szCs w:val="18"/>
        </w:rPr>
        <w:t xml:space="preserve">Tabla </w:t>
      </w:r>
      <w:r w:rsidRPr="00C04A2C">
        <w:rPr>
          <w:rFonts w:ascii="Nunito Sans" w:hAnsi="Nunito Sans" w:cs="Calibri"/>
          <w:b/>
          <w:bCs/>
          <w:sz w:val="18"/>
          <w:szCs w:val="18"/>
        </w:rPr>
        <w:fldChar w:fldCharType="begin"/>
      </w:r>
      <w:r w:rsidRPr="00C04A2C">
        <w:rPr>
          <w:rFonts w:ascii="Nunito Sans" w:hAnsi="Nunito Sans" w:cs="Calibri"/>
          <w:b/>
          <w:bCs/>
          <w:sz w:val="18"/>
          <w:szCs w:val="18"/>
        </w:rPr>
        <w:instrText xml:space="preserve"> SEQ Tabla \* ARABIC </w:instrText>
      </w:r>
      <w:r w:rsidRPr="00C04A2C">
        <w:rPr>
          <w:rFonts w:ascii="Nunito Sans" w:hAnsi="Nunito Sans" w:cs="Calibri"/>
          <w:b/>
          <w:bCs/>
          <w:sz w:val="18"/>
          <w:szCs w:val="18"/>
        </w:rPr>
        <w:fldChar w:fldCharType="separate"/>
      </w:r>
      <w:r w:rsidR="00C57F7B">
        <w:rPr>
          <w:rFonts w:ascii="Nunito Sans" w:hAnsi="Nunito Sans" w:cs="Calibri"/>
          <w:b/>
          <w:bCs/>
          <w:noProof/>
          <w:sz w:val="18"/>
          <w:szCs w:val="18"/>
        </w:rPr>
        <w:t>77</w:t>
      </w:r>
      <w:r w:rsidRPr="00C04A2C">
        <w:rPr>
          <w:rFonts w:ascii="Nunito Sans" w:hAnsi="Nunito Sans" w:cs="Calibri"/>
          <w:b/>
          <w:bCs/>
          <w:sz w:val="18"/>
          <w:szCs w:val="18"/>
        </w:rPr>
        <w:fldChar w:fldCharType="end"/>
      </w:r>
      <w:r w:rsidRPr="005C3EC3" w:rsidR="005E3BD6">
        <w:rPr>
          <w:rFonts w:ascii="Nunito Sans" w:hAnsi="Nunito Sans" w:cs="Calibri"/>
          <w:b/>
          <w:bCs/>
          <w:sz w:val="18"/>
          <w:szCs w:val="18"/>
        </w:rPr>
        <w:t xml:space="preserve">: </w:t>
      </w:r>
      <w:r w:rsidRPr="00CB7427" w:rsidR="005E3BD6">
        <w:rPr>
          <w:rFonts w:ascii="Nunito Sans" w:hAnsi="Nunito Sans" w:cs="Calibri"/>
          <w:b/>
          <w:bCs/>
          <w:sz w:val="18"/>
          <w:szCs w:val="18"/>
        </w:rPr>
        <w:t>Esquema Ejecutivo del Plan de Comunicación</w:t>
      </w:r>
      <w:bookmarkEnd w:id="662"/>
    </w:p>
    <w:tbl>
      <w:tblPr>
        <w:tblStyle w:val="Tablaconcuadrcula"/>
        <w:tblW w:w="9208" w:type="dxa"/>
        <w:jc w:val="center"/>
        <w:tblBorders>
          <w:top w:val="single" w:color="E1AF3B" w:sz="4" w:space="0"/>
          <w:left w:val="single" w:color="E1AF3B" w:sz="4" w:space="0"/>
          <w:bottom w:val="single" w:color="E1AF3B" w:sz="4" w:space="0"/>
          <w:right w:val="single" w:color="E1AF3B" w:sz="4" w:space="0"/>
          <w:insideH w:val="single" w:color="E1AF3B" w:sz="4" w:space="0"/>
          <w:insideV w:val="single" w:color="E1AF3B" w:sz="4" w:space="0"/>
        </w:tblBorders>
        <w:tblLook w:val="06A0" w:firstRow="1" w:lastRow="0" w:firstColumn="1" w:lastColumn="0" w:noHBand="1" w:noVBand="1"/>
      </w:tblPr>
      <w:tblGrid>
        <w:gridCol w:w="2259"/>
        <w:gridCol w:w="1838"/>
        <w:gridCol w:w="2277"/>
        <w:gridCol w:w="1542"/>
        <w:gridCol w:w="1292"/>
      </w:tblGrid>
      <w:tr w:rsidRPr="00E92603" w:rsidR="005E3BD6" w:rsidTr="007C7446" w14:paraId="2BA0353D" w14:textId="77777777">
        <w:trPr>
          <w:trHeight w:val="300"/>
          <w:jc w:val="center"/>
        </w:trPr>
        <w:tc>
          <w:tcPr>
            <w:tcW w:w="2259" w:type="dxa"/>
            <w:shd w:val="clear" w:color="auto" w:fill="E1AF3B"/>
            <w:vAlign w:val="center"/>
          </w:tcPr>
          <w:p w:rsidRPr="00E92603" w:rsidR="005E3BD6" w:rsidP="00B4771C" w:rsidRDefault="005E3BD6" w14:paraId="2BC19070" w14:textId="77777777">
            <w:pPr>
              <w:spacing w:line="259" w:lineRule="auto"/>
              <w:jc w:val="center"/>
              <w:rPr>
                <w:sz w:val="18"/>
                <w:szCs w:val="18"/>
              </w:rPr>
            </w:pPr>
            <w:r w:rsidRPr="00E92603">
              <w:rPr>
                <w:rFonts w:ascii="Nunito Sans" w:hAnsi="Nunito Sans" w:eastAsia="Nunito Sans" w:cs="Nunito Sans"/>
                <w:b/>
                <w:bCs/>
                <w:color w:val="FFFFFF" w:themeColor="background1"/>
                <w:sz w:val="18"/>
                <w:szCs w:val="18"/>
              </w:rPr>
              <w:t>Temática</w:t>
            </w:r>
          </w:p>
        </w:tc>
        <w:tc>
          <w:tcPr>
            <w:tcW w:w="1838" w:type="dxa"/>
            <w:shd w:val="clear" w:color="auto" w:fill="E1AF3B"/>
            <w:vAlign w:val="center"/>
          </w:tcPr>
          <w:p w:rsidRPr="00E92603" w:rsidR="005E3BD6" w:rsidP="00B4771C" w:rsidRDefault="005E3BD6" w14:paraId="3BCEDEE5" w14:textId="77777777">
            <w:pPr>
              <w:jc w:val="center"/>
              <w:rPr>
                <w:rFonts w:ascii="Nunito Sans" w:hAnsi="Nunito Sans" w:eastAsia="Nunito Sans" w:cs="Nunito Sans"/>
                <w:b/>
                <w:bCs/>
                <w:color w:val="FFFFFF" w:themeColor="background1"/>
                <w:sz w:val="18"/>
                <w:szCs w:val="18"/>
              </w:rPr>
            </w:pPr>
            <w:r w:rsidRPr="00E92603">
              <w:rPr>
                <w:rFonts w:ascii="Nunito Sans" w:hAnsi="Nunito Sans" w:eastAsia="Nunito Sans" w:cs="Nunito Sans"/>
                <w:b/>
                <w:bCs/>
                <w:color w:val="FFFFFF" w:themeColor="background1"/>
                <w:sz w:val="18"/>
                <w:szCs w:val="18"/>
              </w:rPr>
              <w:t>Grupo de interés</w:t>
            </w:r>
          </w:p>
        </w:tc>
        <w:tc>
          <w:tcPr>
            <w:tcW w:w="2277" w:type="dxa"/>
            <w:shd w:val="clear" w:color="auto" w:fill="E1AF3B"/>
            <w:vAlign w:val="center"/>
          </w:tcPr>
          <w:p w:rsidRPr="00E92603" w:rsidR="005E3BD6" w:rsidP="00B4771C" w:rsidRDefault="005E3BD6" w14:paraId="0A49D89A" w14:textId="77777777">
            <w:pPr>
              <w:jc w:val="center"/>
              <w:rPr>
                <w:rFonts w:ascii="Nunito Sans" w:hAnsi="Nunito Sans" w:eastAsia="Nunito Sans" w:cs="Nunito Sans"/>
                <w:b/>
                <w:bCs/>
                <w:color w:val="FFFFFF" w:themeColor="background1"/>
                <w:sz w:val="18"/>
                <w:szCs w:val="18"/>
              </w:rPr>
            </w:pPr>
            <w:r w:rsidRPr="00E92603">
              <w:rPr>
                <w:rFonts w:ascii="Nunito Sans" w:hAnsi="Nunito Sans" w:eastAsia="Nunito Sans" w:cs="Nunito Sans"/>
                <w:b/>
                <w:bCs/>
                <w:color w:val="FFFFFF" w:themeColor="background1"/>
                <w:sz w:val="18"/>
                <w:szCs w:val="18"/>
              </w:rPr>
              <w:t>Canal</w:t>
            </w:r>
          </w:p>
        </w:tc>
        <w:tc>
          <w:tcPr>
            <w:tcW w:w="1542" w:type="dxa"/>
            <w:shd w:val="clear" w:color="auto" w:fill="E1AF3B"/>
            <w:vAlign w:val="center"/>
          </w:tcPr>
          <w:p w:rsidRPr="00E92603" w:rsidR="005E3BD6" w:rsidP="00B4771C" w:rsidRDefault="005E3BD6" w14:paraId="4E074484" w14:textId="77777777">
            <w:pPr>
              <w:jc w:val="center"/>
              <w:rPr>
                <w:rFonts w:ascii="Nunito Sans" w:hAnsi="Nunito Sans" w:eastAsia="Nunito Sans" w:cs="Nunito Sans"/>
                <w:b/>
                <w:bCs/>
                <w:color w:val="FFFFFF" w:themeColor="background1"/>
                <w:sz w:val="18"/>
                <w:szCs w:val="18"/>
              </w:rPr>
            </w:pPr>
            <w:r w:rsidRPr="00E92603">
              <w:rPr>
                <w:rFonts w:ascii="Nunito Sans" w:hAnsi="Nunito Sans" w:eastAsia="Nunito Sans" w:cs="Nunito Sans"/>
                <w:b/>
                <w:bCs/>
                <w:color w:val="FFFFFF" w:themeColor="background1"/>
                <w:sz w:val="18"/>
                <w:szCs w:val="18"/>
              </w:rPr>
              <w:t>Formato</w:t>
            </w:r>
          </w:p>
        </w:tc>
        <w:tc>
          <w:tcPr>
            <w:tcW w:w="1292" w:type="dxa"/>
            <w:shd w:val="clear" w:color="auto" w:fill="E1AF3B"/>
            <w:vAlign w:val="center"/>
          </w:tcPr>
          <w:p w:rsidRPr="00E92603" w:rsidR="005E3BD6" w:rsidP="00B4771C" w:rsidRDefault="005E3BD6" w14:paraId="07DC5B1E" w14:textId="77777777">
            <w:pPr>
              <w:jc w:val="center"/>
              <w:rPr>
                <w:rFonts w:ascii="Nunito Sans" w:hAnsi="Nunito Sans" w:eastAsia="Nunito Sans" w:cs="Nunito Sans"/>
                <w:b/>
                <w:bCs/>
                <w:color w:val="FFFFFF" w:themeColor="background1"/>
                <w:sz w:val="18"/>
                <w:szCs w:val="18"/>
              </w:rPr>
            </w:pPr>
            <w:r w:rsidRPr="00E92603">
              <w:rPr>
                <w:rFonts w:ascii="Nunito Sans" w:hAnsi="Nunito Sans" w:eastAsia="Nunito Sans" w:cs="Nunito Sans"/>
                <w:b/>
                <w:bCs/>
                <w:color w:val="FFFFFF" w:themeColor="background1"/>
                <w:sz w:val="18"/>
                <w:szCs w:val="18"/>
              </w:rPr>
              <w:t>Responsable</w:t>
            </w:r>
          </w:p>
        </w:tc>
      </w:tr>
      <w:tr w:rsidRPr="00E92603" w:rsidR="005E3BD6" w:rsidTr="007C7446" w14:paraId="3755D199" w14:textId="77777777">
        <w:trPr>
          <w:trHeight w:val="300"/>
          <w:jc w:val="center"/>
        </w:trPr>
        <w:tc>
          <w:tcPr>
            <w:tcW w:w="2259" w:type="dxa"/>
            <w:vAlign w:val="center"/>
          </w:tcPr>
          <w:p w:rsidRPr="00E92603" w:rsidR="005E3BD6" w:rsidP="00B4771C" w:rsidRDefault="005E3BD6" w14:paraId="3C272680"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Necesidades estratégicas de TI sectoriales</w:t>
            </w:r>
          </w:p>
        </w:tc>
        <w:tc>
          <w:tcPr>
            <w:tcW w:w="1838" w:type="dxa"/>
            <w:vAlign w:val="center"/>
          </w:tcPr>
          <w:p w:rsidRPr="00E92603" w:rsidR="005E3BD6" w:rsidP="00B4771C" w:rsidRDefault="005E3BD6" w14:paraId="44FCBEF6"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Público</w:t>
            </w:r>
            <w:r>
              <w:rPr>
                <w:rFonts w:ascii="Nunito Sans" w:hAnsi="Nunito Sans" w:eastAsia="Nunito Sans" w:cs="Nunito Sans"/>
                <w:sz w:val="18"/>
                <w:szCs w:val="18"/>
              </w:rPr>
              <w:t xml:space="preserve">, entidades del sector, </w:t>
            </w:r>
            <w:r w:rsidRPr="00E92603">
              <w:rPr>
                <w:rFonts w:ascii="Nunito Sans" w:hAnsi="Nunito Sans" w:eastAsia="Nunito Sans" w:cs="Nunito Sans"/>
                <w:sz w:val="18"/>
                <w:szCs w:val="18"/>
              </w:rPr>
              <w:t xml:space="preserve"> interno sectorial</w:t>
            </w:r>
          </w:p>
        </w:tc>
        <w:tc>
          <w:tcPr>
            <w:tcW w:w="2277" w:type="dxa"/>
            <w:vAlign w:val="center"/>
          </w:tcPr>
          <w:p w:rsidRPr="00E92603" w:rsidR="005E3BD6" w:rsidP="00B4771C" w:rsidRDefault="005E3BD6" w14:paraId="2F36C1A1"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Medios internos, comités sectoriales</w:t>
            </w:r>
          </w:p>
        </w:tc>
        <w:tc>
          <w:tcPr>
            <w:tcW w:w="1542" w:type="dxa"/>
            <w:vAlign w:val="center"/>
          </w:tcPr>
          <w:p w:rsidRPr="00E92603" w:rsidR="005E3BD6" w:rsidP="00B4771C" w:rsidRDefault="005E3BD6" w14:paraId="62AF044B"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Presentación ejecutiva, documento PETI</w:t>
            </w:r>
          </w:p>
        </w:tc>
        <w:tc>
          <w:tcPr>
            <w:tcW w:w="1292" w:type="dxa"/>
            <w:vAlign w:val="center"/>
          </w:tcPr>
          <w:p w:rsidRPr="00E92603" w:rsidR="005E3BD6" w:rsidP="00B4771C" w:rsidRDefault="005E3BD6" w14:paraId="6F44A409"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Equipo PETI Sectorial</w:t>
            </w:r>
          </w:p>
        </w:tc>
      </w:tr>
      <w:tr w:rsidRPr="00E92603" w:rsidR="005E3BD6" w:rsidTr="007C7446" w14:paraId="24DE32EB" w14:textId="77777777">
        <w:trPr>
          <w:trHeight w:val="300"/>
          <w:jc w:val="center"/>
        </w:trPr>
        <w:tc>
          <w:tcPr>
            <w:tcW w:w="2259" w:type="dxa"/>
            <w:vAlign w:val="center"/>
          </w:tcPr>
          <w:p w:rsidRPr="00E92603" w:rsidR="005E3BD6" w:rsidP="00B4771C" w:rsidRDefault="005E3BD6" w14:paraId="7256BCCF"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Oportunidades de mejora</w:t>
            </w:r>
          </w:p>
        </w:tc>
        <w:tc>
          <w:tcPr>
            <w:tcW w:w="1838" w:type="dxa"/>
            <w:vAlign w:val="center"/>
          </w:tcPr>
          <w:p w:rsidRPr="00E92603" w:rsidR="005E3BD6" w:rsidP="00B4771C" w:rsidRDefault="005E3BD6" w14:paraId="0496566D"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Público interno sectorial</w:t>
            </w:r>
          </w:p>
        </w:tc>
        <w:tc>
          <w:tcPr>
            <w:tcW w:w="2277" w:type="dxa"/>
            <w:vAlign w:val="center"/>
          </w:tcPr>
          <w:p w:rsidRPr="00E92603" w:rsidR="005E3BD6" w:rsidP="00B4771C" w:rsidRDefault="005E3BD6" w14:paraId="167E4594"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Medios internos</w:t>
            </w:r>
          </w:p>
        </w:tc>
        <w:tc>
          <w:tcPr>
            <w:tcW w:w="1542" w:type="dxa"/>
            <w:vAlign w:val="center"/>
          </w:tcPr>
          <w:p w:rsidRPr="00E92603" w:rsidR="005E3BD6" w:rsidP="00B4771C" w:rsidRDefault="005E3BD6" w14:paraId="053FF82A"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Presentación ejecutiva, documento PETI</w:t>
            </w:r>
          </w:p>
        </w:tc>
        <w:tc>
          <w:tcPr>
            <w:tcW w:w="1292" w:type="dxa"/>
            <w:vAlign w:val="center"/>
          </w:tcPr>
          <w:p w:rsidRPr="00E92603" w:rsidR="005E3BD6" w:rsidP="00B4771C" w:rsidRDefault="005E3BD6" w14:paraId="02201BFC"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Equipo PETI Sectorial</w:t>
            </w:r>
          </w:p>
        </w:tc>
      </w:tr>
      <w:tr w:rsidRPr="00E92603" w:rsidR="005E3BD6" w:rsidTr="007C7446" w14:paraId="640DEDED" w14:textId="77777777">
        <w:trPr>
          <w:trHeight w:val="300"/>
          <w:jc w:val="center"/>
        </w:trPr>
        <w:tc>
          <w:tcPr>
            <w:tcW w:w="2259" w:type="dxa"/>
            <w:vAlign w:val="center"/>
          </w:tcPr>
          <w:p w:rsidRPr="00E92603" w:rsidR="005E3BD6" w:rsidP="00B4771C" w:rsidRDefault="005E3BD6" w14:paraId="7B5426D4"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lastRenderedPageBreak/>
              <w:t>Portafolio de proyectos sectoriales</w:t>
            </w:r>
          </w:p>
        </w:tc>
        <w:tc>
          <w:tcPr>
            <w:tcW w:w="1838" w:type="dxa"/>
            <w:vAlign w:val="center"/>
          </w:tcPr>
          <w:p w:rsidRPr="00E92603" w:rsidR="005E3BD6" w:rsidP="00B4771C" w:rsidRDefault="005E3BD6" w14:paraId="66629277"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Público interno y externo</w:t>
            </w:r>
          </w:p>
        </w:tc>
        <w:tc>
          <w:tcPr>
            <w:tcW w:w="2277" w:type="dxa"/>
            <w:vAlign w:val="center"/>
          </w:tcPr>
          <w:p w:rsidRPr="00E92603" w:rsidR="005E3BD6" w:rsidP="00B4771C" w:rsidRDefault="005E3BD6" w14:paraId="6E99DE62"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Portal web, sección transparencia y acceso a la información Planes institucionales</w:t>
            </w:r>
          </w:p>
        </w:tc>
        <w:tc>
          <w:tcPr>
            <w:tcW w:w="1542" w:type="dxa"/>
            <w:vAlign w:val="center"/>
          </w:tcPr>
          <w:p w:rsidRPr="00E92603" w:rsidR="005E3BD6" w:rsidP="00B4771C" w:rsidRDefault="005E3BD6" w14:paraId="1FF538CF"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Documento PETI</w:t>
            </w:r>
          </w:p>
        </w:tc>
        <w:tc>
          <w:tcPr>
            <w:tcW w:w="1292" w:type="dxa"/>
            <w:vAlign w:val="center"/>
          </w:tcPr>
          <w:p w:rsidRPr="00E92603" w:rsidR="005E3BD6" w:rsidP="00B4771C" w:rsidRDefault="005E3BD6" w14:paraId="1D91238F"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Equipo PETI Sectorial</w:t>
            </w:r>
          </w:p>
        </w:tc>
      </w:tr>
      <w:tr w:rsidRPr="00E92603" w:rsidR="005E3BD6" w:rsidTr="007C7446" w14:paraId="79EA2737" w14:textId="77777777">
        <w:trPr>
          <w:trHeight w:val="300"/>
          <w:jc w:val="center"/>
        </w:trPr>
        <w:tc>
          <w:tcPr>
            <w:tcW w:w="2259" w:type="dxa"/>
            <w:vAlign w:val="center"/>
          </w:tcPr>
          <w:p w:rsidRPr="00E92603" w:rsidR="005E3BD6" w:rsidP="00B4771C" w:rsidRDefault="005E3BD6" w14:paraId="056D9A28"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Lineamientos y recomendaciones del PETI</w:t>
            </w:r>
          </w:p>
        </w:tc>
        <w:tc>
          <w:tcPr>
            <w:tcW w:w="1838" w:type="dxa"/>
            <w:vAlign w:val="center"/>
          </w:tcPr>
          <w:p w:rsidRPr="00E92603" w:rsidR="005E3BD6" w:rsidP="00B4771C" w:rsidRDefault="005E3BD6" w14:paraId="58BFAA13"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Público interno y externo</w:t>
            </w:r>
          </w:p>
        </w:tc>
        <w:tc>
          <w:tcPr>
            <w:tcW w:w="2277" w:type="dxa"/>
            <w:vAlign w:val="center"/>
          </w:tcPr>
          <w:p w:rsidRPr="00E92603" w:rsidR="005E3BD6" w:rsidP="00B4771C" w:rsidRDefault="005E3BD6" w14:paraId="4BEC87EC"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Portal web, sección transparencia y acceso a la información Planes institucionales</w:t>
            </w:r>
          </w:p>
        </w:tc>
        <w:tc>
          <w:tcPr>
            <w:tcW w:w="1542" w:type="dxa"/>
            <w:vAlign w:val="center"/>
          </w:tcPr>
          <w:p w:rsidRPr="00E92603" w:rsidR="005E3BD6" w:rsidP="00B4771C" w:rsidRDefault="005E3BD6" w14:paraId="4C274D96"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Documento PETI publicado</w:t>
            </w:r>
          </w:p>
        </w:tc>
        <w:tc>
          <w:tcPr>
            <w:tcW w:w="1292" w:type="dxa"/>
            <w:vAlign w:val="center"/>
          </w:tcPr>
          <w:p w:rsidRPr="00E92603" w:rsidR="005E3BD6" w:rsidP="00B4771C" w:rsidRDefault="005E3BD6" w14:paraId="1AD86011" w14:textId="77777777">
            <w:pPr>
              <w:jc w:val="center"/>
              <w:rPr>
                <w:rFonts w:ascii="Nunito Sans" w:hAnsi="Nunito Sans" w:eastAsia="Nunito Sans" w:cs="Nunito Sans"/>
                <w:sz w:val="18"/>
                <w:szCs w:val="18"/>
              </w:rPr>
            </w:pPr>
            <w:r w:rsidRPr="00E92603">
              <w:rPr>
                <w:rFonts w:ascii="Nunito Sans" w:hAnsi="Nunito Sans" w:eastAsia="Nunito Sans" w:cs="Nunito Sans"/>
                <w:sz w:val="18"/>
                <w:szCs w:val="18"/>
              </w:rPr>
              <w:t>Equipo PETI Sectorial</w:t>
            </w:r>
          </w:p>
        </w:tc>
      </w:tr>
    </w:tbl>
    <w:p w:rsidRPr="00EF5DE4" w:rsidR="005E3BD6" w:rsidP="005E3BD6" w:rsidRDefault="005E3BD6" w14:paraId="26EF6E48" w14:textId="77777777">
      <w:pPr>
        <w:pStyle w:val="Default"/>
        <w:spacing w:line="360" w:lineRule="auto"/>
        <w:jc w:val="center"/>
        <w:rPr>
          <w:rFonts w:ascii="Nunito Sans" w:hAnsi="Nunito Sans" w:cs="Calibri"/>
        </w:rPr>
      </w:pPr>
      <w:r w:rsidRPr="007E3FC8">
        <w:rPr>
          <w:rFonts w:ascii="Nunito Sans" w:hAnsi="Nunito Sans" w:eastAsia="CIDFont+F9" w:cs="Calibri"/>
          <w:color w:val="000000" w:themeColor="text1"/>
          <w:sz w:val="18"/>
          <w:szCs w:val="18"/>
        </w:rPr>
        <w:t>Fuente: Elaboración propia</w:t>
      </w:r>
    </w:p>
    <w:p w:rsidRPr="007E3FC8" w:rsidR="005E3BD6" w:rsidP="005E3BD6" w:rsidRDefault="005E3BD6" w14:paraId="4A667907" w14:textId="77777777">
      <w:pPr>
        <w:jc w:val="both"/>
        <w:rPr>
          <w:rFonts w:ascii="Nunito Sans" w:hAnsi="Nunito Sans" w:cs="Calibri"/>
          <w:i/>
          <w:iCs/>
          <w:sz w:val="22"/>
          <w:szCs w:val="22"/>
          <w:highlight w:val="yellow"/>
        </w:rPr>
      </w:pPr>
    </w:p>
    <w:p w:rsidR="005E3BD6" w:rsidRDefault="005E3BD6" w14:paraId="583DD636" w14:textId="7662434E">
      <w:pPr>
        <w:pStyle w:val="Ttulo2"/>
        <w:numPr>
          <w:ilvl w:val="1"/>
          <w:numId w:val="26"/>
        </w:numPr>
      </w:pPr>
      <w:bookmarkStart w:name="_Toc234234549" w:id="663"/>
      <w:r w:rsidRPr="0E79E4E6">
        <w:t>Publicación y Actualización</w:t>
      </w:r>
      <w:bookmarkEnd w:id="663"/>
    </w:p>
    <w:p w:rsidRPr="00E92603" w:rsidR="005E3BD6" w:rsidP="005E3BD6" w:rsidRDefault="005E3BD6" w14:paraId="574FB932" w14:textId="6DBB267F">
      <w:pPr>
        <w:spacing w:after="240" w:line="259" w:lineRule="auto"/>
        <w:jc w:val="both"/>
      </w:pPr>
      <w:r w:rsidRPr="0E79E4E6">
        <w:rPr>
          <w:rFonts w:ascii="Nunito Sans" w:hAnsi="Nunito Sans" w:eastAsia="Nunito Sans" w:cs="Nunito Sans"/>
          <w:sz w:val="22"/>
          <w:szCs w:val="22"/>
        </w:rPr>
        <w:t xml:space="preserve">El PETI Sectorial Minero-Energético será publicado en la sede electrónica del Ministerio de Minas y Energía con periodicidad </w:t>
      </w:r>
      <w:r>
        <w:rPr>
          <w:rFonts w:ascii="Nunito Sans" w:hAnsi="Nunito Sans" w:eastAsia="Nunito Sans" w:cs="Nunito Sans"/>
          <w:sz w:val="22"/>
          <w:szCs w:val="22"/>
        </w:rPr>
        <w:t>anual</w:t>
      </w:r>
      <w:r w:rsidRPr="0E79E4E6">
        <w:rPr>
          <w:rFonts w:ascii="Nunito Sans" w:hAnsi="Nunito Sans" w:eastAsia="Nunito Sans" w:cs="Nunito Sans"/>
          <w:sz w:val="22"/>
          <w:szCs w:val="22"/>
        </w:rPr>
        <w:t>. En caso de ajustes, revisiones o actualizaciones derivadas del seguimiento a la hoja de ruta o de cambios normativos y estratégicos, se realizará una nueva publicación a través de los canales definidos, garantizando la transparencia, la trazabilidad y la actualización permanente de la información sectorial.</w:t>
      </w:r>
    </w:p>
    <w:p w:rsidRPr="00E92603" w:rsidR="005E3BD6" w:rsidRDefault="00133BF0" w14:paraId="28809C5D" w14:textId="53B4B0DF">
      <w:pPr>
        <w:pStyle w:val="Ttulo1"/>
        <w:numPr>
          <w:ilvl w:val="0"/>
          <w:numId w:val="39"/>
        </w:numPr>
        <w:ind w:left="1276" w:hanging="491"/>
        <w:jc w:val="center"/>
        <w:rPr>
          <w:rFonts w:cs="Calibri" w:eastAsiaTheme="minorEastAsia"/>
          <w:sz w:val="28"/>
          <w:szCs w:val="28"/>
          <w:lang w:val="es-ES"/>
        </w:rPr>
      </w:pPr>
      <w:bookmarkStart w:name="_Toc308592462" w:id="664"/>
      <w:bookmarkStart w:name="_Toc1000724296" w:id="665"/>
      <w:bookmarkStart w:name="_Toc234234550" w:id="666"/>
      <w:r w:rsidRPr="3D9E0835">
        <w:rPr>
          <w:lang w:val="es-ES"/>
        </w:rPr>
        <w:t>GLOSARIO Y DEFINICIONES</w:t>
      </w:r>
      <w:bookmarkEnd w:id="664"/>
      <w:bookmarkEnd w:id="665"/>
      <w:bookmarkEnd w:id="666"/>
    </w:p>
    <w:p w:rsidR="03154450" w:rsidP="3D9E0835" w:rsidRDefault="03154450" w14:paraId="3587CFF7" w14:textId="2A7FD42E">
      <w:pPr>
        <w:spacing w:before="240" w:after="240" w:line="276" w:lineRule="auto"/>
        <w:jc w:val="both"/>
      </w:pPr>
      <w:r w:rsidRPr="3D9E0835">
        <w:rPr>
          <w:rFonts w:ascii="Nunito Sans" w:hAnsi="Nunito Sans" w:eastAsia="Nunito Sans" w:cs="Nunito Sans"/>
          <w:color w:val="000000" w:themeColor="text1"/>
          <w:sz w:val="22"/>
          <w:szCs w:val="22"/>
          <w:lang w:val="es-ES"/>
        </w:rPr>
        <w:t>En este apartado se presentan los términos y conceptos clave utilizados a lo largo del documento, junto con sus respectivas definiciones. Estas han sido tomadas del glosario oficial del Ministerio de Tecnologías de la Información y las Comunicaciones (MinTIC). Para su consulta detallada, los términos y definiciones se encuentran compilados en el Anexo 13 – Glosario Sectorial PETI 2025–2030, el cual constituye una referencia de apoyo para facilitar la comprensión del documento y garantizar la consistencia en el uso de la terminología empleada.</w:t>
      </w:r>
    </w:p>
    <w:p w:rsidR="005E3BD6" w:rsidRDefault="00133BF0" w14:paraId="1AF2B74C" w14:textId="153DBAF6">
      <w:pPr>
        <w:pStyle w:val="Ttulo1"/>
        <w:numPr>
          <w:ilvl w:val="0"/>
          <w:numId w:val="39"/>
        </w:numPr>
        <w:ind w:left="567" w:hanging="567"/>
        <w:jc w:val="center"/>
        <w:rPr>
          <w:lang w:val="es-ES"/>
        </w:rPr>
      </w:pPr>
      <w:bookmarkStart w:name="_Toc234234551" w:id="667"/>
      <w:r>
        <w:rPr>
          <w:lang w:val="es-ES"/>
        </w:rPr>
        <w:t>ANEXOS</w:t>
      </w:r>
      <w:bookmarkEnd w:id="667"/>
    </w:p>
    <w:p w:rsidRPr="00264137" w:rsidR="00264137" w:rsidP="00264137" w:rsidRDefault="00264137" w14:paraId="4E62EF0C" w14:textId="77777777">
      <w:pPr>
        <w:rPr>
          <w:lang w:val="es-ES"/>
        </w:rPr>
      </w:pPr>
    </w:p>
    <w:p w:rsidRPr="002F3FBC" w:rsidR="002F3FBC" w:rsidP="002F3FBC" w:rsidRDefault="002F3FBC" w14:paraId="02D2E8CC" w14:textId="77777777">
      <w:pPr>
        <w:rPr>
          <w:rFonts w:ascii="Nunito Sans" w:hAnsi="Nunito Sans" w:cs="Calibri"/>
          <w:sz w:val="22"/>
          <w:szCs w:val="22"/>
        </w:rPr>
      </w:pPr>
      <w:r w:rsidRPr="002F3FBC">
        <w:rPr>
          <w:rFonts w:ascii="Nunito Sans" w:hAnsi="Nunito Sans" w:cs="Calibri"/>
          <w:sz w:val="22"/>
          <w:szCs w:val="22"/>
        </w:rPr>
        <w:t>Anexo 1 – Normograma Sectorial</w:t>
      </w:r>
    </w:p>
    <w:p w:rsidRPr="002F3FBC" w:rsidR="002F3FBC" w:rsidP="002F3FBC" w:rsidRDefault="002F3FBC" w14:paraId="70398B42" w14:textId="77777777">
      <w:pPr>
        <w:rPr>
          <w:rFonts w:ascii="Nunito Sans" w:hAnsi="Nunito Sans" w:cs="Calibri"/>
          <w:sz w:val="22"/>
          <w:szCs w:val="22"/>
        </w:rPr>
      </w:pPr>
      <w:r w:rsidRPr="002F3FBC">
        <w:rPr>
          <w:rFonts w:ascii="Nunito Sans" w:hAnsi="Nunito Sans" w:cs="Calibri"/>
          <w:sz w:val="22"/>
          <w:szCs w:val="22"/>
        </w:rPr>
        <w:t>Anexo 2 – Contexto Estratégico Sectorial</w:t>
      </w:r>
    </w:p>
    <w:p w:rsidRPr="002F3FBC" w:rsidR="002F3FBC" w:rsidP="002F3FBC" w:rsidRDefault="002F3FBC" w14:paraId="6AA0692C" w14:textId="77777777">
      <w:pPr>
        <w:rPr>
          <w:rFonts w:ascii="Nunito Sans" w:hAnsi="Nunito Sans" w:cs="Calibri"/>
          <w:sz w:val="22"/>
          <w:szCs w:val="22"/>
        </w:rPr>
      </w:pPr>
      <w:r w:rsidRPr="002F3FBC">
        <w:rPr>
          <w:rFonts w:ascii="Nunito Sans" w:hAnsi="Nunito Sans" w:cs="Calibri"/>
          <w:sz w:val="22"/>
          <w:szCs w:val="22"/>
        </w:rPr>
        <w:t xml:space="preserve">Anexo 3 – Cadena de Valor Hidrocarburos </w:t>
      </w:r>
    </w:p>
    <w:p w:rsidRPr="002F3FBC" w:rsidR="002F3FBC" w:rsidP="002F3FBC" w:rsidRDefault="002F3FBC" w14:paraId="26EFBA0B" w14:textId="77777777">
      <w:pPr>
        <w:rPr>
          <w:rFonts w:ascii="Nunito Sans" w:hAnsi="Nunito Sans" w:cs="Calibri"/>
          <w:sz w:val="22"/>
          <w:szCs w:val="22"/>
        </w:rPr>
      </w:pPr>
      <w:r w:rsidRPr="002F3FBC">
        <w:rPr>
          <w:rFonts w:ascii="Nunito Sans" w:hAnsi="Nunito Sans" w:cs="Calibri"/>
          <w:sz w:val="22"/>
          <w:szCs w:val="22"/>
        </w:rPr>
        <w:t xml:space="preserve">Anexo 4 – Ecosistema Hidrocarburos </w:t>
      </w:r>
    </w:p>
    <w:p w:rsidRPr="002F3FBC" w:rsidR="002F3FBC" w:rsidP="002F3FBC" w:rsidRDefault="002F3FBC" w14:paraId="55C0F18A" w14:textId="77777777">
      <w:pPr>
        <w:rPr>
          <w:rFonts w:ascii="Nunito Sans" w:hAnsi="Nunito Sans" w:cs="Calibri"/>
          <w:sz w:val="22"/>
          <w:szCs w:val="22"/>
        </w:rPr>
      </w:pPr>
      <w:r w:rsidRPr="002F3FBC">
        <w:rPr>
          <w:rFonts w:ascii="Nunito Sans" w:hAnsi="Nunito Sans" w:cs="Calibri"/>
          <w:sz w:val="22"/>
          <w:szCs w:val="22"/>
        </w:rPr>
        <w:t xml:space="preserve">Anexo 5 – Cadena de Valor de Energía  </w:t>
      </w:r>
    </w:p>
    <w:p w:rsidRPr="002F3FBC" w:rsidR="002F3FBC" w:rsidP="002F3FBC" w:rsidRDefault="002F3FBC" w14:paraId="65FF2827" w14:textId="77777777">
      <w:pPr>
        <w:rPr>
          <w:rFonts w:ascii="Nunito Sans" w:hAnsi="Nunito Sans" w:cs="Calibri"/>
          <w:sz w:val="22"/>
          <w:szCs w:val="22"/>
        </w:rPr>
      </w:pPr>
      <w:r w:rsidRPr="002F3FBC">
        <w:rPr>
          <w:rFonts w:ascii="Nunito Sans" w:hAnsi="Nunito Sans" w:cs="Calibri"/>
          <w:sz w:val="22"/>
          <w:szCs w:val="22"/>
        </w:rPr>
        <w:t>Anexo 6 – Ecosistema Energía</w:t>
      </w:r>
    </w:p>
    <w:p w:rsidRPr="002F3FBC" w:rsidR="002F3FBC" w:rsidP="002F3FBC" w:rsidRDefault="002F3FBC" w14:paraId="08B44506" w14:textId="77777777">
      <w:pPr>
        <w:rPr>
          <w:rFonts w:ascii="Nunito Sans" w:hAnsi="Nunito Sans" w:cs="Calibri"/>
          <w:sz w:val="22"/>
          <w:szCs w:val="22"/>
        </w:rPr>
      </w:pPr>
      <w:r w:rsidRPr="002F3FBC">
        <w:rPr>
          <w:rFonts w:ascii="Nunito Sans" w:hAnsi="Nunito Sans" w:cs="Calibri"/>
          <w:sz w:val="22"/>
          <w:szCs w:val="22"/>
        </w:rPr>
        <w:t xml:space="preserve">Anexo 7 – Cadena de Valor de Minería </w:t>
      </w:r>
    </w:p>
    <w:p w:rsidRPr="002F3FBC" w:rsidR="002F3FBC" w:rsidP="002F3FBC" w:rsidRDefault="002F3FBC" w14:paraId="06C8BD64" w14:textId="77777777">
      <w:pPr>
        <w:rPr>
          <w:rFonts w:ascii="Nunito Sans" w:hAnsi="Nunito Sans" w:cs="Calibri"/>
          <w:sz w:val="22"/>
          <w:szCs w:val="22"/>
        </w:rPr>
      </w:pPr>
      <w:r w:rsidRPr="002F3FBC">
        <w:rPr>
          <w:rFonts w:ascii="Nunito Sans" w:hAnsi="Nunito Sans" w:cs="Calibri"/>
          <w:sz w:val="22"/>
          <w:szCs w:val="22"/>
        </w:rPr>
        <w:t>Anexo 8 – Ecosistema Minería</w:t>
      </w:r>
    </w:p>
    <w:p w:rsidRPr="002F3FBC" w:rsidR="002F3FBC" w:rsidP="002F3FBC" w:rsidRDefault="002F3FBC" w14:paraId="5E16605F" w14:textId="77777777">
      <w:pPr>
        <w:rPr>
          <w:rFonts w:ascii="Nunito Sans" w:hAnsi="Nunito Sans" w:cs="Calibri"/>
          <w:sz w:val="22"/>
          <w:szCs w:val="22"/>
        </w:rPr>
      </w:pPr>
      <w:r w:rsidRPr="002F3FBC">
        <w:rPr>
          <w:rFonts w:ascii="Nunito Sans" w:hAnsi="Nunito Sans" w:cs="Calibri"/>
          <w:sz w:val="22"/>
          <w:szCs w:val="22"/>
        </w:rPr>
        <w:t>Anexo 9 – Trámites y Servicios Sectoriales</w:t>
      </w:r>
    </w:p>
    <w:p w:rsidRPr="002F3FBC" w:rsidR="002F3FBC" w:rsidP="002F3FBC" w:rsidRDefault="002F3FBC" w14:paraId="1B7BFB73" w14:textId="2ABD2B89">
      <w:pPr>
        <w:rPr>
          <w:rFonts w:ascii="Nunito Sans" w:hAnsi="Nunito Sans" w:cs="Calibri"/>
          <w:sz w:val="22"/>
          <w:szCs w:val="22"/>
        </w:rPr>
      </w:pPr>
      <w:r w:rsidRPr="002F3FBC">
        <w:rPr>
          <w:rFonts w:ascii="Nunito Sans" w:hAnsi="Nunito Sans" w:cs="Calibri"/>
          <w:sz w:val="22"/>
          <w:szCs w:val="22"/>
        </w:rPr>
        <w:t>Anexo 10 - Ficha de Proyectos Sectorial</w:t>
      </w:r>
    </w:p>
    <w:p w:rsidR="00C37450" w:rsidP="002F3FBC" w:rsidRDefault="00C37450" w14:paraId="15529CAD" w14:textId="77777777">
      <w:pPr>
        <w:rPr>
          <w:rFonts w:ascii="Nunito Sans" w:hAnsi="Nunito Sans" w:cs="Calibri"/>
          <w:sz w:val="22"/>
          <w:szCs w:val="22"/>
        </w:rPr>
      </w:pPr>
      <w:r w:rsidRPr="00450774">
        <w:rPr>
          <w:rFonts w:ascii="Nunito Sans" w:hAnsi="Nunito Sans" w:eastAsiaTheme="minorHAnsi"/>
          <w:sz w:val="22"/>
          <w:szCs w:val="22"/>
        </w:rPr>
        <w:t xml:space="preserve">Anexo </w:t>
      </w:r>
      <w:r>
        <w:rPr>
          <w:rFonts w:ascii="Nunito Sans" w:hAnsi="Nunito Sans" w:eastAsiaTheme="minorHAnsi"/>
          <w:sz w:val="22"/>
          <w:szCs w:val="22"/>
        </w:rPr>
        <w:t>11</w:t>
      </w:r>
      <w:r w:rsidRPr="00450774">
        <w:rPr>
          <w:rFonts w:ascii="Nunito Sans" w:hAnsi="Nunito Sans" w:eastAsiaTheme="minorHAnsi"/>
          <w:sz w:val="22"/>
          <w:szCs w:val="22"/>
        </w:rPr>
        <w:t xml:space="preserve"> – </w:t>
      </w:r>
      <w:r>
        <w:rPr>
          <w:rFonts w:ascii="Nunito Sans" w:hAnsi="Nunito Sans" w:eastAsiaTheme="minorHAnsi"/>
          <w:sz w:val="22"/>
          <w:szCs w:val="22"/>
        </w:rPr>
        <w:t>Costos de Proyectos Sectoriales</w:t>
      </w:r>
      <w:r w:rsidRPr="002F3FBC">
        <w:rPr>
          <w:rFonts w:ascii="Nunito Sans" w:hAnsi="Nunito Sans" w:cs="Calibri"/>
          <w:sz w:val="22"/>
          <w:szCs w:val="22"/>
        </w:rPr>
        <w:t xml:space="preserve"> </w:t>
      </w:r>
    </w:p>
    <w:p w:rsidRPr="002F3FBC" w:rsidR="002F3FBC" w:rsidP="002F3FBC" w:rsidRDefault="002F3FBC" w14:paraId="7E6A2392" w14:textId="69CDC02E">
      <w:pPr>
        <w:rPr>
          <w:rFonts w:ascii="Nunito Sans" w:hAnsi="Nunito Sans" w:cs="Calibri"/>
          <w:sz w:val="22"/>
          <w:szCs w:val="22"/>
        </w:rPr>
      </w:pPr>
      <w:r w:rsidRPr="002F3FBC">
        <w:rPr>
          <w:rFonts w:ascii="Nunito Sans" w:hAnsi="Nunito Sans" w:cs="Calibri"/>
          <w:sz w:val="22"/>
          <w:szCs w:val="22"/>
        </w:rPr>
        <w:lastRenderedPageBreak/>
        <w:t>Anexo 1</w:t>
      </w:r>
      <w:r w:rsidR="000F6016">
        <w:rPr>
          <w:rFonts w:ascii="Nunito Sans" w:hAnsi="Nunito Sans" w:cs="Calibri"/>
          <w:sz w:val="22"/>
          <w:szCs w:val="22"/>
        </w:rPr>
        <w:t>2</w:t>
      </w:r>
      <w:r w:rsidRPr="002F3FBC">
        <w:rPr>
          <w:rFonts w:ascii="Nunito Sans" w:hAnsi="Nunito Sans" w:cs="Calibri"/>
          <w:sz w:val="22"/>
          <w:szCs w:val="22"/>
        </w:rPr>
        <w:t xml:space="preserve"> - Tablero de Control Sectorial</w:t>
      </w:r>
    </w:p>
    <w:p w:rsidRPr="00DC5F8D" w:rsidR="00687818" w:rsidP="00DC5F8D" w:rsidRDefault="002F3FBC" w14:paraId="1D7D5871" w14:textId="1A909128">
      <w:r w:rsidRPr="002F3FBC">
        <w:rPr>
          <w:rFonts w:ascii="Nunito Sans" w:hAnsi="Nunito Sans" w:cs="Calibri"/>
          <w:sz w:val="22"/>
          <w:szCs w:val="22"/>
        </w:rPr>
        <w:t>Anexo 1</w:t>
      </w:r>
      <w:r w:rsidR="000F6016">
        <w:rPr>
          <w:rFonts w:ascii="Nunito Sans" w:hAnsi="Nunito Sans" w:cs="Calibri"/>
          <w:sz w:val="22"/>
          <w:szCs w:val="22"/>
        </w:rPr>
        <w:t>3</w:t>
      </w:r>
      <w:r w:rsidRPr="002F3FBC">
        <w:rPr>
          <w:rFonts w:ascii="Nunito Sans" w:hAnsi="Nunito Sans" w:cs="Calibri"/>
          <w:sz w:val="22"/>
          <w:szCs w:val="22"/>
        </w:rPr>
        <w:t xml:space="preserve"> – Glosario Sectorial</w:t>
      </w:r>
      <w:r w:rsidR="007C7446">
        <w:rPr>
          <w:rFonts w:ascii="Nunito Sans" w:hAnsi="Nunito Sans" w:cs="Calibri"/>
          <w:sz w:val="22"/>
          <w:szCs w:val="22"/>
        </w:rPr>
        <w:t xml:space="preserve"> – PETI 2025 - 2030</w:t>
      </w:r>
    </w:p>
    <w:sectPr w:rsidRPr="00DC5F8D" w:rsidR="00687818" w:rsidSect="00014D1F">
      <w:headerReference w:type="default" r:id="rId87"/>
      <w:footerReference w:type="even" r:id="rId88"/>
      <w:footerReference w:type="default" r:id="rId89"/>
      <w:pgSz w:w="12240" w:h="15840" w:orient="portrait"/>
      <w:pgMar w:top="1843" w:right="1440" w:bottom="1440" w:left="1276"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rsidR="005E69F6" w:rsidP="00F30614" w:rsidRDefault="005E69F6" w14:paraId="224BEDFA" w14:textId="77777777">
      <w:r>
        <w:separator/>
      </w:r>
    </w:p>
  </w:endnote>
  <w:endnote w:type="continuationSeparator" w:id="0">
    <w:p w:rsidR="005E69F6" w:rsidP="00F30614" w:rsidRDefault="005E69F6" w14:paraId="3F00B6D0" w14:textId="77777777">
      <w:r>
        <w:continuationSeparator/>
      </w:r>
    </w:p>
  </w:endnote>
  <w:endnote w:type="continuationNotice" w:id="1">
    <w:p w:rsidR="005E69F6" w:rsidRDefault="005E69F6" w14:paraId="4BAAEDB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ork Sans">
    <w:panose1 w:val="00000000000000000000"/>
    <w:charset w:val="4D"/>
    <w:family w:val="auto"/>
    <w:pitch w:val="variable"/>
    <w:sig w:usb0="A00000FF" w:usb1="5000E07B" w:usb2="00000000" w:usb3="00000000" w:csb0="00000193" w:csb1="00000000"/>
  </w:font>
  <w:font w:name="Times New Roman">
    <w:panose1 w:val="02020603050405020304"/>
    <w:charset w:val="00"/>
    <w:family w:val="roman"/>
    <w:pitch w:val="variable"/>
    <w:sig w:usb0="E0002EFF" w:usb1="C000785B" w:usb2="00000009" w:usb3="00000000" w:csb0="000001FF" w:csb1="00000000"/>
    <w:embedRegular w:fontKey="{FA3523DB-8AE9-F54B-BC4D-CE45D8129468}" w:subsetted="1" r:id="rId1"/>
    <w:embedBold w:fontKey="{954C12FB-C548-984F-BD81-00E6691C1598}" w:subsetted="1" r:id="rId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ontserrat">
    <w:panose1 w:val="00000000000000000000"/>
    <w:charset w:val="4D"/>
    <w:family w:val="auto"/>
    <w:pitch w:val="variable"/>
    <w:sig w:usb0="A00002FF" w:usb1="4000207B" w:usb2="00000000" w:usb3="00000000" w:csb0="00000197" w:csb1="00000000"/>
    <w:embedRegular w:fontKey="{C30ED360-3A78-8E4B-B3CC-36B60BE417B9}" r:id="rId3"/>
    <w:embedBold w:fontKey="{126EFB18-9EF3-2148-B5D7-0C18B003C4D2}" r:id="rId4"/>
    <w:embedItalic w:fontKey="{679D32C1-BDC0-EC46-80FE-A51BD42EE4C6}" r:id="rId5"/>
    <w:embedBoldItalic w:fontKey="{3370076E-E3F3-A847-B9FA-1040EAD31465}" r:id="rId6"/>
  </w:font>
  <w:font w:name="Nunito Sans">
    <w:panose1 w:val="00000000000000000000"/>
    <w:charset w:val="4D"/>
    <w:family w:val="auto"/>
    <w:pitch w:val="variable"/>
    <w:sig w:usb0="A00002FF" w:usb1="5000204B" w:usb2="00000000" w:usb3="00000000" w:csb0="00000197" w:csb1="00000000"/>
    <w:embedRegular w:fontKey="{12FA3CD8-6202-E246-B7F4-84F9DB3B22E6}" r:id="rId7"/>
    <w:embedBold w:fontKey="{63E4CC84-CD40-A446-A7B9-DF93B5C7C4D3}" r:id="rId8"/>
    <w:embedItalic w:fontKey="{E585A79C-7363-D341-B3B5-7B00BE91659B}" r:id="rId9"/>
    <w:embedBoldItalic w:fontKey="{735C1A24-34BC-2149-8F3E-588AEB2955A5}" r:id="rId1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ork Sans SemiBold">
    <w:panose1 w:val="00000000000000000000"/>
    <w:charset w:val="4D"/>
    <w:family w:val="auto"/>
    <w:pitch w:val="variable"/>
    <w:sig w:usb0="A00000FF" w:usb1="5000E07B" w:usb2="00000000" w:usb3="00000000" w:csb0="00000193" w:csb1="00000000"/>
  </w:font>
  <w:font w:name="Work Sans Medium">
    <w:panose1 w:val="00000000000000000000"/>
    <w:charset w:val="4D"/>
    <w:family w:val="auto"/>
    <w:pitch w:val="variable"/>
    <w:sig w:usb0="A00000FF" w:usb1="5000E07B" w:usb2="00000000" w:usb3="00000000" w:csb0="00000193" w:csb1="00000000"/>
  </w:font>
  <w:font w:name="Work Sans Light">
    <w:panose1 w:val="00000000000000000000"/>
    <w:charset w:val="4D"/>
    <w:family w:val="auto"/>
    <w:pitch w:val="variable"/>
    <w:sig w:usb0="A00000FF" w:usb1="5000E07B" w:usb2="00000000" w:usb3="00000000" w:csb0="00000193" w:csb1="00000000"/>
  </w:font>
  <w:font w:name="Montserrat SemiBold">
    <w:panose1 w:val="00000000000000000000"/>
    <w:charset w:val="4D"/>
    <w:family w:val="auto"/>
    <w:pitch w:val="variable"/>
    <w:sig w:usb0="A00002FF" w:usb1="4000207B" w:usb2="00000000" w:usb3="00000000" w:csb0="00000197" w:csb1="00000000"/>
  </w:font>
  <w:font w:name="Lucida Sans Unicode">
    <w:panose1 w:val="020B0602030504020204"/>
    <w:charset w:val="00"/>
    <w:family w:val="swiss"/>
    <w:pitch w:val="variable"/>
    <w:sig w:usb0="80000AFF" w:usb1="0000396B" w:usb2="00000000" w:usb3="00000000" w:csb0="000000BF" w:csb1="00000000"/>
  </w:font>
  <w:font w:name="Titillium Web">
    <w:panose1 w:val="00000500000000000000"/>
    <w:charset w:val="4D"/>
    <w:family w:val="auto"/>
    <w:pitch w:val="variable"/>
    <w:sig w:usb0="00000007" w:usb1="00000001" w:usb2="00000000" w:usb3="00000000" w:csb0="00000093" w:csb1="00000000"/>
  </w:font>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Lato">
    <w:panose1 w:val="020F0502020204030203"/>
    <w:charset w:val="4D"/>
    <w:family w:val="swiss"/>
    <w:pitch w:val="variable"/>
    <w:sig w:usb0="800000AF" w:usb1="4000604A" w:usb2="00000000" w:usb3="00000000" w:csb0="00000093" w:csb1="00000000"/>
    <w:embedRegular w:fontKey="{93665AA4-D18E-094F-B28E-D578FBEC4BBC}" w:subsetted="1" r:id="rId11"/>
  </w:font>
  <w:font w:name="CIDFont+F9">
    <w:altName w:val="Microsoft JhengHei"/>
    <w:panose1 w:val="020B0604020202020204"/>
    <w:charset w:val="88"/>
    <w:family w:val="auto"/>
    <w:pitch w:val="default"/>
    <w:sig w:usb0="00000001" w:usb1="08080000" w:usb2="00000010" w:usb3="00000000" w:csb0="00100000" w:csb1="00000000"/>
  </w:font>
  <w:font w:name="Aptos Narrow">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embedRegular w:fontKey="{3C4177A1-C055-E341-9706-D7B43932A673}" r:id="rId12"/>
    <w:embedItalic w:fontKey="{CBF398CE-314D-EE46-B21A-2C5FAA1231B6}" r:id="rId13"/>
  </w:font>
  <w:font w:name="Segoe UI Emoji">
    <w:panose1 w:val="020B0502040204020203"/>
    <w:charset w:val="00"/>
    <w:family w:val="swiss"/>
    <w:pitch w:val="variable"/>
    <w:sig w:usb0="00000003" w:usb1="02000000" w:usb2="00000000" w:usb3="00000000" w:csb0="00000001" w:csb1="00000000"/>
    <w:embedBold w:fontKey="{5C33B4D1-AC59-AC48-9628-A162AB42D7A0}" w:subsetted="1" r:id="rId14"/>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Nmerodepgina"/>
      </w:rPr>
      <w:id w:val="-137028036"/>
      <w:docPartObj>
        <w:docPartGallery w:val="Page Numbers (Bottom of Page)"/>
        <w:docPartUnique/>
      </w:docPartObj>
    </w:sdtPr>
    <w:sdtEndPr>
      <w:rPr>
        <w:rStyle w:val="Nmerodepgina"/>
      </w:rPr>
    </w:sdtEndPr>
    <w:sdtContent>
      <w:p w:rsidR="001470B6" w:rsidP="00D10464" w:rsidRDefault="001470B6" w14:paraId="6500D810" w14:textId="4A13FD5B">
        <w:pPr>
          <w:pStyle w:val="Piedepgina"/>
          <w:framePr w:wrap="none" w:hAnchor="margin" w:vAnchor="text"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rPr>
          <w:fldChar w:fldCharType="end"/>
        </w:r>
      </w:p>
    </w:sdtContent>
  </w:sdt>
  <w:p w:rsidR="001470B6" w:rsidRDefault="001470B6" w14:paraId="26C81600"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Nmerodepgina"/>
      </w:rPr>
      <w:id w:val="185328510"/>
      <w:docPartObj>
        <w:docPartGallery w:val="Page Numbers (Bottom of Page)"/>
        <w:docPartUnique/>
      </w:docPartObj>
    </w:sdtPr>
    <w:sdtEndPr>
      <w:rPr>
        <w:rStyle w:val="Nmerodepgina"/>
      </w:rPr>
    </w:sdtEndPr>
    <w:sdtContent>
      <w:p w:rsidR="001470B6" w:rsidP="00D10464" w:rsidRDefault="001470B6" w14:paraId="21FA73C5" w14:textId="05B3E20E">
        <w:pPr>
          <w:pStyle w:val="Piedepgina"/>
          <w:framePr w:wrap="none" w:hAnchor="margin" w:vAnchor="text" w:xAlign="center" w:y="1"/>
          <w:rPr>
            <w:rStyle w:val="Nmerodepgina"/>
          </w:rPr>
        </w:pPr>
        <w:r w:rsidRPr="00014D1F">
          <w:rPr>
            <w:rStyle w:val="Nmerodepgina"/>
            <w:rFonts w:asciiTheme="minorHAnsi" w:hAnsiTheme="minorHAnsi"/>
            <w:sz w:val="22"/>
            <w:szCs w:val="22"/>
          </w:rPr>
          <w:fldChar w:fldCharType="begin"/>
        </w:r>
        <w:r w:rsidRPr="00014D1F">
          <w:rPr>
            <w:rStyle w:val="Nmerodepgina"/>
            <w:rFonts w:asciiTheme="minorHAnsi" w:hAnsiTheme="minorHAnsi"/>
            <w:sz w:val="22"/>
            <w:szCs w:val="22"/>
          </w:rPr>
          <w:instrText xml:space="preserve"> PAGE </w:instrText>
        </w:r>
        <w:r w:rsidRPr="00014D1F">
          <w:rPr>
            <w:rStyle w:val="Nmerodepgina"/>
            <w:rFonts w:asciiTheme="minorHAnsi" w:hAnsiTheme="minorHAnsi"/>
            <w:sz w:val="22"/>
            <w:szCs w:val="22"/>
          </w:rPr>
          <w:fldChar w:fldCharType="separate"/>
        </w:r>
        <w:r w:rsidRPr="00014D1F">
          <w:rPr>
            <w:rStyle w:val="Nmerodepgina"/>
            <w:rFonts w:asciiTheme="minorHAnsi" w:hAnsiTheme="minorHAnsi"/>
            <w:noProof/>
            <w:sz w:val="22"/>
            <w:szCs w:val="22"/>
          </w:rPr>
          <w:t>6</w:t>
        </w:r>
        <w:r w:rsidRPr="00014D1F">
          <w:rPr>
            <w:rStyle w:val="Nmerodepgina"/>
            <w:rFonts w:asciiTheme="minorHAnsi" w:hAnsiTheme="minorHAnsi"/>
            <w:sz w:val="22"/>
            <w:szCs w:val="22"/>
          </w:rPr>
          <w:fldChar w:fldCharType="end"/>
        </w:r>
      </w:p>
    </w:sdtContent>
  </w:sdt>
  <w:p w:rsidR="001813F4" w:rsidRDefault="001813F4" w14:paraId="7F3B0DF7" w14:textId="4E491F9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rsidR="005E69F6" w:rsidP="00F30614" w:rsidRDefault="005E69F6" w14:paraId="5C2B0034" w14:textId="77777777">
      <w:r>
        <w:separator/>
      </w:r>
    </w:p>
  </w:footnote>
  <w:footnote w:type="continuationSeparator" w:id="0">
    <w:p w:rsidR="005E69F6" w:rsidP="00F30614" w:rsidRDefault="005E69F6" w14:paraId="21CE688F" w14:textId="77777777">
      <w:r>
        <w:continuationSeparator/>
      </w:r>
    </w:p>
  </w:footnote>
  <w:footnote w:type="continuationNotice" w:id="1">
    <w:p w:rsidR="005E69F6" w:rsidRDefault="005E69F6" w14:paraId="124E5213" w14:textId="77777777"/>
  </w:footnote>
  <w:footnote w:id="2">
    <w:p w:rsidR="006322E0" w:rsidRDefault="006322E0" w14:paraId="1F7B7CA2" w14:textId="006B53FB">
      <w:pPr>
        <w:pStyle w:val="Textonotapie"/>
      </w:pPr>
      <w:r>
        <w:rPr>
          <w:rStyle w:val="Refdenotaalpie"/>
        </w:rPr>
        <w:footnoteRef/>
      </w:r>
      <w:r w:rsidRPr="007013CF">
        <w:rPr>
          <w:rFonts w:ascii="Nunito Sans" w:hAnsi="Nunito Sans"/>
          <w:sz w:val="18"/>
          <w:szCs w:val="18"/>
        </w:rPr>
        <w:t xml:space="preserve"> </w:t>
      </w:r>
      <w:hyperlink w:history="1" r:id="rId1">
        <w:r w:rsidRPr="007013CF" w:rsidR="007013CF">
          <w:rPr>
            <w:rStyle w:val="Hipervnculo"/>
            <w:rFonts w:ascii="Nunito Sans" w:hAnsi="Nunito Sans"/>
            <w:sz w:val="18"/>
            <w:szCs w:val="18"/>
          </w:rPr>
          <w:t>Ley 2294 de 2023</w:t>
        </w:r>
      </w:hyperlink>
    </w:p>
  </w:footnote>
  <w:footnote w:id="3">
    <w:p w:rsidR="008725E3" w:rsidRDefault="008725E3" w14:paraId="3AB236A5" w14:textId="4E8DA061">
      <w:pPr>
        <w:pStyle w:val="Textonotapie"/>
      </w:pPr>
      <w:r>
        <w:rPr>
          <w:rStyle w:val="Refdenotaalpie"/>
        </w:rPr>
        <w:footnoteRef/>
      </w:r>
      <w:r>
        <w:t xml:space="preserve"> </w:t>
      </w:r>
      <w:hyperlink w:history="1" r:id="rId2">
        <w:r w:rsidR="00763629">
          <w:rPr>
            <w:rStyle w:val="Hipervnculo"/>
            <w:rFonts w:ascii="Nunito Sans" w:hAnsi="Nunito Sans"/>
            <w:sz w:val="18"/>
            <w:szCs w:val="18"/>
          </w:rPr>
          <w:t>Estrategia Nacional Digital de Colombia 2023 - 2026</w:t>
        </w:r>
      </w:hyperlink>
    </w:p>
  </w:footnote>
  <w:footnote w:id="4">
    <w:p w:rsidR="001F2429" w:rsidRDefault="001F2429" w14:paraId="2BB066C4" w14:textId="141C89C6">
      <w:pPr>
        <w:pStyle w:val="Textonotapie"/>
      </w:pPr>
      <w:r>
        <w:rPr>
          <w:rStyle w:val="Refdenotaalpie"/>
        </w:rPr>
        <w:footnoteRef/>
      </w:r>
      <w:r>
        <w:t xml:space="preserve"> </w:t>
      </w:r>
      <w:hyperlink w:history="1" r:id="rId3">
        <w:r w:rsidRPr="003873F3" w:rsidR="003873F3">
          <w:rPr>
            <w:rStyle w:val="Hipervnculo"/>
            <w:rFonts w:ascii="Nunito Sans" w:hAnsi="Nunito Sans"/>
            <w:sz w:val="18"/>
            <w:szCs w:val="18"/>
          </w:rPr>
          <w:t>Plan Estratégico de Tecnologías de la Información</w:t>
        </w:r>
      </w:hyperlink>
    </w:p>
  </w:footnote>
  <w:footnote w:id="5">
    <w:p w:rsidR="00ED7F55" w:rsidRDefault="00ED7F55" w14:paraId="7E9FA483" w14:textId="1AE50A64">
      <w:pPr>
        <w:pStyle w:val="Textonotapie"/>
      </w:pPr>
      <w:r>
        <w:rPr>
          <w:rStyle w:val="Refdenotaalpie"/>
        </w:rPr>
        <w:footnoteRef/>
      </w:r>
      <w:r>
        <w:t xml:space="preserve"> </w:t>
      </w:r>
      <w:hyperlink w:history="1" r:id="rId4">
        <w:r w:rsidRPr="003873F3" w:rsidR="003873F3">
          <w:rPr>
            <w:rStyle w:val="Hipervnculo"/>
            <w:rFonts w:ascii="Nunito Sans" w:hAnsi="Nunito Sans"/>
            <w:sz w:val="18"/>
            <w:szCs w:val="18"/>
          </w:rPr>
          <w:t>CONPES 4075</w:t>
        </w:r>
      </w:hyperlink>
    </w:p>
  </w:footnote>
  <w:footnote w:id="6">
    <w:p w:rsidR="00C543C5" w:rsidRDefault="00C543C5" w14:paraId="2B55C277" w14:textId="48552A7D">
      <w:pPr>
        <w:pStyle w:val="Textonotapie"/>
      </w:pPr>
      <w:r>
        <w:rPr>
          <w:rStyle w:val="Refdenotaalpie"/>
        </w:rPr>
        <w:footnoteRef/>
      </w:r>
      <w:r>
        <w:t xml:space="preserve"> </w:t>
      </w:r>
      <w:hyperlink w:history="1" r:id="rId5">
        <w:r w:rsidRPr="003873F3" w:rsidR="003873F3">
          <w:rPr>
            <w:rStyle w:val="Hipervnculo"/>
            <w:rFonts w:ascii="Nunito Sans" w:hAnsi="Nunito Sans"/>
            <w:sz w:val="18"/>
            <w:szCs w:val="18"/>
          </w:rPr>
          <w:t>CONPES 4144</w:t>
        </w:r>
      </w:hyperlink>
    </w:p>
  </w:footnote>
  <w:footnote w:id="7">
    <w:p w:rsidR="001763D4" w:rsidRDefault="001763D4" w14:paraId="02C9FC19" w14:textId="1411A5E4">
      <w:pPr>
        <w:pStyle w:val="Textonotapie"/>
      </w:pPr>
      <w:r>
        <w:rPr>
          <w:rStyle w:val="Refdenotaalpie"/>
        </w:rPr>
        <w:footnoteRef/>
      </w:r>
      <w:r>
        <w:t xml:space="preserve"> </w:t>
      </w:r>
      <w:hyperlink w:history="1" r:id="rId6">
        <w:r w:rsidR="00FA0309">
          <w:rPr>
            <w:rStyle w:val="Hipervnculo"/>
            <w:rFonts w:ascii="Nunito Sans" w:hAnsi="Nunito Sans"/>
            <w:sz w:val="18"/>
            <w:szCs w:val="18"/>
          </w:rPr>
          <w:t>Plan de Seguridad y Privacidad de la Información</w:t>
        </w:r>
      </w:hyperlink>
    </w:p>
  </w:footnote>
  <w:footnote w:id="8">
    <w:p w:rsidR="002348BF" w:rsidRDefault="002348BF" w14:paraId="4D4AF325" w14:textId="29527174">
      <w:pPr>
        <w:pStyle w:val="Textonotapie"/>
      </w:pPr>
      <w:r>
        <w:rPr>
          <w:rStyle w:val="Refdenotaalpie"/>
        </w:rPr>
        <w:footnoteRef/>
      </w:r>
      <w:r>
        <w:t xml:space="preserve"> </w:t>
      </w:r>
      <w:hyperlink w:history="1" r:id="rId7">
        <w:r w:rsidR="00FA0309">
          <w:rPr>
            <w:rStyle w:val="Hipervnculo"/>
            <w:rFonts w:ascii="Nunito Sans" w:hAnsi="Nunito Sans"/>
            <w:sz w:val="18"/>
            <w:szCs w:val="18"/>
          </w:rPr>
          <w:t>Plan de Tratamiento de Riesgos de Seguridad de la Información</w:t>
        </w:r>
      </w:hyperlink>
    </w:p>
  </w:footnote>
  <w:footnote w:id="9">
    <w:p w:rsidRPr="003873F3" w:rsidR="00FA4E5A" w:rsidRDefault="00FA4E5A" w14:paraId="1E736313" w14:textId="193EE7B0">
      <w:pPr>
        <w:pStyle w:val="Textonotapie"/>
        <w:rPr>
          <w:rStyle w:val="Hipervnculo"/>
          <w:rFonts w:ascii="Nunito Sans" w:hAnsi="Nunito Sans"/>
          <w:sz w:val="18"/>
          <w:szCs w:val="18"/>
        </w:rPr>
      </w:pPr>
      <w:r>
        <w:rPr>
          <w:rStyle w:val="Refdenotaalpie"/>
        </w:rPr>
        <w:footnoteRef/>
      </w:r>
      <w:r>
        <w:t xml:space="preserve"> </w:t>
      </w:r>
      <w:hyperlink w:history="1" r:id="rId8">
        <w:r w:rsidRPr="003873F3">
          <w:rPr>
            <w:rStyle w:val="Hipervnculo"/>
            <w:rFonts w:ascii="Nunito Sans" w:hAnsi="Nunito Sans"/>
            <w:sz w:val="18"/>
            <w:szCs w:val="18"/>
          </w:rPr>
          <w:t>Política de Gobierno Digital</w:t>
        </w:r>
      </w:hyperlink>
    </w:p>
  </w:footnote>
  <w:footnote w:id="10">
    <w:p w:rsidR="001675BA" w:rsidRDefault="001675BA" w14:paraId="28FBD575" w14:textId="5CC0B748">
      <w:pPr>
        <w:pStyle w:val="Textonotapie"/>
      </w:pPr>
      <w:r>
        <w:rPr>
          <w:rStyle w:val="Refdenotaalpie"/>
        </w:rPr>
        <w:footnoteRef/>
      </w:r>
      <w:r>
        <w:t xml:space="preserve"> </w:t>
      </w:r>
      <w:hyperlink w:history="1" r:id="rId9">
        <w:r w:rsidRPr="003873F3">
          <w:rPr>
            <w:rStyle w:val="Hipervnculo"/>
            <w:rFonts w:ascii="Nunito Sans" w:hAnsi="Nunito Sans"/>
            <w:sz w:val="18"/>
            <w:szCs w:val="18"/>
          </w:rPr>
          <w:t>MIPG - MIPG - Función Pública</w:t>
        </w:r>
      </w:hyperlink>
    </w:p>
  </w:footnote>
  <w:footnote w:id="11">
    <w:p w:rsidR="2FC2A464" w:rsidP="2FC2A464" w:rsidRDefault="2FC2A464" w14:paraId="2DA5EF96" w14:textId="72D78298">
      <w:pPr>
        <w:pStyle w:val="Textonotapie"/>
      </w:pPr>
      <w:r w:rsidRPr="2FC2A464">
        <w:rPr>
          <w:rStyle w:val="Refdenotaalpie"/>
          <w:rFonts w:ascii="Nunito Sans" w:hAnsi="Nunito Sans" w:eastAsia="Nunito Sans" w:cs="Nunito Sans"/>
        </w:rPr>
        <w:footnoteRef/>
      </w:r>
      <w:r w:rsidRPr="2FC2A464">
        <w:rPr>
          <w:rFonts w:ascii="Nunito Sans" w:hAnsi="Nunito Sans" w:eastAsia="Nunito Sans" w:cs="Nunito Sans"/>
        </w:rPr>
        <w:t xml:space="preserve"> </w:t>
      </w:r>
      <w:hyperlink w:history="1" r:id="rId10">
        <w:r w:rsidRPr="0047014E">
          <w:rPr>
            <w:rStyle w:val="Hipervnculo"/>
            <w:rFonts w:ascii="Nunito Sans" w:hAnsi="Nunito Sans" w:eastAsia="Nunito Sans" w:cs="Nunito Sans"/>
            <w:sz w:val="18"/>
            <w:szCs w:val="18"/>
          </w:rPr>
          <w:t>Anexo 14 - D</w:t>
        </w:r>
        <w:r w:rsidRPr="0047014E" w:rsidR="00832C06">
          <w:rPr>
            <w:rStyle w:val="Hipervnculo"/>
            <w:rFonts w:ascii="Nunito Sans" w:hAnsi="Nunito Sans" w:eastAsia="Nunito Sans" w:cs="Nunito Sans"/>
            <w:sz w:val="18"/>
            <w:szCs w:val="18"/>
          </w:rPr>
          <w:t>OFA</w:t>
        </w:r>
      </w:hyperlink>
    </w:p>
  </w:footnote>
  <w:footnote w:id="12">
    <w:p w:rsidR="4E60D266" w:rsidP="4E60D266" w:rsidRDefault="4E60D266" w14:paraId="19E63E2B" w14:textId="79121EDC">
      <w:pPr>
        <w:pStyle w:val="Textonotapie"/>
      </w:pPr>
      <w:r w:rsidRPr="4E60D266">
        <w:rPr>
          <w:rStyle w:val="Refdenotaalpie"/>
        </w:rPr>
        <w:footnoteRef/>
      </w:r>
      <w:r>
        <w:t xml:space="preserve"> </w:t>
      </w:r>
      <w:hyperlink r:id="rId11">
        <w:r w:rsidR="009B439D">
          <w:rPr>
            <w:rStyle w:val="Hipervnculo"/>
            <w:rFonts w:ascii="Nunito Sans" w:hAnsi="Nunito Sans"/>
            <w:sz w:val="18"/>
            <w:szCs w:val="18"/>
          </w:rPr>
          <w:t>Plan Estratégico Sectorial Minas y Energía</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xmlns:a="http://schemas.openxmlformats.org/drawingml/2006/main" xmlns:pic="http://schemas.openxmlformats.org/drawingml/2006/picture" xmlns:a14="http://schemas.microsoft.com/office/drawing/2010/main" mc:Ignorable="w14 w15 w16se w16cid w16 w16cex w16sdtdh w16sdtfl w16du wp14">
  <w:p w:rsidR="001813F4" w:rsidP="00861967" w:rsidRDefault="00861967" w14:paraId="489C17CA" w14:textId="784CE078">
    <w:pPr>
      <w:pStyle w:val="Encabezado"/>
      <w:jc w:val="left"/>
    </w:pPr>
    <w:r>
      <w:rPr>
        <w:noProof/>
      </w:rPr>
      <w:drawing>
        <wp:anchor distT="0" distB="0" distL="114300" distR="114300" simplePos="0" relativeHeight="251658240" behindDoc="0" locked="0" layoutInCell="1" allowOverlap="1" wp14:anchorId="634D5B62" wp14:editId="14D947D9">
          <wp:simplePos x="0" y="0"/>
          <wp:positionH relativeFrom="margin">
            <wp:align>right</wp:align>
          </wp:positionH>
          <wp:positionV relativeFrom="paragraph">
            <wp:posOffset>93345</wp:posOffset>
          </wp:positionV>
          <wp:extent cx="979170" cy="460375"/>
          <wp:effectExtent l="0" t="0" r="0" b="0"/>
          <wp:wrapNone/>
          <wp:docPr id="129418730" name="Imagen 9"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681392" name="Imagen 9" descr="Interfaz de usuario gráfica&#10;&#10;El contenido generado por IA puede ser incorrecto."/>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979170" cy="460375"/>
                  </a:xfrm>
                  <a:prstGeom prst="rect">
                    <a:avLst/>
                  </a:prstGeom>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41" behindDoc="0" locked="0" layoutInCell="1" allowOverlap="1" wp14:anchorId="3F4B223B" wp14:editId="7747F175">
          <wp:simplePos x="0" y="0"/>
          <wp:positionH relativeFrom="margin">
            <wp:align>left</wp:align>
          </wp:positionH>
          <wp:positionV relativeFrom="paragraph">
            <wp:posOffset>-20955</wp:posOffset>
          </wp:positionV>
          <wp:extent cx="609600" cy="609600"/>
          <wp:effectExtent l="0" t="0" r="0" b="0"/>
          <wp:wrapTopAndBottom/>
          <wp:docPr id="387420618" name="Imagen 8" descr="Fondo negro con letras blanc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825643" name="Imagen 8" descr="Fondo negro con letras blancas&#10;&#10;El contenido generado por IA puede ser incorrecto."/>
                  <pic:cNvPicPr/>
                </pic:nvPicPr>
                <pic:blipFill>
                  <a:blip r:embed="rId2" cstate="print">
                    <a:extLst>
                      <a:ext uri="{28A0092B-C50C-407E-A947-70E740481C1C}">
                        <a14:useLocalDpi xmlns:a14="http://schemas.microsoft.com/office/drawing/2010/main" val="0"/>
                      </a:ext>
                    </a:extLst>
                  </a:blip>
                  <a:stretch>
                    <a:fillRect/>
                  </a:stretch>
                </pic:blipFill>
                <pic:spPr>
                  <a:xfrm>
                    <a:off x="0" y="0"/>
                    <a:ext cx="609600" cy="609600"/>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RQMCk237KeynIs" int2:id="1PTnFzqE">
      <int2:state int2:value="Rejected" int2:type="spell"/>
    </int2:textHash>
    <int2:textHash int2:hashCode="aaxkRKzYHdwdst" int2:id="qqaCgXjk">
      <int2:state int2:value="Rejected" int2:type="spell"/>
    </int2:textHash>
    <int2:textHash int2:hashCode="Aqz5uyMutw4c7W" int2:id="rLrrL5fV">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6713A32"/>
    <w:multiLevelType w:val="hybridMultilevel"/>
    <w:tmpl w:val="A0FA1410"/>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 w15:restartNumberingAfterBreak="0">
    <w:nsid w:val="0A6869B0"/>
    <w:multiLevelType w:val="hybridMultilevel"/>
    <w:tmpl w:val="927AD1F0"/>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2" w15:restartNumberingAfterBreak="0">
    <w:nsid w:val="0EF04DB9"/>
    <w:multiLevelType w:val="hybridMultilevel"/>
    <w:tmpl w:val="7042F9F0"/>
    <w:lvl w:ilvl="0" w:tplc="07769948">
      <w:start w:val="4"/>
      <w:numFmt w:val="bullet"/>
      <w:lvlText w:val="-"/>
      <w:lvlJc w:val="left"/>
      <w:pPr>
        <w:ind w:left="720" w:hanging="360"/>
      </w:pPr>
      <w:rPr>
        <w:rFonts w:hint="default" w:ascii="Work Sans" w:hAnsi="Work Sans" w:eastAsia="Times New Roman" w:cs="Times New Roman"/>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 w15:restartNumberingAfterBreak="0">
    <w:nsid w:val="0F045CF2"/>
    <w:multiLevelType w:val="hybridMultilevel"/>
    <w:tmpl w:val="FFFFFFFF"/>
    <w:lvl w:ilvl="0" w:tplc="135C227E">
      <w:start w:val="1"/>
      <w:numFmt w:val="bullet"/>
      <w:lvlText w:val=""/>
      <w:lvlJc w:val="left"/>
      <w:pPr>
        <w:ind w:left="720" w:hanging="360"/>
      </w:pPr>
      <w:rPr>
        <w:rFonts w:hint="default" w:ascii="Symbol" w:hAnsi="Symbol"/>
      </w:rPr>
    </w:lvl>
    <w:lvl w:ilvl="1" w:tplc="BAF86D34">
      <w:start w:val="1"/>
      <w:numFmt w:val="bullet"/>
      <w:lvlText w:val="o"/>
      <w:lvlJc w:val="left"/>
      <w:pPr>
        <w:ind w:left="1440" w:hanging="360"/>
      </w:pPr>
      <w:rPr>
        <w:rFonts w:hint="default" w:ascii="Courier New" w:hAnsi="Courier New"/>
      </w:rPr>
    </w:lvl>
    <w:lvl w:ilvl="2" w:tplc="E19A6D20">
      <w:start w:val="1"/>
      <w:numFmt w:val="bullet"/>
      <w:lvlText w:val=""/>
      <w:lvlJc w:val="left"/>
      <w:pPr>
        <w:ind w:left="2160" w:hanging="360"/>
      </w:pPr>
      <w:rPr>
        <w:rFonts w:hint="default" w:ascii="Wingdings" w:hAnsi="Wingdings"/>
      </w:rPr>
    </w:lvl>
    <w:lvl w:ilvl="3" w:tplc="EE9A4602">
      <w:start w:val="1"/>
      <w:numFmt w:val="bullet"/>
      <w:lvlText w:val=""/>
      <w:lvlJc w:val="left"/>
      <w:pPr>
        <w:ind w:left="2880" w:hanging="360"/>
      </w:pPr>
      <w:rPr>
        <w:rFonts w:hint="default" w:ascii="Symbol" w:hAnsi="Symbol"/>
      </w:rPr>
    </w:lvl>
    <w:lvl w:ilvl="4" w:tplc="08E44D2E">
      <w:start w:val="1"/>
      <w:numFmt w:val="bullet"/>
      <w:lvlText w:val="o"/>
      <w:lvlJc w:val="left"/>
      <w:pPr>
        <w:ind w:left="3600" w:hanging="360"/>
      </w:pPr>
      <w:rPr>
        <w:rFonts w:hint="default" w:ascii="Courier New" w:hAnsi="Courier New"/>
      </w:rPr>
    </w:lvl>
    <w:lvl w:ilvl="5" w:tplc="5CD02636">
      <w:start w:val="1"/>
      <w:numFmt w:val="bullet"/>
      <w:lvlText w:val=""/>
      <w:lvlJc w:val="left"/>
      <w:pPr>
        <w:ind w:left="4320" w:hanging="360"/>
      </w:pPr>
      <w:rPr>
        <w:rFonts w:hint="default" w:ascii="Wingdings" w:hAnsi="Wingdings"/>
      </w:rPr>
    </w:lvl>
    <w:lvl w:ilvl="6" w:tplc="28D02426">
      <w:start w:val="1"/>
      <w:numFmt w:val="bullet"/>
      <w:lvlText w:val=""/>
      <w:lvlJc w:val="left"/>
      <w:pPr>
        <w:ind w:left="5040" w:hanging="360"/>
      </w:pPr>
      <w:rPr>
        <w:rFonts w:hint="default" w:ascii="Symbol" w:hAnsi="Symbol"/>
      </w:rPr>
    </w:lvl>
    <w:lvl w:ilvl="7" w:tplc="247E5410">
      <w:start w:val="1"/>
      <w:numFmt w:val="bullet"/>
      <w:lvlText w:val="o"/>
      <w:lvlJc w:val="left"/>
      <w:pPr>
        <w:ind w:left="5760" w:hanging="360"/>
      </w:pPr>
      <w:rPr>
        <w:rFonts w:hint="default" w:ascii="Courier New" w:hAnsi="Courier New"/>
      </w:rPr>
    </w:lvl>
    <w:lvl w:ilvl="8" w:tplc="65F608EA">
      <w:start w:val="1"/>
      <w:numFmt w:val="bullet"/>
      <w:lvlText w:val=""/>
      <w:lvlJc w:val="left"/>
      <w:pPr>
        <w:ind w:left="6480" w:hanging="360"/>
      </w:pPr>
      <w:rPr>
        <w:rFonts w:hint="default" w:ascii="Wingdings" w:hAnsi="Wingdings"/>
      </w:rPr>
    </w:lvl>
  </w:abstractNum>
  <w:abstractNum w:abstractNumId="4" w15:restartNumberingAfterBreak="0">
    <w:nsid w:val="146E0635"/>
    <w:multiLevelType w:val="multilevel"/>
    <w:tmpl w:val="79180D24"/>
    <w:lvl w:ilvl="0">
      <w:start w:val="6"/>
      <w:numFmt w:val="decimal"/>
      <w:lvlText w:val="%1"/>
      <w:lvlJc w:val="left"/>
      <w:pPr>
        <w:ind w:left="600" w:hanging="600"/>
      </w:pPr>
      <w:rPr>
        <w:rFonts w:hint="default"/>
      </w:rPr>
    </w:lvl>
    <w:lvl w:ilvl="1">
      <w:start w:val="3"/>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15:restartNumberingAfterBreak="0">
    <w:nsid w:val="1648782B"/>
    <w:multiLevelType w:val="multilevel"/>
    <w:tmpl w:val="1F1CEF86"/>
    <w:lvl w:ilvl="0">
      <w:start w:val="12"/>
      <w:numFmt w:val="decimal"/>
      <w:lvlText w:val="%1"/>
      <w:lvlJc w:val="left"/>
      <w:pPr>
        <w:ind w:left="620" w:hanging="620"/>
      </w:pPr>
      <w:rPr>
        <w:rFonts w:hint="default"/>
        <w:sz w:val="40"/>
        <w:szCs w:val="40"/>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6" w15:restartNumberingAfterBreak="0">
    <w:nsid w:val="16D056FC"/>
    <w:multiLevelType w:val="hybridMultilevel"/>
    <w:tmpl w:val="17E63852"/>
    <w:lvl w:ilvl="0" w:tplc="07769948">
      <w:start w:val="4"/>
      <w:numFmt w:val="bullet"/>
      <w:lvlText w:val="-"/>
      <w:lvlJc w:val="left"/>
      <w:pPr>
        <w:ind w:left="786" w:hanging="360"/>
      </w:pPr>
      <w:rPr>
        <w:rFonts w:hint="default" w:ascii="Work Sans" w:hAnsi="Work Sans" w:eastAsia="Times New Roman" w:cs="Times New Roman"/>
      </w:rPr>
    </w:lvl>
    <w:lvl w:ilvl="1" w:tplc="040A0003">
      <w:start w:val="1"/>
      <w:numFmt w:val="bullet"/>
      <w:lvlText w:val="o"/>
      <w:lvlJc w:val="left"/>
      <w:pPr>
        <w:ind w:left="1506" w:hanging="360"/>
      </w:pPr>
      <w:rPr>
        <w:rFonts w:hint="default" w:ascii="Courier New" w:hAnsi="Courier New" w:cs="Courier New"/>
      </w:rPr>
    </w:lvl>
    <w:lvl w:ilvl="2" w:tplc="040A0005" w:tentative="1">
      <w:start w:val="1"/>
      <w:numFmt w:val="bullet"/>
      <w:lvlText w:val=""/>
      <w:lvlJc w:val="left"/>
      <w:pPr>
        <w:ind w:left="2226" w:hanging="360"/>
      </w:pPr>
      <w:rPr>
        <w:rFonts w:hint="default" w:ascii="Wingdings" w:hAnsi="Wingdings"/>
      </w:rPr>
    </w:lvl>
    <w:lvl w:ilvl="3" w:tplc="040A0001" w:tentative="1">
      <w:start w:val="1"/>
      <w:numFmt w:val="bullet"/>
      <w:lvlText w:val=""/>
      <w:lvlJc w:val="left"/>
      <w:pPr>
        <w:ind w:left="2946" w:hanging="360"/>
      </w:pPr>
      <w:rPr>
        <w:rFonts w:hint="default" w:ascii="Symbol" w:hAnsi="Symbol"/>
      </w:rPr>
    </w:lvl>
    <w:lvl w:ilvl="4" w:tplc="040A0003" w:tentative="1">
      <w:start w:val="1"/>
      <w:numFmt w:val="bullet"/>
      <w:lvlText w:val="o"/>
      <w:lvlJc w:val="left"/>
      <w:pPr>
        <w:ind w:left="3666" w:hanging="360"/>
      </w:pPr>
      <w:rPr>
        <w:rFonts w:hint="default" w:ascii="Courier New" w:hAnsi="Courier New" w:cs="Courier New"/>
      </w:rPr>
    </w:lvl>
    <w:lvl w:ilvl="5" w:tplc="040A0005" w:tentative="1">
      <w:start w:val="1"/>
      <w:numFmt w:val="bullet"/>
      <w:lvlText w:val=""/>
      <w:lvlJc w:val="left"/>
      <w:pPr>
        <w:ind w:left="4386" w:hanging="360"/>
      </w:pPr>
      <w:rPr>
        <w:rFonts w:hint="default" w:ascii="Wingdings" w:hAnsi="Wingdings"/>
      </w:rPr>
    </w:lvl>
    <w:lvl w:ilvl="6" w:tplc="040A0001" w:tentative="1">
      <w:start w:val="1"/>
      <w:numFmt w:val="bullet"/>
      <w:lvlText w:val=""/>
      <w:lvlJc w:val="left"/>
      <w:pPr>
        <w:ind w:left="5106" w:hanging="360"/>
      </w:pPr>
      <w:rPr>
        <w:rFonts w:hint="default" w:ascii="Symbol" w:hAnsi="Symbol"/>
      </w:rPr>
    </w:lvl>
    <w:lvl w:ilvl="7" w:tplc="040A0003" w:tentative="1">
      <w:start w:val="1"/>
      <w:numFmt w:val="bullet"/>
      <w:lvlText w:val="o"/>
      <w:lvlJc w:val="left"/>
      <w:pPr>
        <w:ind w:left="5826" w:hanging="360"/>
      </w:pPr>
      <w:rPr>
        <w:rFonts w:hint="default" w:ascii="Courier New" w:hAnsi="Courier New" w:cs="Courier New"/>
      </w:rPr>
    </w:lvl>
    <w:lvl w:ilvl="8" w:tplc="040A0005" w:tentative="1">
      <w:start w:val="1"/>
      <w:numFmt w:val="bullet"/>
      <w:lvlText w:val=""/>
      <w:lvlJc w:val="left"/>
      <w:pPr>
        <w:ind w:left="6546" w:hanging="360"/>
      </w:pPr>
      <w:rPr>
        <w:rFonts w:hint="default" w:ascii="Wingdings" w:hAnsi="Wingdings"/>
      </w:rPr>
    </w:lvl>
  </w:abstractNum>
  <w:abstractNum w:abstractNumId="7" w15:restartNumberingAfterBreak="0">
    <w:nsid w:val="179F521A"/>
    <w:multiLevelType w:val="hybridMultilevel"/>
    <w:tmpl w:val="0EE601AC"/>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8" w15:restartNumberingAfterBreak="0">
    <w:nsid w:val="17A42E46"/>
    <w:multiLevelType w:val="multilevel"/>
    <w:tmpl w:val="9F5CF3FE"/>
    <w:lvl w:ilvl="0">
      <w:start w:val="5"/>
      <w:numFmt w:val="decimal"/>
      <w:lvlText w:val="%1"/>
      <w:lvlJc w:val="left"/>
      <w:pPr>
        <w:ind w:left="440" w:hanging="440"/>
      </w:pPr>
      <w:rPr>
        <w:rFonts w:hint="default"/>
        <w:i w:val="0"/>
      </w:rPr>
    </w:lvl>
    <w:lvl w:ilvl="1">
      <w:start w:val="1"/>
      <w:numFmt w:val="decimal"/>
      <w:lvlText w:val="%1.%2"/>
      <w:lvlJc w:val="left"/>
      <w:pPr>
        <w:ind w:left="1080" w:hanging="720"/>
      </w:pPr>
      <w:rPr>
        <w:rFonts w:hint="default"/>
        <w:i w:val="0"/>
      </w:rPr>
    </w:lvl>
    <w:lvl w:ilvl="2">
      <w:start w:val="1"/>
      <w:numFmt w:val="decimal"/>
      <w:lvlText w:val="%1.%2.%3"/>
      <w:lvlJc w:val="left"/>
      <w:pPr>
        <w:ind w:left="1440" w:hanging="720"/>
      </w:pPr>
      <w:rPr>
        <w:rFonts w:hint="default"/>
        <w:i w:val="0"/>
        <w:sz w:val="26"/>
        <w:szCs w:val="26"/>
      </w:rPr>
    </w:lvl>
    <w:lvl w:ilvl="3">
      <w:start w:val="1"/>
      <w:numFmt w:val="decimal"/>
      <w:lvlText w:val="%1.%2.%3.%4"/>
      <w:lvlJc w:val="left"/>
      <w:pPr>
        <w:ind w:left="2160" w:hanging="1080"/>
      </w:pPr>
      <w:rPr>
        <w:rFonts w:hint="default"/>
        <w:i w:val="0"/>
      </w:rPr>
    </w:lvl>
    <w:lvl w:ilvl="4">
      <w:start w:val="1"/>
      <w:numFmt w:val="decimal"/>
      <w:lvlText w:val="%1.%2.%3.%4.%5"/>
      <w:lvlJc w:val="left"/>
      <w:pPr>
        <w:ind w:left="2880" w:hanging="1440"/>
      </w:pPr>
      <w:rPr>
        <w:rFonts w:hint="default"/>
        <w:i w:val="0"/>
      </w:rPr>
    </w:lvl>
    <w:lvl w:ilvl="5">
      <w:start w:val="1"/>
      <w:numFmt w:val="decimal"/>
      <w:lvlText w:val="%1.%2.%3.%4.%5.%6"/>
      <w:lvlJc w:val="left"/>
      <w:pPr>
        <w:ind w:left="3600" w:hanging="1800"/>
      </w:pPr>
      <w:rPr>
        <w:rFonts w:hint="default"/>
        <w:i w:val="0"/>
      </w:rPr>
    </w:lvl>
    <w:lvl w:ilvl="6">
      <w:start w:val="1"/>
      <w:numFmt w:val="decimal"/>
      <w:lvlText w:val="%1.%2.%3.%4.%5.%6.%7"/>
      <w:lvlJc w:val="left"/>
      <w:pPr>
        <w:ind w:left="3960" w:hanging="1800"/>
      </w:pPr>
      <w:rPr>
        <w:rFonts w:hint="default"/>
        <w:i w:val="0"/>
      </w:rPr>
    </w:lvl>
    <w:lvl w:ilvl="7">
      <w:start w:val="1"/>
      <w:numFmt w:val="decimal"/>
      <w:lvlText w:val="%1.%2.%3.%4.%5.%6.%7.%8"/>
      <w:lvlJc w:val="left"/>
      <w:pPr>
        <w:ind w:left="4680" w:hanging="2160"/>
      </w:pPr>
      <w:rPr>
        <w:rFonts w:hint="default"/>
        <w:i w:val="0"/>
      </w:rPr>
    </w:lvl>
    <w:lvl w:ilvl="8">
      <w:start w:val="1"/>
      <w:numFmt w:val="decimal"/>
      <w:lvlText w:val="%1.%2.%3.%4.%5.%6.%7.%8.%9"/>
      <w:lvlJc w:val="left"/>
      <w:pPr>
        <w:ind w:left="5400" w:hanging="2520"/>
      </w:pPr>
      <w:rPr>
        <w:rFonts w:hint="default"/>
        <w:i w:val="0"/>
      </w:rPr>
    </w:lvl>
  </w:abstractNum>
  <w:abstractNum w:abstractNumId="9" w15:restartNumberingAfterBreak="0">
    <w:nsid w:val="19F201C9"/>
    <w:multiLevelType w:val="multilevel"/>
    <w:tmpl w:val="553AEB3A"/>
    <w:lvl w:ilvl="0">
      <w:start w:val="8"/>
      <w:numFmt w:val="decimal"/>
      <w:lvlText w:val="%1"/>
      <w:lvlJc w:val="left"/>
      <w:pPr>
        <w:ind w:left="440" w:hanging="44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10" w15:restartNumberingAfterBreak="0">
    <w:nsid w:val="1B442E5B"/>
    <w:multiLevelType w:val="hybridMultilevel"/>
    <w:tmpl w:val="1F5EE1EC"/>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1" w15:restartNumberingAfterBreak="0">
    <w:nsid w:val="1BE42212"/>
    <w:multiLevelType w:val="multilevel"/>
    <w:tmpl w:val="0F5ED532"/>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b w:val="0"/>
        <w:bCs w:val="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1F4B32E6"/>
    <w:multiLevelType w:val="multilevel"/>
    <w:tmpl w:val="9BEE7BB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201927CB"/>
    <w:multiLevelType w:val="hybridMultilevel"/>
    <w:tmpl w:val="A044F716"/>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4" w15:restartNumberingAfterBreak="0">
    <w:nsid w:val="20BC73D0"/>
    <w:multiLevelType w:val="multilevel"/>
    <w:tmpl w:val="A6A6DD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2B127E66"/>
    <w:multiLevelType w:val="hybridMultilevel"/>
    <w:tmpl w:val="BBCABE7E"/>
    <w:lvl w:ilvl="0" w:tplc="07769948">
      <w:start w:val="4"/>
      <w:numFmt w:val="bullet"/>
      <w:lvlText w:val="-"/>
      <w:lvlJc w:val="left"/>
      <w:pPr>
        <w:ind w:left="1287" w:hanging="360"/>
      </w:pPr>
      <w:rPr>
        <w:rFonts w:hint="default" w:ascii="Work Sans" w:hAnsi="Work Sans" w:eastAsia="Times New Roman" w:cs="Times New Roman"/>
      </w:rPr>
    </w:lvl>
    <w:lvl w:ilvl="1" w:tplc="040A0003" w:tentative="1">
      <w:start w:val="1"/>
      <w:numFmt w:val="bullet"/>
      <w:lvlText w:val="o"/>
      <w:lvlJc w:val="left"/>
      <w:pPr>
        <w:ind w:left="2007" w:hanging="360"/>
      </w:pPr>
      <w:rPr>
        <w:rFonts w:hint="default" w:ascii="Courier New" w:hAnsi="Courier New" w:cs="Courier New"/>
      </w:rPr>
    </w:lvl>
    <w:lvl w:ilvl="2" w:tplc="040A0005" w:tentative="1">
      <w:start w:val="1"/>
      <w:numFmt w:val="bullet"/>
      <w:lvlText w:val=""/>
      <w:lvlJc w:val="left"/>
      <w:pPr>
        <w:ind w:left="2727" w:hanging="360"/>
      </w:pPr>
      <w:rPr>
        <w:rFonts w:hint="default" w:ascii="Wingdings" w:hAnsi="Wingdings"/>
      </w:rPr>
    </w:lvl>
    <w:lvl w:ilvl="3" w:tplc="040A0001" w:tentative="1">
      <w:start w:val="1"/>
      <w:numFmt w:val="bullet"/>
      <w:lvlText w:val=""/>
      <w:lvlJc w:val="left"/>
      <w:pPr>
        <w:ind w:left="3447" w:hanging="360"/>
      </w:pPr>
      <w:rPr>
        <w:rFonts w:hint="default" w:ascii="Symbol" w:hAnsi="Symbol"/>
      </w:rPr>
    </w:lvl>
    <w:lvl w:ilvl="4" w:tplc="040A0003" w:tentative="1">
      <w:start w:val="1"/>
      <w:numFmt w:val="bullet"/>
      <w:lvlText w:val="o"/>
      <w:lvlJc w:val="left"/>
      <w:pPr>
        <w:ind w:left="4167" w:hanging="360"/>
      </w:pPr>
      <w:rPr>
        <w:rFonts w:hint="default" w:ascii="Courier New" w:hAnsi="Courier New" w:cs="Courier New"/>
      </w:rPr>
    </w:lvl>
    <w:lvl w:ilvl="5" w:tplc="040A0005" w:tentative="1">
      <w:start w:val="1"/>
      <w:numFmt w:val="bullet"/>
      <w:lvlText w:val=""/>
      <w:lvlJc w:val="left"/>
      <w:pPr>
        <w:ind w:left="4887" w:hanging="360"/>
      </w:pPr>
      <w:rPr>
        <w:rFonts w:hint="default" w:ascii="Wingdings" w:hAnsi="Wingdings"/>
      </w:rPr>
    </w:lvl>
    <w:lvl w:ilvl="6" w:tplc="040A0001" w:tentative="1">
      <w:start w:val="1"/>
      <w:numFmt w:val="bullet"/>
      <w:lvlText w:val=""/>
      <w:lvlJc w:val="left"/>
      <w:pPr>
        <w:ind w:left="5607" w:hanging="360"/>
      </w:pPr>
      <w:rPr>
        <w:rFonts w:hint="default" w:ascii="Symbol" w:hAnsi="Symbol"/>
      </w:rPr>
    </w:lvl>
    <w:lvl w:ilvl="7" w:tplc="040A0003" w:tentative="1">
      <w:start w:val="1"/>
      <w:numFmt w:val="bullet"/>
      <w:lvlText w:val="o"/>
      <w:lvlJc w:val="left"/>
      <w:pPr>
        <w:ind w:left="6327" w:hanging="360"/>
      </w:pPr>
      <w:rPr>
        <w:rFonts w:hint="default" w:ascii="Courier New" w:hAnsi="Courier New" w:cs="Courier New"/>
      </w:rPr>
    </w:lvl>
    <w:lvl w:ilvl="8" w:tplc="040A0005" w:tentative="1">
      <w:start w:val="1"/>
      <w:numFmt w:val="bullet"/>
      <w:lvlText w:val=""/>
      <w:lvlJc w:val="left"/>
      <w:pPr>
        <w:ind w:left="7047" w:hanging="360"/>
      </w:pPr>
      <w:rPr>
        <w:rFonts w:hint="default" w:ascii="Wingdings" w:hAnsi="Wingdings"/>
      </w:rPr>
    </w:lvl>
  </w:abstractNum>
  <w:abstractNum w:abstractNumId="16" w15:restartNumberingAfterBreak="0">
    <w:nsid w:val="2BD8423D"/>
    <w:multiLevelType w:val="multilevel"/>
    <w:tmpl w:val="9AA89E38"/>
    <w:lvl w:ilvl="0">
      <w:start w:val="6"/>
      <w:numFmt w:val="decimal"/>
      <w:lvlText w:val="%1"/>
      <w:lvlJc w:val="left"/>
      <w:pPr>
        <w:ind w:left="600" w:hanging="600"/>
      </w:pPr>
      <w:rPr>
        <w:rFonts w:hint="default"/>
      </w:rPr>
    </w:lvl>
    <w:lvl w:ilvl="1">
      <w:start w:val="9"/>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7" w15:restartNumberingAfterBreak="0">
    <w:nsid w:val="2CD807CB"/>
    <w:multiLevelType w:val="hybridMultilevel"/>
    <w:tmpl w:val="4FA25976"/>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8" w15:restartNumberingAfterBreak="0">
    <w:nsid w:val="2DA66327"/>
    <w:multiLevelType w:val="hybridMultilevel"/>
    <w:tmpl w:val="365CB796"/>
    <w:lvl w:ilvl="0" w:tplc="07769948">
      <w:start w:val="4"/>
      <w:numFmt w:val="bullet"/>
      <w:lvlText w:val="-"/>
      <w:lvlJc w:val="left"/>
      <w:pPr>
        <w:ind w:left="1287" w:hanging="360"/>
      </w:pPr>
      <w:rPr>
        <w:rFonts w:hint="default" w:ascii="Work Sans" w:hAnsi="Work Sans" w:eastAsia="Times New Roman" w:cs="Times New Roman"/>
      </w:rPr>
    </w:lvl>
    <w:lvl w:ilvl="1" w:tplc="040A0003" w:tentative="1">
      <w:start w:val="1"/>
      <w:numFmt w:val="bullet"/>
      <w:lvlText w:val="o"/>
      <w:lvlJc w:val="left"/>
      <w:pPr>
        <w:ind w:left="2007" w:hanging="360"/>
      </w:pPr>
      <w:rPr>
        <w:rFonts w:hint="default" w:ascii="Courier New" w:hAnsi="Courier New" w:cs="Courier New"/>
      </w:rPr>
    </w:lvl>
    <w:lvl w:ilvl="2" w:tplc="040A0005" w:tentative="1">
      <w:start w:val="1"/>
      <w:numFmt w:val="bullet"/>
      <w:lvlText w:val=""/>
      <w:lvlJc w:val="left"/>
      <w:pPr>
        <w:ind w:left="2727" w:hanging="360"/>
      </w:pPr>
      <w:rPr>
        <w:rFonts w:hint="default" w:ascii="Wingdings" w:hAnsi="Wingdings"/>
      </w:rPr>
    </w:lvl>
    <w:lvl w:ilvl="3" w:tplc="040A0001" w:tentative="1">
      <w:start w:val="1"/>
      <w:numFmt w:val="bullet"/>
      <w:lvlText w:val=""/>
      <w:lvlJc w:val="left"/>
      <w:pPr>
        <w:ind w:left="3447" w:hanging="360"/>
      </w:pPr>
      <w:rPr>
        <w:rFonts w:hint="default" w:ascii="Symbol" w:hAnsi="Symbol"/>
      </w:rPr>
    </w:lvl>
    <w:lvl w:ilvl="4" w:tplc="040A0003" w:tentative="1">
      <w:start w:val="1"/>
      <w:numFmt w:val="bullet"/>
      <w:lvlText w:val="o"/>
      <w:lvlJc w:val="left"/>
      <w:pPr>
        <w:ind w:left="4167" w:hanging="360"/>
      </w:pPr>
      <w:rPr>
        <w:rFonts w:hint="default" w:ascii="Courier New" w:hAnsi="Courier New" w:cs="Courier New"/>
      </w:rPr>
    </w:lvl>
    <w:lvl w:ilvl="5" w:tplc="040A0005" w:tentative="1">
      <w:start w:val="1"/>
      <w:numFmt w:val="bullet"/>
      <w:lvlText w:val=""/>
      <w:lvlJc w:val="left"/>
      <w:pPr>
        <w:ind w:left="4887" w:hanging="360"/>
      </w:pPr>
      <w:rPr>
        <w:rFonts w:hint="default" w:ascii="Wingdings" w:hAnsi="Wingdings"/>
      </w:rPr>
    </w:lvl>
    <w:lvl w:ilvl="6" w:tplc="040A0001" w:tentative="1">
      <w:start w:val="1"/>
      <w:numFmt w:val="bullet"/>
      <w:lvlText w:val=""/>
      <w:lvlJc w:val="left"/>
      <w:pPr>
        <w:ind w:left="5607" w:hanging="360"/>
      </w:pPr>
      <w:rPr>
        <w:rFonts w:hint="default" w:ascii="Symbol" w:hAnsi="Symbol"/>
      </w:rPr>
    </w:lvl>
    <w:lvl w:ilvl="7" w:tplc="040A0003" w:tentative="1">
      <w:start w:val="1"/>
      <w:numFmt w:val="bullet"/>
      <w:lvlText w:val="o"/>
      <w:lvlJc w:val="left"/>
      <w:pPr>
        <w:ind w:left="6327" w:hanging="360"/>
      </w:pPr>
      <w:rPr>
        <w:rFonts w:hint="default" w:ascii="Courier New" w:hAnsi="Courier New" w:cs="Courier New"/>
      </w:rPr>
    </w:lvl>
    <w:lvl w:ilvl="8" w:tplc="040A0005" w:tentative="1">
      <w:start w:val="1"/>
      <w:numFmt w:val="bullet"/>
      <w:lvlText w:val=""/>
      <w:lvlJc w:val="left"/>
      <w:pPr>
        <w:ind w:left="7047" w:hanging="360"/>
      </w:pPr>
      <w:rPr>
        <w:rFonts w:hint="default" w:ascii="Wingdings" w:hAnsi="Wingdings"/>
      </w:rPr>
    </w:lvl>
  </w:abstractNum>
  <w:abstractNum w:abstractNumId="19" w15:restartNumberingAfterBreak="0">
    <w:nsid w:val="2EA41693"/>
    <w:multiLevelType w:val="multilevel"/>
    <w:tmpl w:val="4FACC8D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33296F06"/>
    <w:multiLevelType w:val="hybridMultilevel"/>
    <w:tmpl w:val="10642406"/>
    <w:lvl w:ilvl="0" w:tplc="07769948">
      <w:start w:val="4"/>
      <w:numFmt w:val="bullet"/>
      <w:lvlText w:val="-"/>
      <w:lvlJc w:val="left"/>
      <w:pPr>
        <w:ind w:left="1429" w:hanging="360"/>
      </w:pPr>
      <w:rPr>
        <w:rFonts w:hint="default" w:ascii="Work Sans" w:hAnsi="Work Sans" w:eastAsia="Times New Roman" w:cs="Times New Roman"/>
      </w:rPr>
    </w:lvl>
    <w:lvl w:ilvl="1" w:tplc="040A0003" w:tentative="1">
      <w:start w:val="1"/>
      <w:numFmt w:val="bullet"/>
      <w:lvlText w:val="o"/>
      <w:lvlJc w:val="left"/>
      <w:pPr>
        <w:ind w:left="2149" w:hanging="360"/>
      </w:pPr>
      <w:rPr>
        <w:rFonts w:hint="default" w:ascii="Courier New" w:hAnsi="Courier New" w:cs="Courier New"/>
      </w:rPr>
    </w:lvl>
    <w:lvl w:ilvl="2" w:tplc="040A0005" w:tentative="1">
      <w:start w:val="1"/>
      <w:numFmt w:val="bullet"/>
      <w:lvlText w:val=""/>
      <w:lvlJc w:val="left"/>
      <w:pPr>
        <w:ind w:left="2869" w:hanging="360"/>
      </w:pPr>
      <w:rPr>
        <w:rFonts w:hint="default" w:ascii="Wingdings" w:hAnsi="Wingdings"/>
      </w:rPr>
    </w:lvl>
    <w:lvl w:ilvl="3" w:tplc="040A0001" w:tentative="1">
      <w:start w:val="1"/>
      <w:numFmt w:val="bullet"/>
      <w:lvlText w:val=""/>
      <w:lvlJc w:val="left"/>
      <w:pPr>
        <w:ind w:left="3589" w:hanging="360"/>
      </w:pPr>
      <w:rPr>
        <w:rFonts w:hint="default" w:ascii="Symbol" w:hAnsi="Symbol"/>
      </w:rPr>
    </w:lvl>
    <w:lvl w:ilvl="4" w:tplc="040A0003" w:tentative="1">
      <w:start w:val="1"/>
      <w:numFmt w:val="bullet"/>
      <w:lvlText w:val="o"/>
      <w:lvlJc w:val="left"/>
      <w:pPr>
        <w:ind w:left="4309" w:hanging="360"/>
      </w:pPr>
      <w:rPr>
        <w:rFonts w:hint="default" w:ascii="Courier New" w:hAnsi="Courier New" w:cs="Courier New"/>
      </w:rPr>
    </w:lvl>
    <w:lvl w:ilvl="5" w:tplc="040A0005" w:tentative="1">
      <w:start w:val="1"/>
      <w:numFmt w:val="bullet"/>
      <w:lvlText w:val=""/>
      <w:lvlJc w:val="left"/>
      <w:pPr>
        <w:ind w:left="5029" w:hanging="360"/>
      </w:pPr>
      <w:rPr>
        <w:rFonts w:hint="default" w:ascii="Wingdings" w:hAnsi="Wingdings"/>
      </w:rPr>
    </w:lvl>
    <w:lvl w:ilvl="6" w:tplc="040A0001" w:tentative="1">
      <w:start w:val="1"/>
      <w:numFmt w:val="bullet"/>
      <w:lvlText w:val=""/>
      <w:lvlJc w:val="left"/>
      <w:pPr>
        <w:ind w:left="5749" w:hanging="360"/>
      </w:pPr>
      <w:rPr>
        <w:rFonts w:hint="default" w:ascii="Symbol" w:hAnsi="Symbol"/>
      </w:rPr>
    </w:lvl>
    <w:lvl w:ilvl="7" w:tplc="040A0003" w:tentative="1">
      <w:start w:val="1"/>
      <w:numFmt w:val="bullet"/>
      <w:lvlText w:val="o"/>
      <w:lvlJc w:val="left"/>
      <w:pPr>
        <w:ind w:left="6469" w:hanging="360"/>
      </w:pPr>
      <w:rPr>
        <w:rFonts w:hint="default" w:ascii="Courier New" w:hAnsi="Courier New" w:cs="Courier New"/>
      </w:rPr>
    </w:lvl>
    <w:lvl w:ilvl="8" w:tplc="040A0005" w:tentative="1">
      <w:start w:val="1"/>
      <w:numFmt w:val="bullet"/>
      <w:lvlText w:val=""/>
      <w:lvlJc w:val="left"/>
      <w:pPr>
        <w:ind w:left="7189" w:hanging="360"/>
      </w:pPr>
      <w:rPr>
        <w:rFonts w:hint="default" w:ascii="Wingdings" w:hAnsi="Wingdings"/>
      </w:rPr>
    </w:lvl>
  </w:abstractNum>
  <w:abstractNum w:abstractNumId="21" w15:restartNumberingAfterBreak="0">
    <w:nsid w:val="365E6553"/>
    <w:multiLevelType w:val="hybridMultilevel"/>
    <w:tmpl w:val="006806A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37E50684"/>
    <w:multiLevelType w:val="hybridMultilevel"/>
    <w:tmpl w:val="A7EC787E"/>
    <w:lvl w:ilvl="0" w:tplc="F9C0D8D6">
      <w:start w:val="1"/>
      <w:numFmt w:val="bullet"/>
      <w:lvlText w:val=""/>
      <w:lvlJc w:val="left"/>
      <w:pPr>
        <w:ind w:left="720" w:hanging="360"/>
      </w:pPr>
      <w:rPr>
        <w:rFonts w:hint="default" w:ascii="Symbol" w:hAnsi="Symbol"/>
        <w:color w:val="000000" w:themeColor="text1"/>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23" w15:restartNumberingAfterBreak="0">
    <w:nsid w:val="3AE34ECE"/>
    <w:multiLevelType w:val="multilevel"/>
    <w:tmpl w:val="0DEEA2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3F125249"/>
    <w:multiLevelType w:val="multilevel"/>
    <w:tmpl w:val="3A088C84"/>
    <w:lvl w:ilvl="0">
      <w:start w:val="1"/>
      <w:numFmt w:val="decimal"/>
      <w:lvlText w:val="%1."/>
      <w:lvlJc w:val="left"/>
      <w:pPr>
        <w:ind w:left="720" w:hanging="360"/>
      </w:pPr>
      <w:rPr>
        <w:rFonts w:hint="default"/>
        <w:i w:val="0"/>
        <w:iCs/>
        <w:color w:val="EDB600"/>
        <w:sz w:val="40"/>
        <w:szCs w:val="40"/>
      </w:rPr>
    </w:lvl>
    <w:lvl w:ilvl="1">
      <w:start w:val="2"/>
      <w:numFmt w:val="decimal"/>
      <w:isLgl/>
      <w:lvlText w:val="%1.%2"/>
      <w:lvlJc w:val="left"/>
      <w:pPr>
        <w:ind w:left="720" w:hanging="360"/>
      </w:pPr>
      <w:rPr>
        <w:rFonts w:hint="default"/>
        <w:sz w:val="30"/>
        <w:szCs w:val="30"/>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b/>
        <w:bCs/>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42EC295E"/>
    <w:multiLevelType w:val="multilevel"/>
    <w:tmpl w:val="AEDE14DA"/>
    <w:lvl w:ilvl="0">
      <w:start w:val="6"/>
      <w:numFmt w:val="decimal"/>
      <w:lvlText w:val="%1."/>
      <w:lvlJc w:val="left"/>
      <w:pPr>
        <w:ind w:left="720" w:hanging="360"/>
      </w:pPr>
      <w:rPr>
        <w:rFonts w:hint="default"/>
        <w:i w:val="0"/>
        <w:iCs/>
        <w:sz w:val="40"/>
        <w:szCs w:val="40"/>
      </w:rPr>
    </w:lvl>
    <w:lvl w:ilvl="1">
      <w:start w:val="2"/>
      <w:numFmt w:val="decimal"/>
      <w:pStyle w:val="Ttulo2"/>
      <w:isLgl/>
      <w:lvlText w:val="%1.%2"/>
      <w:lvlJc w:val="left"/>
      <w:pPr>
        <w:ind w:left="720" w:hanging="360"/>
      </w:pPr>
      <w:rPr>
        <w:rFonts w:hint="default"/>
        <w:sz w:val="30"/>
        <w:szCs w:val="3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45A17E04"/>
    <w:multiLevelType w:val="hybridMultilevel"/>
    <w:tmpl w:val="55FC256A"/>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27" w15:restartNumberingAfterBreak="0">
    <w:nsid w:val="4AE331ED"/>
    <w:multiLevelType w:val="multilevel"/>
    <w:tmpl w:val="01E61778"/>
    <w:lvl w:ilvl="0">
      <w:start w:val="9"/>
      <w:numFmt w:val="decimal"/>
      <w:lvlText w:val="%1"/>
      <w:lvlJc w:val="left"/>
      <w:pPr>
        <w:ind w:left="440" w:hanging="44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680" w:hanging="2160"/>
      </w:pPr>
      <w:rPr>
        <w:rFonts w:hint="default"/>
      </w:rPr>
    </w:lvl>
    <w:lvl w:ilvl="8">
      <w:start w:val="1"/>
      <w:numFmt w:val="decimal"/>
      <w:lvlText w:val="%1.%2.%3.%4.%5.%6.%7.%8.%9"/>
      <w:lvlJc w:val="left"/>
      <w:pPr>
        <w:ind w:left="5400" w:hanging="2520"/>
      </w:pPr>
      <w:rPr>
        <w:rFonts w:hint="default"/>
      </w:rPr>
    </w:lvl>
  </w:abstractNum>
  <w:abstractNum w:abstractNumId="28" w15:restartNumberingAfterBreak="0">
    <w:nsid w:val="4C6F1113"/>
    <w:multiLevelType w:val="hybridMultilevel"/>
    <w:tmpl w:val="6F8CB366"/>
    <w:lvl w:ilvl="0" w:tplc="07769948">
      <w:start w:val="4"/>
      <w:numFmt w:val="bullet"/>
      <w:lvlText w:val="-"/>
      <w:lvlJc w:val="left"/>
      <w:pPr>
        <w:ind w:left="720" w:hanging="360"/>
      </w:pPr>
      <w:rPr>
        <w:rFonts w:hint="default" w:ascii="Work Sans" w:hAnsi="Work Sans" w:eastAsia="Times New Roman" w:cs="Times New Roman"/>
      </w:rPr>
    </w:lvl>
    <w:lvl w:ilvl="1" w:tplc="040A0003">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29" w15:restartNumberingAfterBreak="0">
    <w:nsid w:val="4CF8198C"/>
    <w:multiLevelType w:val="hybridMultilevel"/>
    <w:tmpl w:val="2724E590"/>
    <w:styleLink w:val="Numeracion"/>
    <w:lvl w:ilvl="0" w:tplc="FCA4B192">
      <w:start w:val="1"/>
      <w:numFmt w:val="decimal"/>
      <w:lvlText w:val="%1."/>
      <w:lvlJc w:val="left"/>
      <w:pPr>
        <w:ind w:left="360" w:hanging="360"/>
      </w:pPr>
      <w:rPr>
        <w:rFonts w:hint="default"/>
      </w:rPr>
    </w:lvl>
    <w:lvl w:ilvl="1" w:tplc="BE486A3A">
      <w:start w:val="1"/>
      <w:numFmt w:val="bullet"/>
      <w:lvlText w:val="o"/>
      <w:lvlJc w:val="left"/>
      <w:pPr>
        <w:ind w:left="1080" w:hanging="360"/>
      </w:pPr>
      <w:rPr>
        <w:rFonts w:hint="default" w:ascii="Courier New" w:hAnsi="Courier New" w:cs="Courier New"/>
      </w:rPr>
    </w:lvl>
    <w:lvl w:ilvl="2" w:tplc="A8D8E6EE">
      <w:start w:val="1"/>
      <w:numFmt w:val="bullet"/>
      <w:lvlText w:val=""/>
      <w:lvlJc w:val="left"/>
      <w:pPr>
        <w:ind w:left="1800" w:hanging="360"/>
      </w:pPr>
      <w:rPr>
        <w:rFonts w:hint="default" w:ascii="Wingdings" w:hAnsi="Wingdings"/>
      </w:rPr>
    </w:lvl>
    <w:lvl w:ilvl="3" w:tplc="FACE71C2">
      <w:start w:val="1"/>
      <w:numFmt w:val="bullet"/>
      <w:lvlText w:val=""/>
      <w:lvlJc w:val="left"/>
      <w:pPr>
        <w:ind w:left="2520" w:hanging="360"/>
      </w:pPr>
      <w:rPr>
        <w:rFonts w:hint="default" w:ascii="Symbol" w:hAnsi="Symbol"/>
      </w:rPr>
    </w:lvl>
    <w:lvl w:ilvl="4" w:tplc="8750A0A0">
      <w:start w:val="1"/>
      <w:numFmt w:val="bullet"/>
      <w:lvlText w:val="o"/>
      <w:lvlJc w:val="left"/>
      <w:pPr>
        <w:ind w:left="3240" w:hanging="360"/>
      </w:pPr>
      <w:rPr>
        <w:rFonts w:hint="default" w:ascii="Courier New" w:hAnsi="Courier New" w:cs="Courier New"/>
      </w:rPr>
    </w:lvl>
    <w:lvl w:ilvl="5" w:tplc="AD2E3AFE">
      <w:start w:val="1"/>
      <w:numFmt w:val="bullet"/>
      <w:lvlText w:val=""/>
      <w:lvlJc w:val="left"/>
      <w:pPr>
        <w:ind w:left="3960" w:hanging="360"/>
      </w:pPr>
      <w:rPr>
        <w:rFonts w:hint="default" w:ascii="Wingdings" w:hAnsi="Wingdings"/>
      </w:rPr>
    </w:lvl>
    <w:lvl w:ilvl="6" w:tplc="74B4B7C6">
      <w:start w:val="1"/>
      <w:numFmt w:val="bullet"/>
      <w:lvlText w:val=""/>
      <w:lvlJc w:val="left"/>
      <w:pPr>
        <w:ind w:left="4680" w:hanging="360"/>
      </w:pPr>
      <w:rPr>
        <w:rFonts w:hint="default" w:ascii="Symbol" w:hAnsi="Symbol"/>
      </w:rPr>
    </w:lvl>
    <w:lvl w:ilvl="7" w:tplc="A1EA026E">
      <w:start w:val="1"/>
      <w:numFmt w:val="bullet"/>
      <w:lvlText w:val="o"/>
      <w:lvlJc w:val="left"/>
      <w:pPr>
        <w:ind w:left="5400" w:hanging="360"/>
      </w:pPr>
      <w:rPr>
        <w:rFonts w:hint="default" w:ascii="Courier New" w:hAnsi="Courier New" w:cs="Courier New"/>
      </w:rPr>
    </w:lvl>
    <w:lvl w:ilvl="8" w:tplc="AE0C977E">
      <w:start w:val="1"/>
      <w:numFmt w:val="bullet"/>
      <w:lvlText w:val=""/>
      <w:lvlJc w:val="left"/>
      <w:pPr>
        <w:ind w:left="6120" w:hanging="360"/>
      </w:pPr>
      <w:rPr>
        <w:rFonts w:hint="default" w:ascii="Wingdings" w:hAnsi="Wingdings"/>
      </w:rPr>
    </w:lvl>
  </w:abstractNum>
  <w:abstractNum w:abstractNumId="30" w15:restartNumberingAfterBreak="0">
    <w:nsid w:val="53620CD5"/>
    <w:multiLevelType w:val="multilevel"/>
    <w:tmpl w:val="5E369C24"/>
    <w:lvl w:ilvl="0">
      <w:start w:val="7"/>
      <w:numFmt w:val="decimal"/>
      <w:lvlText w:val="%1."/>
      <w:lvlJc w:val="left"/>
      <w:pPr>
        <w:ind w:left="720" w:hanging="360"/>
      </w:pPr>
      <w:rPr>
        <w:rFonts w:hint="default"/>
      </w:rPr>
    </w:lvl>
    <w:lvl w:ilvl="1">
      <w:start w:val="1"/>
      <w:numFmt w:val="decimal"/>
      <w:isLgl/>
      <w:lvlText w:val="%1.%2"/>
      <w:lvlJc w:val="left"/>
      <w:pPr>
        <w:ind w:left="720" w:hanging="360"/>
      </w:pPr>
      <w:rPr>
        <w:rFonts w:hint="default"/>
        <w:sz w:val="30"/>
        <w:szCs w:val="30"/>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b/>
        <w:bCs/>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83D64D7"/>
    <w:multiLevelType w:val="hybridMultilevel"/>
    <w:tmpl w:val="C284ECD8"/>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32" w15:restartNumberingAfterBreak="0">
    <w:nsid w:val="5FFD4376"/>
    <w:multiLevelType w:val="multilevel"/>
    <w:tmpl w:val="8A520B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675A47FE"/>
    <w:multiLevelType w:val="hybridMultilevel"/>
    <w:tmpl w:val="1C98717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4" w15:restartNumberingAfterBreak="0">
    <w:nsid w:val="6BF44AD9"/>
    <w:multiLevelType w:val="multilevel"/>
    <w:tmpl w:val="341A28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5" w15:restartNumberingAfterBreak="0">
    <w:nsid w:val="6E0E517B"/>
    <w:multiLevelType w:val="multilevel"/>
    <w:tmpl w:val="F034C2CE"/>
    <w:lvl w:ilvl="0">
      <w:start w:val="8"/>
      <w:numFmt w:val="decimal"/>
      <w:lvlText w:val="%1."/>
      <w:lvlJc w:val="left"/>
      <w:pPr>
        <w:ind w:left="720" w:hanging="360"/>
      </w:pPr>
      <w:rPr>
        <w:rFonts w:hint="default"/>
        <w:i w:val="0"/>
        <w:iCs/>
        <w:sz w:val="40"/>
        <w:szCs w:val="40"/>
      </w:rPr>
    </w:lvl>
    <w:lvl w:ilvl="1">
      <w:start w:val="2"/>
      <w:numFmt w:val="decimal"/>
      <w:isLgl/>
      <w:lvlText w:val="%1.%2"/>
      <w:lvlJc w:val="left"/>
      <w:pPr>
        <w:ind w:left="720" w:hanging="360"/>
      </w:pPr>
      <w:rPr>
        <w:rFonts w:hint="default"/>
        <w:sz w:val="30"/>
        <w:szCs w:val="30"/>
      </w:rPr>
    </w:lvl>
    <w:lvl w:ilvl="2">
      <w:start w:val="1"/>
      <w:numFmt w:val="decimal"/>
      <w:isLgl/>
      <w:lvlText w:val="%1.%2.%3"/>
      <w:lvlJc w:val="left"/>
      <w:pPr>
        <w:ind w:left="1080" w:hanging="720"/>
      </w:pPr>
      <w:rPr>
        <w:rFonts w:hint="default"/>
        <w:b/>
        <w:bCs/>
      </w:rPr>
    </w:lvl>
    <w:lvl w:ilvl="3">
      <w:start w:val="1"/>
      <w:numFmt w:val="decimal"/>
      <w:isLgl/>
      <w:lvlText w:val="%1.%2.%3.%4"/>
      <w:lvlJc w:val="left"/>
      <w:pPr>
        <w:ind w:left="1440" w:hanging="1080"/>
      </w:pPr>
      <w:rPr>
        <w:rFonts w:hint="default"/>
        <w:b/>
        <w:bCs/>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6ECC515C"/>
    <w:multiLevelType w:val="multilevel"/>
    <w:tmpl w:val="1746538C"/>
    <w:lvl w:ilvl="0">
      <w:start w:val="6"/>
      <w:numFmt w:val="decimal"/>
      <w:lvlText w:val="%1"/>
      <w:lvlJc w:val="left"/>
      <w:pPr>
        <w:ind w:left="600" w:hanging="60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7" w15:restartNumberingAfterBreak="0">
    <w:nsid w:val="71424135"/>
    <w:multiLevelType w:val="hybridMultilevel"/>
    <w:tmpl w:val="8BCA474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8" w15:restartNumberingAfterBreak="0">
    <w:nsid w:val="7252012A"/>
    <w:multiLevelType w:val="hybridMultilevel"/>
    <w:tmpl w:val="ADDAFC14"/>
    <w:lvl w:ilvl="0" w:tplc="07769948">
      <w:start w:val="4"/>
      <w:numFmt w:val="bullet"/>
      <w:lvlText w:val="-"/>
      <w:lvlJc w:val="left"/>
      <w:pPr>
        <w:ind w:left="1429" w:hanging="360"/>
      </w:pPr>
      <w:rPr>
        <w:rFonts w:hint="default" w:ascii="Work Sans" w:hAnsi="Work Sans" w:eastAsia="Times New Roman" w:cs="Times New Roman"/>
      </w:rPr>
    </w:lvl>
    <w:lvl w:ilvl="1" w:tplc="040A0003" w:tentative="1">
      <w:start w:val="1"/>
      <w:numFmt w:val="bullet"/>
      <w:lvlText w:val="o"/>
      <w:lvlJc w:val="left"/>
      <w:pPr>
        <w:ind w:left="2149" w:hanging="360"/>
      </w:pPr>
      <w:rPr>
        <w:rFonts w:hint="default" w:ascii="Courier New" w:hAnsi="Courier New" w:cs="Courier New"/>
      </w:rPr>
    </w:lvl>
    <w:lvl w:ilvl="2" w:tplc="040A0005" w:tentative="1">
      <w:start w:val="1"/>
      <w:numFmt w:val="bullet"/>
      <w:lvlText w:val=""/>
      <w:lvlJc w:val="left"/>
      <w:pPr>
        <w:ind w:left="2869" w:hanging="360"/>
      </w:pPr>
      <w:rPr>
        <w:rFonts w:hint="default" w:ascii="Wingdings" w:hAnsi="Wingdings"/>
      </w:rPr>
    </w:lvl>
    <w:lvl w:ilvl="3" w:tplc="040A0001" w:tentative="1">
      <w:start w:val="1"/>
      <w:numFmt w:val="bullet"/>
      <w:lvlText w:val=""/>
      <w:lvlJc w:val="left"/>
      <w:pPr>
        <w:ind w:left="3589" w:hanging="360"/>
      </w:pPr>
      <w:rPr>
        <w:rFonts w:hint="default" w:ascii="Symbol" w:hAnsi="Symbol"/>
      </w:rPr>
    </w:lvl>
    <w:lvl w:ilvl="4" w:tplc="040A0003" w:tentative="1">
      <w:start w:val="1"/>
      <w:numFmt w:val="bullet"/>
      <w:lvlText w:val="o"/>
      <w:lvlJc w:val="left"/>
      <w:pPr>
        <w:ind w:left="4309" w:hanging="360"/>
      </w:pPr>
      <w:rPr>
        <w:rFonts w:hint="default" w:ascii="Courier New" w:hAnsi="Courier New" w:cs="Courier New"/>
      </w:rPr>
    </w:lvl>
    <w:lvl w:ilvl="5" w:tplc="040A0005" w:tentative="1">
      <w:start w:val="1"/>
      <w:numFmt w:val="bullet"/>
      <w:lvlText w:val=""/>
      <w:lvlJc w:val="left"/>
      <w:pPr>
        <w:ind w:left="5029" w:hanging="360"/>
      </w:pPr>
      <w:rPr>
        <w:rFonts w:hint="default" w:ascii="Wingdings" w:hAnsi="Wingdings"/>
      </w:rPr>
    </w:lvl>
    <w:lvl w:ilvl="6" w:tplc="040A0001" w:tentative="1">
      <w:start w:val="1"/>
      <w:numFmt w:val="bullet"/>
      <w:lvlText w:val=""/>
      <w:lvlJc w:val="left"/>
      <w:pPr>
        <w:ind w:left="5749" w:hanging="360"/>
      </w:pPr>
      <w:rPr>
        <w:rFonts w:hint="default" w:ascii="Symbol" w:hAnsi="Symbol"/>
      </w:rPr>
    </w:lvl>
    <w:lvl w:ilvl="7" w:tplc="040A0003" w:tentative="1">
      <w:start w:val="1"/>
      <w:numFmt w:val="bullet"/>
      <w:lvlText w:val="o"/>
      <w:lvlJc w:val="left"/>
      <w:pPr>
        <w:ind w:left="6469" w:hanging="360"/>
      </w:pPr>
      <w:rPr>
        <w:rFonts w:hint="default" w:ascii="Courier New" w:hAnsi="Courier New" w:cs="Courier New"/>
      </w:rPr>
    </w:lvl>
    <w:lvl w:ilvl="8" w:tplc="040A0005" w:tentative="1">
      <w:start w:val="1"/>
      <w:numFmt w:val="bullet"/>
      <w:lvlText w:val=""/>
      <w:lvlJc w:val="left"/>
      <w:pPr>
        <w:ind w:left="7189" w:hanging="360"/>
      </w:pPr>
      <w:rPr>
        <w:rFonts w:hint="default" w:ascii="Wingdings" w:hAnsi="Wingdings"/>
      </w:rPr>
    </w:lvl>
  </w:abstractNum>
  <w:abstractNum w:abstractNumId="39" w15:restartNumberingAfterBreak="0">
    <w:nsid w:val="764917B1"/>
    <w:multiLevelType w:val="multilevel"/>
    <w:tmpl w:val="35B4816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786B0406"/>
    <w:multiLevelType w:val="hybridMultilevel"/>
    <w:tmpl w:val="19063C56"/>
    <w:lvl w:ilvl="0" w:tplc="07769948">
      <w:start w:val="4"/>
      <w:numFmt w:val="bullet"/>
      <w:lvlText w:val="-"/>
      <w:lvlJc w:val="left"/>
      <w:pPr>
        <w:ind w:left="720" w:hanging="360"/>
      </w:pPr>
      <w:rPr>
        <w:rFonts w:hint="default" w:ascii="Work Sans" w:hAnsi="Work Sans" w:eastAsia="Times New Roman" w:cs="Times New Roman"/>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41" w15:restartNumberingAfterBreak="0">
    <w:nsid w:val="7A3633A1"/>
    <w:multiLevelType w:val="multilevel"/>
    <w:tmpl w:val="BC188132"/>
    <w:lvl w:ilvl="0">
      <w:start w:val="1"/>
      <w:numFmt w:val="bullet"/>
      <w:lvlText w:val=""/>
      <w:lvlJc w:val="left"/>
      <w:pPr>
        <w:ind w:left="360" w:hanging="360"/>
      </w:pPr>
      <w:rPr>
        <w:rFonts w:hint="default" w:ascii="Symbol" w:hAnsi="Symbol"/>
      </w:rPr>
    </w:lvl>
    <w:lvl w:ilvl="1">
      <w:start w:val="8"/>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abstractNum w:abstractNumId="42" w15:restartNumberingAfterBreak="0">
    <w:nsid w:val="7AA2CFAA"/>
    <w:multiLevelType w:val="hybridMultilevel"/>
    <w:tmpl w:val="102015A8"/>
    <w:styleLink w:val="Style1"/>
    <w:lvl w:ilvl="0" w:tplc="23EEC2F4">
      <w:start w:val="1"/>
      <w:numFmt w:val="decimal"/>
      <w:lvlText w:val="%1."/>
      <w:lvlJc w:val="left"/>
      <w:pPr>
        <w:ind w:left="360" w:hanging="360"/>
      </w:pPr>
      <w:rPr>
        <w:rFonts w:hint="default"/>
      </w:rPr>
    </w:lvl>
    <w:lvl w:ilvl="1" w:tplc="A376791A">
      <w:start w:val="1"/>
      <w:numFmt w:val="bullet"/>
      <w:lvlText w:val="o"/>
      <w:lvlJc w:val="left"/>
      <w:pPr>
        <w:ind w:left="1080" w:hanging="360"/>
      </w:pPr>
      <w:rPr>
        <w:rFonts w:hint="default" w:ascii="Courier New" w:hAnsi="Courier New" w:cs="Courier New"/>
      </w:rPr>
    </w:lvl>
    <w:lvl w:ilvl="2" w:tplc="81007274">
      <w:start w:val="1"/>
      <w:numFmt w:val="bullet"/>
      <w:lvlText w:val=""/>
      <w:lvlJc w:val="left"/>
      <w:pPr>
        <w:ind w:left="1800" w:hanging="360"/>
      </w:pPr>
      <w:rPr>
        <w:rFonts w:hint="default" w:ascii="Wingdings" w:hAnsi="Wingdings"/>
      </w:rPr>
    </w:lvl>
    <w:lvl w:ilvl="3" w:tplc="44B2D798">
      <w:start w:val="1"/>
      <w:numFmt w:val="bullet"/>
      <w:lvlText w:val=""/>
      <w:lvlJc w:val="left"/>
      <w:pPr>
        <w:ind w:left="2520" w:hanging="360"/>
      </w:pPr>
      <w:rPr>
        <w:rFonts w:hint="default" w:ascii="Symbol" w:hAnsi="Symbol"/>
      </w:rPr>
    </w:lvl>
    <w:lvl w:ilvl="4" w:tplc="623878D2">
      <w:start w:val="1"/>
      <w:numFmt w:val="bullet"/>
      <w:lvlText w:val="o"/>
      <w:lvlJc w:val="left"/>
      <w:pPr>
        <w:ind w:left="3240" w:hanging="360"/>
      </w:pPr>
      <w:rPr>
        <w:rFonts w:hint="default" w:ascii="Courier New" w:hAnsi="Courier New" w:cs="Courier New"/>
      </w:rPr>
    </w:lvl>
    <w:lvl w:ilvl="5" w:tplc="80B080B2">
      <w:start w:val="1"/>
      <w:numFmt w:val="bullet"/>
      <w:lvlText w:val=""/>
      <w:lvlJc w:val="left"/>
      <w:pPr>
        <w:ind w:left="3960" w:hanging="360"/>
      </w:pPr>
      <w:rPr>
        <w:rFonts w:hint="default" w:ascii="Wingdings" w:hAnsi="Wingdings"/>
      </w:rPr>
    </w:lvl>
    <w:lvl w:ilvl="6" w:tplc="D2E08898">
      <w:start w:val="1"/>
      <w:numFmt w:val="bullet"/>
      <w:lvlText w:val=""/>
      <w:lvlJc w:val="left"/>
      <w:pPr>
        <w:ind w:left="4680" w:hanging="360"/>
      </w:pPr>
      <w:rPr>
        <w:rFonts w:hint="default" w:ascii="Symbol" w:hAnsi="Symbol"/>
      </w:rPr>
    </w:lvl>
    <w:lvl w:ilvl="7" w:tplc="C728FF14">
      <w:start w:val="1"/>
      <w:numFmt w:val="bullet"/>
      <w:lvlText w:val="o"/>
      <w:lvlJc w:val="left"/>
      <w:pPr>
        <w:ind w:left="5400" w:hanging="360"/>
      </w:pPr>
      <w:rPr>
        <w:rFonts w:hint="default" w:ascii="Courier New" w:hAnsi="Courier New" w:cs="Courier New"/>
      </w:rPr>
    </w:lvl>
    <w:lvl w:ilvl="8" w:tplc="36D85EC0">
      <w:start w:val="1"/>
      <w:numFmt w:val="bullet"/>
      <w:lvlText w:val=""/>
      <w:lvlJc w:val="left"/>
      <w:pPr>
        <w:ind w:left="6120" w:hanging="360"/>
      </w:pPr>
      <w:rPr>
        <w:rFonts w:hint="default" w:ascii="Wingdings" w:hAnsi="Wingdings"/>
      </w:rPr>
    </w:lvl>
  </w:abstractNum>
  <w:num w:numId="1" w16cid:durableId="1135562112">
    <w:abstractNumId w:val="2"/>
  </w:num>
  <w:num w:numId="2" w16cid:durableId="2044596525">
    <w:abstractNumId w:val="7"/>
  </w:num>
  <w:num w:numId="3" w16cid:durableId="363941959">
    <w:abstractNumId w:val="28"/>
  </w:num>
  <w:num w:numId="4" w16cid:durableId="1926181412">
    <w:abstractNumId w:val="10"/>
  </w:num>
  <w:num w:numId="5" w16cid:durableId="1527789073">
    <w:abstractNumId w:val="29"/>
  </w:num>
  <w:num w:numId="6" w16cid:durableId="1176921724">
    <w:abstractNumId w:val="42"/>
  </w:num>
  <w:num w:numId="7" w16cid:durableId="579994534">
    <w:abstractNumId w:val="3"/>
  </w:num>
  <w:num w:numId="8" w16cid:durableId="735594080">
    <w:abstractNumId w:val="37"/>
  </w:num>
  <w:num w:numId="9" w16cid:durableId="1072968421">
    <w:abstractNumId w:val="21"/>
  </w:num>
  <w:num w:numId="10" w16cid:durableId="649362582">
    <w:abstractNumId w:val="12"/>
  </w:num>
  <w:num w:numId="11" w16cid:durableId="1906604941">
    <w:abstractNumId w:val="32"/>
  </w:num>
  <w:num w:numId="12" w16cid:durableId="482235491">
    <w:abstractNumId w:val="14"/>
  </w:num>
  <w:num w:numId="13" w16cid:durableId="569508548">
    <w:abstractNumId w:val="19"/>
  </w:num>
  <w:num w:numId="14" w16cid:durableId="1468738466">
    <w:abstractNumId w:val="23"/>
  </w:num>
  <w:num w:numId="15" w16cid:durableId="567499929">
    <w:abstractNumId w:val="34"/>
  </w:num>
  <w:num w:numId="16" w16cid:durableId="1208297909">
    <w:abstractNumId w:val="33"/>
  </w:num>
  <w:num w:numId="17" w16cid:durableId="2063358767">
    <w:abstractNumId w:val="41"/>
  </w:num>
  <w:num w:numId="18" w16cid:durableId="258025555">
    <w:abstractNumId w:val="39"/>
  </w:num>
  <w:num w:numId="19" w16cid:durableId="900798013">
    <w:abstractNumId w:val="22"/>
  </w:num>
  <w:num w:numId="20" w16cid:durableId="479034938">
    <w:abstractNumId w:val="24"/>
  </w:num>
  <w:num w:numId="21" w16cid:durableId="549221540">
    <w:abstractNumId w:val="11"/>
  </w:num>
  <w:num w:numId="22" w16cid:durableId="94792194">
    <w:abstractNumId w:val="30"/>
  </w:num>
  <w:num w:numId="23" w16cid:durableId="322469774">
    <w:abstractNumId w:val="25"/>
  </w:num>
  <w:num w:numId="24" w16cid:durableId="89981186">
    <w:abstractNumId w:val="2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73051118">
    <w:abstractNumId w:val="35"/>
  </w:num>
  <w:num w:numId="26" w16cid:durableId="1869175633">
    <w:abstractNumId w:val="5"/>
  </w:num>
  <w:num w:numId="27" w16cid:durableId="1489202855">
    <w:abstractNumId w:val="26"/>
  </w:num>
  <w:num w:numId="28" w16cid:durableId="845441630">
    <w:abstractNumId w:val="40"/>
  </w:num>
  <w:num w:numId="29" w16cid:durableId="1131096981">
    <w:abstractNumId w:val="15"/>
  </w:num>
  <w:num w:numId="30" w16cid:durableId="752120343">
    <w:abstractNumId w:val="18"/>
  </w:num>
  <w:num w:numId="31" w16cid:durableId="2003240402">
    <w:abstractNumId w:val="38"/>
  </w:num>
  <w:num w:numId="32" w16cid:durableId="118840036">
    <w:abstractNumId w:val="20"/>
  </w:num>
  <w:num w:numId="33" w16cid:durableId="1295208995">
    <w:abstractNumId w:val="31"/>
  </w:num>
  <w:num w:numId="34" w16cid:durableId="1825968263">
    <w:abstractNumId w:val="8"/>
  </w:num>
  <w:num w:numId="35" w16cid:durableId="1214079867">
    <w:abstractNumId w:val="36"/>
  </w:num>
  <w:num w:numId="36" w16cid:durableId="942417999">
    <w:abstractNumId w:val="4"/>
  </w:num>
  <w:num w:numId="37" w16cid:durableId="707025833">
    <w:abstractNumId w:val="16"/>
  </w:num>
  <w:num w:numId="38" w16cid:durableId="1783762416">
    <w:abstractNumId w:val="9"/>
  </w:num>
  <w:num w:numId="39" w16cid:durableId="1678652420">
    <w:abstractNumId w:val="27"/>
  </w:num>
  <w:num w:numId="40" w16cid:durableId="1939554448">
    <w:abstractNumId w:val="13"/>
  </w:num>
  <w:num w:numId="41" w16cid:durableId="383797246">
    <w:abstractNumId w:val="17"/>
  </w:num>
  <w:num w:numId="42" w16cid:durableId="1489976400">
    <w:abstractNumId w:val="0"/>
  </w:num>
  <w:num w:numId="43" w16cid:durableId="1815027190">
    <w:abstractNumId w:val="6"/>
  </w:num>
  <w:num w:numId="44" w16cid:durableId="1588732362">
    <w:abstractNumId w:val="1"/>
  </w:num>
  <w:numIdMacAtCleanup w:val="4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1"/>
  <w:displayBackgroundShape/>
  <w:embedTrueTypeFonts/>
  <w:saveSubsetFonts/>
  <w:proofState w:spelling="clean" w:grammar="dirty"/>
  <w:trackRevisions w:val="false"/>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02924"/>
    <w:rsid w:val="000006E7"/>
    <w:rsid w:val="00000DFE"/>
    <w:rsid w:val="0000180F"/>
    <w:rsid w:val="000021C9"/>
    <w:rsid w:val="000029F8"/>
    <w:rsid w:val="00002BF3"/>
    <w:rsid w:val="00002C02"/>
    <w:rsid w:val="00003150"/>
    <w:rsid w:val="000034C3"/>
    <w:rsid w:val="0000439E"/>
    <w:rsid w:val="00005231"/>
    <w:rsid w:val="00005824"/>
    <w:rsid w:val="00005D0F"/>
    <w:rsid w:val="00007506"/>
    <w:rsid w:val="00007A97"/>
    <w:rsid w:val="000105FE"/>
    <w:rsid w:val="00010B8B"/>
    <w:rsid w:val="000128ED"/>
    <w:rsid w:val="00012A4C"/>
    <w:rsid w:val="00012FDA"/>
    <w:rsid w:val="000131D3"/>
    <w:rsid w:val="00014785"/>
    <w:rsid w:val="00014D1F"/>
    <w:rsid w:val="00016516"/>
    <w:rsid w:val="00016553"/>
    <w:rsid w:val="00017289"/>
    <w:rsid w:val="0001799D"/>
    <w:rsid w:val="00020A75"/>
    <w:rsid w:val="00021B0E"/>
    <w:rsid w:val="0002242C"/>
    <w:rsid w:val="00022F25"/>
    <w:rsid w:val="00023B92"/>
    <w:rsid w:val="00025071"/>
    <w:rsid w:val="00025563"/>
    <w:rsid w:val="00025890"/>
    <w:rsid w:val="000259FA"/>
    <w:rsid w:val="00025D22"/>
    <w:rsid w:val="000264D9"/>
    <w:rsid w:val="00026579"/>
    <w:rsid w:val="000272C1"/>
    <w:rsid w:val="00027F0D"/>
    <w:rsid w:val="00030142"/>
    <w:rsid w:val="00030712"/>
    <w:rsid w:val="00031057"/>
    <w:rsid w:val="00031282"/>
    <w:rsid w:val="00031498"/>
    <w:rsid w:val="0003191E"/>
    <w:rsid w:val="00031956"/>
    <w:rsid w:val="00031A4D"/>
    <w:rsid w:val="00031CE1"/>
    <w:rsid w:val="00031E94"/>
    <w:rsid w:val="00032812"/>
    <w:rsid w:val="000339EB"/>
    <w:rsid w:val="00033B86"/>
    <w:rsid w:val="00033F2C"/>
    <w:rsid w:val="000349CE"/>
    <w:rsid w:val="00034E48"/>
    <w:rsid w:val="00034EB1"/>
    <w:rsid w:val="00034FBE"/>
    <w:rsid w:val="00035EF4"/>
    <w:rsid w:val="00036644"/>
    <w:rsid w:val="0003689A"/>
    <w:rsid w:val="000369BC"/>
    <w:rsid w:val="00036C40"/>
    <w:rsid w:val="00037E63"/>
    <w:rsid w:val="000402E4"/>
    <w:rsid w:val="00041CBC"/>
    <w:rsid w:val="00041E02"/>
    <w:rsid w:val="00042AAC"/>
    <w:rsid w:val="00042CF0"/>
    <w:rsid w:val="000438B4"/>
    <w:rsid w:val="00043D29"/>
    <w:rsid w:val="00043EEA"/>
    <w:rsid w:val="00044E1B"/>
    <w:rsid w:val="0004543A"/>
    <w:rsid w:val="00045B85"/>
    <w:rsid w:val="00045F68"/>
    <w:rsid w:val="00046102"/>
    <w:rsid w:val="00046CA0"/>
    <w:rsid w:val="00047C03"/>
    <w:rsid w:val="0005068D"/>
    <w:rsid w:val="000506C3"/>
    <w:rsid w:val="00051632"/>
    <w:rsid w:val="00051E0F"/>
    <w:rsid w:val="0005218A"/>
    <w:rsid w:val="000524DF"/>
    <w:rsid w:val="000527EF"/>
    <w:rsid w:val="000529B2"/>
    <w:rsid w:val="000534AC"/>
    <w:rsid w:val="00053581"/>
    <w:rsid w:val="000542F7"/>
    <w:rsid w:val="000548C9"/>
    <w:rsid w:val="00055123"/>
    <w:rsid w:val="000551B2"/>
    <w:rsid w:val="000553E8"/>
    <w:rsid w:val="00056231"/>
    <w:rsid w:val="00056492"/>
    <w:rsid w:val="00056607"/>
    <w:rsid w:val="0005698C"/>
    <w:rsid w:val="00057A39"/>
    <w:rsid w:val="00057B05"/>
    <w:rsid w:val="00057F2D"/>
    <w:rsid w:val="0006035F"/>
    <w:rsid w:val="00060730"/>
    <w:rsid w:val="00060737"/>
    <w:rsid w:val="000611C0"/>
    <w:rsid w:val="0006150A"/>
    <w:rsid w:val="0006186E"/>
    <w:rsid w:val="00062520"/>
    <w:rsid w:val="00062633"/>
    <w:rsid w:val="000626E9"/>
    <w:rsid w:val="00063032"/>
    <w:rsid w:val="000633A3"/>
    <w:rsid w:val="0006344C"/>
    <w:rsid w:val="00063DC8"/>
    <w:rsid w:val="00065A0F"/>
    <w:rsid w:val="0006615B"/>
    <w:rsid w:val="0006621B"/>
    <w:rsid w:val="0006735F"/>
    <w:rsid w:val="000673A4"/>
    <w:rsid w:val="00071523"/>
    <w:rsid w:val="00071CF8"/>
    <w:rsid w:val="00071EB5"/>
    <w:rsid w:val="00072076"/>
    <w:rsid w:val="00072D3D"/>
    <w:rsid w:val="000735A6"/>
    <w:rsid w:val="000736B6"/>
    <w:rsid w:val="00073AD6"/>
    <w:rsid w:val="00074491"/>
    <w:rsid w:val="00074C41"/>
    <w:rsid w:val="00074F8B"/>
    <w:rsid w:val="000755E4"/>
    <w:rsid w:val="00075E1F"/>
    <w:rsid w:val="00075FE7"/>
    <w:rsid w:val="00076769"/>
    <w:rsid w:val="00076B48"/>
    <w:rsid w:val="00077198"/>
    <w:rsid w:val="000773FF"/>
    <w:rsid w:val="00077548"/>
    <w:rsid w:val="00077970"/>
    <w:rsid w:val="00077A23"/>
    <w:rsid w:val="00077E6E"/>
    <w:rsid w:val="00080381"/>
    <w:rsid w:val="00080F0D"/>
    <w:rsid w:val="000811BF"/>
    <w:rsid w:val="0008138D"/>
    <w:rsid w:val="00082E5A"/>
    <w:rsid w:val="00083FBB"/>
    <w:rsid w:val="00084A75"/>
    <w:rsid w:val="00084B87"/>
    <w:rsid w:val="0008598F"/>
    <w:rsid w:val="00085F9E"/>
    <w:rsid w:val="00086A1E"/>
    <w:rsid w:val="00086F26"/>
    <w:rsid w:val="00087048"/>
    <w:rsid w:val="00087D13"/>
    <w:rsid w:val="00087D9F"/>
    <w:rsid w:val="0009103A"/>
    <w:rsid w:val="00091FC5"/>
    <w:rsid w:val="0009209C"/>
    <w:rsid w:val="000939CB"/>
    <w:rsid w:val="000941DE"/>
    <w:rsid w:val="00094D90"/>
    <w:rsid w:val="00094F11"/>
    <w:rsid w:val="00095628"/>
    <w:rsid w:val="00095C95"/>
    <w:rsid w:val="000961B6"/>
    <w:rsid w:val="00096A40"/>
    <w:rsid w:val="00096DF8"/>
    <w:rsid w:val="00096EA1"/>
    <w:rsid w:val="000A080D"/>
    <w:rsid w:val="000A0B12"/>
    <w:rsid w:val="000A1140"/>
    <w:rsid w:val="000A1757"/>
    <w:rsid w:val="000A176B"/>
    <w:rsid w:val="000A190D"/>
    <w:rsid w:val="000A1EC5"/>
    <w:rsid w:val="000A2080"/>
    <w:rsid w:val="000A32FF"/>
    <w:rsid w:val="000A3B28"/>
    <w:rsid w:val="000A3E92"/>
    <w:rsid w:val="000A3F29"/>
    <w:rsid w:val="000A45CE"/>
    <w:rsid w:val="000A4CAE"/>
    <w:rsid w:val="000A5948"/>
    <w:rsid w:val="000A5D63"/>
    <w:rsid w:val="000A70D7"/>
    <w:rsid w:val="000A7DBE"/>
    <w:rsid w:val="000B132C"/>
    <w:rsid w:val="000B1531"/>
    <w:rsid w:val="000B1B7B"/>
    <w:rsid w:val="000B2728"/>
    <w:rsid w:val="000B2AF2"/>
    <w:rsid w:val="000B2EDF"/>
    <w:rsid w:val="000B3238"/>
    <w:rsid w:val="000B3E16"/>
    <w:rsid w:val="000B40F2"/>
    <w:rsid w:val="000B415C"/>
    <w:rsid w:val="000B45AA"/>
    <w:rsid w:val="000B496A"/>
    <w:rsid w:val="000B4B96"/>
    <w:rsid w:val="000B4C4E"/>
    <w:rsid w:val="000B516D"/>
    <w:rsid w:val="000B550C"/>
    <w:rsid w:val="000B5AC2"/>
    <w:rsid w:val="000B6159"/>
    <w:rsid w:val="000B674E"/>
    <w:rsid w:val="000B68AE"/>
    <w:rsid w:val="000B6E37"/>
    <w:rsid w:val="000C01A3"/>
    <w:rsid w:val="000C0B36"/>
    <w:rsid w:val="000C1861"/>
    <w:rsid w:val="000C2567"/>
    <w:rsid w:val="000C281F"/>
    <w:rsid w:val="000C3CCA"/>
    <w:rsid w:val="000C4464"/>
    <w:rsid w:val="000C463F"/>
    <w:rsid w:val="000C4FED"/>
    <w:rsid w:val="000C5DCE"/>
    <w:rsid w:val="000C61B5"/>
    <w:rsid w:val="000C63B3"/>
    <w:rsid w:val="000C6523"/>
    <w:rsid w:val="000C6AFB"/>
    <w:rsid w:val="000C748C"/>
    <w:rsid w:val="000C77F3"/>
    <w:rsid w:val="000C7F31"/>
    <w:rsid w:val="000D1688"/>
    <w:rsid w:val="000D1CA3"/>
    <w:rsid w:val="000D2064"/>
    <w:rsid w:val="000D28C1"/>
    <w:rsid w:val="000D2C19"/>
    <w:rsid w:val="000D2FFB"/>
    <w:rsid w:val="000D31C1"/>
    <w:rsid w:val="000D34AA"/>
    <w:rsid w:val="000D378D"/>
    <w:rsid w:val="000D3EB9"/>
    <w:rsid w:val="000D525B"/>
    <w:rsid w:val="000D597C"/>
    <w:rsid w:val="000D650E"/>
    <w:rsid w:val="000D6535"/>
    <w:rsid w:val="000D7C3F"/>
    <w:rsid w:val="000E0A37"/>
    <w:rsid w:val="000E1AAB"/>
    <w:rsid w:val="000E20AB"/>
    <w:rsid w:val="000E260D"/>
    <w:rsid w:val="000E393D"/>
    <w:rsid w:val="000E3A1F"/>
    <w:rsid w:val="000E4A01"/>
    <w:rsid w:val="000E4ACD"/>
    <w:rsid w:val="000E4C46"/>
    <w:rsid w:val="000E518B"/>
    <w:rsid w:val="000E550C"/>
    <w:rsid w:val="000E6282"/>
    <w:rsid w:val="000E6726"/>
    <w:rsid w:val="000E67F8"/>
    <w:rsid w:val="000E6DA2"/>
    <w:rsid w:val="000E7085"/>
    <w:rsid w:val="000E7AAA"/>
    <w:rsid w:val="000F0184"/>
    <w:rsid w:val="000F038D"/>
    <w:rsid w:val="000F10D5"/>
    <w:rsid w:val="000F220A"/>
    <w:rsid w:val="000F264D"/>
    <w:rsid w:val="000F3170"/>
    <w:rsid w:val="000F376D"/>
    <w:rsid w:val="000F3C91"/>
    <w:rsid w:val="000F4099"/>
    <w:rsid w:val="000F45C0"/>
    <w:rsid w:val="000F47E9"/>
    <w:rsid w:val="000F4C45"/>
    <w:rsid w:val="000F4C51"/>
    <w:rsid w:val="000F4E88"/>
    <w:rsid w:val="000F56C9"/>
    <w:rsid w:val="000F573A"/>
    <w:rsid w:val="000F57CC"/>
    <w:rsid w:val="000F6016"/>
    <w:rsid w:val="00100CD2"/>
    <w:rsid w:val="00101225"/>
    <w:rsid w:val="00102108"/>
    <w:rsid w:val="00102883"/>
    <w:rsid w:val="001029EC"/>
    <w:rsid w:val="00102ABE"/>
    <w:rsid w:val="00102DDE"/>
    <w:rsid w:val="0010307D"/>
    <w:rsid w:val="0010375F"/>
    <w:rsid w:val="001038D8"/>
    <w:rsid w:val="001039AE"/>
    <w:rsid w:val="00105754"/>
    <w:rsid w:val="001060CD"/>
    <w:rsid w:val="00106B3B"/>
    <w:rsid w:val="0010722B"/>
    <w:rsid w:val="00107619"/>
    <w:rsid w:val="00107A0E"/>
    <w:rsid w:val="0011034D"/>
    <w:rsid w:val="00110B02"/>
    <w:rsid w:val="00110F79"/>
    <w:rsid w:val="00111016"/>
    <w:rsid w:val="00111F0F"/>
    <w:rsid w:val="00112295"/>
    <w:rsid w:val="00112F7D"/>
    <w:rsid w:val="00113029"/>
    <w:rsid w:val="0011420F"/>
    <w:rsid w:val="0011446B"/>
    <w:rsid w:val="001155D3"/>
    <w:rsid w:val="001160D5"/>
    <w:rsid w:val="0011723D"/>
    <w:rsid w:val="00117AFA"/>
    <w:rsid w:val="00120554"/>
    <w:rsid w:val="00120E45"/>
    <w:rsid w:val="00121207"/>
    <w:rsid w:val="0012125A"/>
    <w:rsid w:val="001213DF"/>
    <w:rsid w:val="001219CB"/>
    <w:rsid w:val="00122996"/>
    <w:rsid w:val="00123066"/>
    <w:rsid w:val="00123301"/>
    <w:rsid w:val="00123D86"/>
    <w:rsid w:val="0012404F"/>
    <w:rsid w:val="00124391"/>
    <w:rsid w:val="00124EC0"/>
    <w:rsid w:val="001256F6"/>
    <w:rsid w:val="00125CB7"/>
    <w:rsid w:val="00127522"/>
    <w:rsid w:val="0013013E"/>
    <w:rsid w:val="00131437"/>
    <w:rsid w:val="001320D2"/>
    <w:rsid w:val="00133B02"/>
    <w:rsid w:val="00133BF0"/>
    <w:rsid w:val="0013483B"/>
    <w:rsid w:val="001359E4"/>
    <w:rsid w:val="00136262"/>
    <w:rsid w:val="001362F2"/>
    <w:rsid w:val="0013669E"/>
    <w:rsid w:val="001367B3"/>
    <w:rsid w:val="00136CF4"/>
    <w:rsid w:val="0013766F"/>
    <w:rsid w:val="001377B4"/>
    <w:rsid w:val="00137A7A"/>
    <w:rsid w:val="00140FF8"/>
    <w:rsid w:val="00143650"/>
    <w:rsid w:val="00143A46"/>
    <w:rsid w:val="0014409A"/>
    <w:rsid w:val="00144925"/>
    <w:rsid w:val="00144986"/>
    <w:rsid w:val="00144A1B"/>
    <w:rsid w:val="00145099"/>
    <w:rsid w:val="00145381"/>
    <w:rsid w:val="001470B6"/>
    <w:rsid w:val="001475DF"/>
    <w:rsid w:val="0015018B"/>
    <w:rsid w:val="001504B6"/>
    <w:rsid w:val="00150CB9"/>
    <w:rsid w:val="00150D2F"/>
    <w:rsid w:val="00150F51"/>
    <w:rsid w:val="001524C5"/>
    <w:rsid w:val="001524E5"/>
    <w:rsid w:val="00152B88"/>
    <w:rsid w:val="00153522"/>
    <w:rsid w:val="0015521E"/>
    <w:rsid w:val="00155E0A"/>
    <w:rsid w:val="001566D4"/>
    <w:rsid w:val="00157BF4"/>
    <w:rsid w:val="00157D4C"/>
    <w:rsid w:val="001601AF"/>
    <w:rsid w:val="001604B3"/>
    <w:rsid w:val="00162F3B"/>
    <w:rsid w:val="00163361"/>
    <w:rsid w:val="00163867"/>
    <w:rsid w:val="0016406A"/>
    <w:rsid w:val="0016418F"/>
    <w:rsid w:val="001642BE"/>
    <w:rsid w:val="00165BF8"/>
    <w:rsid w:val="00165EFF"/>
    <w:rsid w:val="0016607A"/>
    <w:rsid w:val="001662CE"/>
    <w:rsid w:val="001675BA"/>
    <w:rsid w:val="001676CF"/>
    <w:rsid w:val="00170048"/>
    <w:rsid w:val="00170378"/>
    <w:rsid w:val="00170CC7"/>
    <w:rsid w:val="0017184C"/>
    <w:rsid w:val="00172800"/>
    <w:rsid w:val="00172B24"/>
    <w:rsid w:val="00173C5A"/>
    <w:rsid w:val="00173EAD"/>
    <w:rsid w:val="00174033"/>
    <w:rsid w:val="001740E4"/>
    <w:rsid w:val="0017504F"/>
    <w:rsid w:val="0017594F"/>
    <w:rsid w:val="00175DBE"/>
    <w:rsid w:val="001763D4"/>
    <w:rsid w:val="00177186"/>
    <w:rsid w:val="001773BC"/>
    <w:rsid w:val="001777F4"/>
    <w:rsid w:val="0018081F"/>
    <w:rsid w:val="00180FC1"/>
    <w:rsid w:val="001813F4"/>
    <w:rsid w:val="0018168D"/>
    <w:rsid w:val="001816DD"/>
    <w:rsid w:val="00181743"/>
    <w:rsid w:val="001822AF"/>
    <w:rsid w:val="00182400"/>
    <w:rsid w:val="0018248A"/>
    <w:rsid w:val="00182B2E"/>
    <w:rsid w:val="00183384"/>
    <w:rsid w:val="00183C8E"/>
    <w:rsid w:val="00184075"/>
    <w:rsid w:val="00184887"/>
    <w:rsid w:val="00184BD7"/>
    <w:rsid w:val="00186045"/>
    <w:rsid w:val="00186A41"/>
    <w:rsid w:val="00186B4C"/>
    <w:rsid w:val="00186E15"/>
    <w:rsid w:val="00187C06"/>
    <w:rsid w:val="001905F1"/>
    <w:rsid w:val="00190734"/>
    <w:rsid w:val="0019214C"/>
    <w:rsid w:val="00192EB3"/>
    <w:rsid w:val="001948B0"/>
    <w:rsid w:val="00195BB2"/>
    <w:rsid w:val="00195BCA"/>
    <w:rsid w:val="00196013"/>
    <w:rsid w:val="0019699A"/>
    <w:rsid w:val="00196A10"/>
    <w:rsid w:val="00197451"/>
    <w:rsid w:val="00197AF1"/>
    <w:rsid w:val="00197FFE"/>
    <w:rsid w:val="001A09D9"/>
    <w:rsid w:val="001A0D29"/>
    <w:rsid w:val="001A104B"/>
    <w:rsid w:val="001A15B5"/>
    <w:rsid w:val="001A217A"/>
    <w:rsid w:val="001A297D"/>
    <w:rsid w:val="001A2EFB"/>
    <w:rsid w:val="001A2F50"/>
    <w:rsid w:val="001A2F82"/>
    <w:rsid w:val="001A3C13"/>
    <w:rsid w:val="001A4281"/>
    <w:rsid w:val="001A42D7"/>
    <w:rsid w:val="001A44E4"/>
    <w:rsid w:val="001A45BF"/>
    <w:rsid w:val="001A52EC"/>
    <w:rsid w:val="001A62BB"/>
    <w:rsid w:val="001A6BB9"/>
    <w:rsid w:val="001A76E2"/>
    <w:rsid w:val="001B0F9A"/>
    <w:rsid w:val="001B2B68"/>
    <w:rsid w:val="001B48B1"/>
    <w:rsid w:val="001B48F2"/>
    <w:rsid w:val="001B517F"/>
    <w:rsid w:val="001B558A"/>
    <w:rsid w:val="001B55EF"/>
    <w:rsid w:val="001B60FC"/>
    <w:rsid w:val="001B70FF"/>
    <w:rsid w:val="001B7608"/>
    <w:rsid w:val="001B76DB"/>
    <w:rsid w:val="001B7848"/>
    <w:rsid w:val="001B7F8B"/>
    <w:rsid w:val="001C0277"/>
    <w:rsid w:val="001C0501"/>
    <w:rsid w:val="001C1FAB"/>
    <w:rsid w:val="001C1FEA"/>
    <w:rsid w:val="001C26E4"/>
    <w:rsid w:val="001C3848"/>
    <w:rsid w:val="001C3F02"/>
    <w:rsid w:val="001C3F42"/>
    <w:rsid w:val="001C443C"/>
    <w:rsid w:val="001C45A3"/>
    <w:rsid w:val="001C46FA"/>
    <w:rsid w:val="001C5ECA"/>
    <w:rsid w:val="001C6196"/>
    <w:rsid w:val="001C6647"/>
    <w:rsid w:val="001C6707"/>
    <w:rsid w:val="001C68D3"/>
    <w:rsid w:val="001C6FC2"/>
    <w:rsid w:val="001C77D3"/>
    <w:rsid w:val="001C7F17"/>
    <w:rsid w:val="001D037C"/>
    <w:rsid w:val="001D132A"/>
    <w:rsid w:val="001D17D5"/>
    <w:rsid w:val="001D27D0"/>
    <w:rsid w:val="001D2DEA"/>
    <w:rsid w:val="001D3302"/>
    <w:rsid w:val="001D50AE"/>
    <w:rsid w:val="001D58CF"/>
    <w:rsid w:val="001D5BBA"/>
    <w:rsid w:val="001D6637"/>
    <w:rsid w:val="001D6BF8"/>
    <w:rsid w:val="001D6C77"/>
    <w:rsid w:val="001D70F9"/>
    <w:rsid w:val="001D734F"/>
    <w:rsid w:val="001D737D"/>
    <w:rsid w:val="001E27D7"/>
    <w:rsid w:val="001E30B8"/>
    <w:rsid w:val="001E38B6"/>
    <w:rsid w:val="001E3D39"/>
    <w:rsid w:val="001E3EA0"/>
    <w:rsid w:val="001E4064"/>
    <w:rsid w:val="001E49BA"/>
    <w:rsid w:val="001E4D5E"/>
    <w:rsid w:val="001E53A4"/>
    <w:rsid w:val="001E547F"/>
    <w:rsid w:val="001E549E"/>
    <w:rsid w:val="001E5CE0"/>
    <w:rsid w:val="001E5DB0"/>
    <w:rsid w:val="001E5DB2"/>
    <w:rsid w:val="001E6DB2"/>
    <w:rsid w:val="001E6FF7"/>
    <w:rsid w:val="001E7A69"/>
    <w:rsid w:val="001F0065"/>
    <w:rsid w:val="001F0BD3"/>
    <w:rsid w:val="001F0E7E"/>
    <w:rsid w:val="001F1513"/>
    <w:rsid w:val="001F1B25"/>
    <w:rsid w:val="001F2429"/>
    <w:rsid w:val="001F2494"/>
    <w:rsid w:val="001F2548"/>
    <w:rsid w:val="001F2954"/>
    <w:rsid w:val="001F2D6B"/>
    <w:rsid w:val="001F357D"/>
    <w:rsid w:val="001F38D5"/>
    <w:rsid w:val="001F415B"/>
    <w:rsid w:val="001F4821"/>
    <w:rsid w:val="001F5207"/>
    <w:rsid w:val="001F56C0"/>
    <w:rsid w:val="001F6790"/>
    <w:rsid w:val="001F7206"/>
    <w:rsid w:val="001F74A8"/>
    <w:rsid w:val="001F76B2"/>
    <w:rsid w:val="00200133"/>
    <w:rsid w:val="00200304"/>
    <w:rsid w:val="0020049F"/>
    <w:rsid w:val="0020118A"/>
    <w:rsid w:val="002014FC"/>
    <w:rsid w:val="00201AA8"/>
    <w:rsid w:val="00201C87"/>
    <w:rsid w:val="00201DD3"/>
    <w:rsid w:val="0020227A"/>
    <w:rsid w:val="00202B0B"/>
    <w:rsid w:val="00203C1E"/>
    <w:rsid w:val="002044B5"/>
    <w:rsid w:val="00204D11"/>
    <w:rsid w:val="00205070"/>
    <w:rsid w:val="00205588"/>
    <w:rsid w:val="00205A08"/>
    <w:rsid w:val="00205A0B"/>
    <w:rsid w:val="002062E5"/>
    <w:rsid w:val="00206899"/>
    <w:rsid w:val="00207498"/>
    <w:rsid w:val="0021034C"/>
    <w:rsid w:val="00210CD3"/>
    <w:rsid w:val="00210EC0"/>
    <w:rsid w:val="00211073"/>
    <w:rsid w:val="0021135A"/>
    <w:rsid w:val="00211EAA"/>
    <w:rsid w:val="0021212D"/>
    <w:rsid w:val="00212146"/>
    <w:rsid w:val="0021295A"/>
    <w:rsid w:val="00214AF7"/>
    <w:rsid w:val="00214B95"/>
    <w:rsid w:val="00215378"/>
    <w:rsid w:val="0021577A"/>
    <w:rsid w:val="00215BEE"/>
    <w:rsid w:val="00215E26"/>
    <w:rsid w:val="00216DBA"/>
    <w:rsid w:val="002171D4"/>
    <w:rsid w:val="002172A0"/>
    <w:rsid w:val="00217856"/>
    <w:rsid w:val="00220D81"/>
    <w:rsid w:val="00220FCB"/>
    <w:rsid w:val="0022116E"/>
    <w:rsid w:val="0022143C"/>
    <w:rsid w:val="00222A23"/>
    <w:rsid w:val="002232B2"/>
    <w:rsid w:val="002239E4"/>
    <w:rsid w:val="00224006"/>
    <w:rsid w:val="00224258"/>
    <w:rsid w:val="002242F4"/>
    <w:rsid w:val="0022485A"/>
    <w:rsid w:val="002258A3"/>
    <w:rsid w:val="00226BE3"/>
    <w:rsid w:val="00226FC0"/>
    <w:rsid w:val="00227435"/>
    <w:rsid w:val="0023002D"/>
    <w:rsid w:val="00230242"/>
    <w:rsid w:val="00230349"/>
    <w:rsid w:val="00230439"/>
    <w:rsid w:val="00230578"/>
    <w:rsid w:val="00230B35"/>
    <w:rsid w:val="002320D9"/>
    <w:rsid w:val="002326C0"/>
    <w:rsid w:val="00232C29"/>
    <w:rsid w:val="00233790"/>
    <w:rsid w:val="00234019"/>
    <w:rsid w:val="002342A3"/>
    <w:rsid w:val="00234410"/>
    <w:rsid w:val="002344E1"/>
    <w:rsid w:val="002348BF"/>
    <w:rsid w:val="00234BD0"/>
    <w:rsid w:val="0023503C"/>
    <w:rsid w:val="00235538"/>
    <w:rsid w:val="00235686"/>
    <w:rsid w:val="00235E3F"/>
    <w:rsid w:val="00236126"/>
    <w:rsid w:val="0023636A"/>
    <w:rsid w:val="00236380"/>
    <w:rsid w:val="00236BEF"/>
    <w:rsid w:val="00236C18"/>
    <w:rsid w:val="00236C37"/>
    <w:rsid w:val="00237810"/>
    <w:rsid w:val="002401F1"/>
    <w:rsid w:val="00241335"/>
    <w:rsid w:val="00242193"/>
    <w:rsid w:val="00242910"/>
    <w:rsid w:val="00242A20"/>
    <w:rsid w:val="002434E9"/>
    <w:rsid w:val="00244150"/>
    <w:rsid w:val="002447A5"/>
    <w:rsid w:val="00245DF1"/>
    <w:rsid w:val="00246622"/>
    <w:rsid w:val="00246BD4"/>
    <w:rsid w:val="00247ACB"/>
    <w:rsid w:val="00250EAC"/>
    <w:rsid w:val="00250F59"/>
    <w:rsid w:val="00251B05"/>
    <w:rsid w:val="00251E54"/>
    <w:rsid w:val="00252A5A"/>
    <w:rsid w:val="00252AED"/>
    <w:rsid w:val="00252CE6"/>
    <w:rsid w:val="002532CB"/>
    <w:rsid w:val="002535B6"/>
    <w:rsid w:val="002538A3"/>
    <w:rsid w:val="00254F74"/>
    <w:rsid w:val="0025528B"/>
    <w:rsid w:val="002558D0"/>
    <w:rsid w:val="0025669D"/>
    <w:rsid w:val="00256C37"/>
    <w:rsid w:val="00260078"/>
    <w:rsid w:val="0026088C"/>
    <w:rsid w:val="002611EA"/>
    <w:rsid w:val="002620EF"/>
    <w:rsid w:val="00262936"/>
    <w:rsid w:val="0026351A"/>
    <w:rsid w:val="0026390E"/>
    <w:rsid w:val="002639FE"/>
    <w:rsid w:val="00263D98"/>
    <w:rsid w:val="00264137"/>
    <w:rsid w:val="00265715"/>
    <w:rsid w:val="00265D18"/>
    <w:rsid w:val="0026680E"/>
    <w:rsid w:val="0026728B"/>
    <w:rsid w:val="0026789F"/>
    <w:rsid w:val="002678D6"/>
    <w:rsid w:val="00267D33"/>
    <w:rsid w:val="0026FE57"/>
    <w:rsid w:val="0027000F"/>
    <w:rsid w:val="00270704"/>
    <w:rsid w:val="0027159A"/>
    <w:rsid w:val="00272BDB"/>
    <w:rsid w:val="00273D1C"/>
    <w:rsid w:val="00273E5A"/>
    <w:rsid w:val="002757D6"/>
    <w:rsid w:val="00275FE6"/>
    <w:rsid w:val="002766D6"/>
    <w:rsid w:val="00276D06"/>
    <w:rsid w:val="00277254"/>
    <w:rsid w:val="00277397"/>
    <w:rsid w:val="00277E6E"/>
    <w:rsid w:val="00281313"/>
    <w:rsid w:val="00281D9E"/>
    <w:rsid w:val="002831DF"/>
    <w:rsid w:val="0028379D"/>
    <w:rsid w:val="0028391A"/>
    <w:rsid w:val="002839C8"/>
    <w:rsid w:val="002840F4"/>
    <w:rsid w:val="00284E06"/>
    <w:rsid w:val="00285A06"/>
    <w:rsid w:val="00285AB3"/>
    <w:rsid w:val="00287E54"/>
    <w:rsid w:val="00287F1A"/>
    <w:rsid w:val="00287F99"/>
    <w:rsid w:val="002905AF"/>
    <w:rsid w:val="00290899"/>
    <w:rsid w:val="00290979"/>
    <w:rsid w:val="00291028"/>
    <w:rsid w:val="00291A93"/>
    <w:rsid w:val="00291B00"/>
    <w:rsid w:val="00293F2D"/>
    <w:rsid w:val="002946FB"/>
    <w:rsid w:val="002951B5"/>
    <w:rsid w:val="002954B2"/>
    <w:rsid w:val="00297111"/>
    <w:rsid w:val="00297A63"/>
    <w:rsid w:val="002A17C0"/>
    <w:rsid w:val="002A1D3D"/>
    <w:rsid w:val="002A22E4"/>
    <w:rsid w:val="002A2732"/>
    <w:rsid w:val="002A2864"/>
    <w:rsid w:val="002A3069"/>
    <w:rsid w:val="002A3951"/>
    <w:rsid w:val="002A48D8"/>
    <w:rsid w:val="002A4E8C"/>
    <w:rsid w:val="002A58AD"/>
    <w:rsid w:val="002A64B9"/>
    <w:rsid w:val="002A6569"/>
    <w:rsid w:val="002A750B"/>
    <w:rsid w:val="002A792B"/>
    <w:rsid w:val="002A7B26"/>
    <w:rsid w:val="002A7C8E"/>
    <w:rsid w:val="002B018F"/>
    <w:rsid w:val="002B061A"/>
    <w:rsid w:val="002B0DAC"/>
    <w:rsid w:val="002B0DC3"/>
    <w:rsid w:val="002B17CE"/>
    <w:rsid w:val="002B1BD5"/>
    <w:rsid w:val="002B3067"/>
    <w:rsid w:val="002B3649"/>
    <w:rsid w:val="002B40C9"/>
    <w:rsid w:val="002B4289"/>
    <w:rsid w:val="002B42B8"/>
    <w:rsid w:val="002B4AFE"/>
    <w:rsid w:val="002B571B"/>
    <w:rsid w:val="002B59EC"/>
    <w:rsid w:val="002B5A0D"/>
    <w:rsid w:val="002B608D"/>
    <w:rsid w:val="002B6958"/>
    <w:rsid w:val="002B6D57"/>
    <w:rsid w:val="002B725B"/>
    <w:rsid w:val="002C06AD"/>
    <w:rsid w:val="002C1359"/>
    <w:rsid w:val="002C1610"/>
    <w:rsid w:val="002C1AFC"/>
    <w:rsid w:val="002C1B1F"/>
    <w:rsid w:val="002C3E44"/>
    <w:rsid w:val="002C4A37"/>
    <w:rsid w:val="002C4DC6"/>
    <w:rsid w:val="002C6047"/>
    <w:rsid w:val="002CCA0F"/>
    <w:rsid w:val="002CDC45"/>
    <w:rsid w:val="002D0A4E"/>
    <w:rsid w:val="002D17C0"/>
    <w:rsid w:val="002D1D4F"/>
    <w:rsid w:val="002D224E"/>
    <w:rsid w:val="002D255C"/>
    <w:rsid w:val="002D2604"/>
    <w:rsid w:val="002D39DB"/>
    <w:rsid w:val="002D3E1A"/>
    <w:rsid w:val="002D4212"/>
    <w:rsid w:val="002D4587"/>
    <w:rsid w:val="002D529F"/>
    <w:rsid w:val="002D579C"/>
    <w:rsid w:val="002D5DA8"/>
    <w:rsid w:val="002D6547"/>
    <w:rsid w:val="002DAFAB"/>
    <w:rsid w:val="002E037D"/>
    <w:rsid w:val="002E0E9B"/>
    <w:rsid w:val="002E14C9"/>
    <w:rsid w:val="002E2369"/>
    <w:rsid w:val="002E28BB"/>
    <w:rsid w:val="002E2F4A"/>
    <w:rsid w:val="002E549B"/>
    <w:rsid w:val="002E581F"/>
    <w:rsid w:val="002E5E58"/>
    <w:rsid w:val="002E5FE5"/>
    <w:rsid w:val="002E685B"/>
    <w:rsid w:val="002E6D96"/>
    <w:rsid w:val="002E6E5A"/>
    <w:rsid w:val="002E6FAE"/>
    <w:rsid w:val="002E766F"/>
    <w:rsid w:val="002E784B"/>
    <w:rsid w:val="002E7C4C"/>
    <w:rsid w:val="002E7D3B"/>
    <w:rsid w:val="002F020F"/>
    <w:rsid w:val="002F1B15"/>
    <w:rsid w:val="002F2239"/>
    <w:rsid w:val="002F3650"/>
    <w:rsid w:val="002F36E3"/>
    <w:rsid w:val="002F3FBC"/>
    <w:rsid w:val="002F4103"/>
    <w:rsid w:val="002F5163"/>
    <w:rsid w:val="002F526E"/>
    <w:rsid w:val="002F5546"/>
    <w:rsid w:val="002F558F"/>
    <w:rsid w:val="002F6016"/>
    <w:rsid w:val="002F602D"/>
    <w:rsid w:val="002F6479"/>
    <w:rsid w:val="002F6C70"/>
    <w:rsid w:val="002F77B5"/>
    <w:rsid w:val="002F7BBC"/>
    <w:rsid w:val="0030012F"/>
    <w:rsid w:val="003004C4"/>
    <w:rsid w:val="00301C7F"/>
    <w:rsid w:val="00301CB9"/>
    <w:rsid w:val="00301E32"/>
    <w:rsid w:val="00301F17"/>
    <w:rsid w:val="00302017"/>
    <w:rsid w:val="00302132"/>
    <w:rsid w:val="00302635"/>
    <w:rsid w:val="00302A13"/>
    <w:rsid w:val="00303351"/>
    <w:rsid w:val="00303DE8"/>
    <w:rsid w:val="003044EC"/>
    <w:rsid w:val="0030450D"/>
    <w:rsid w:val="00305966"/>
    <w:rsid w:val="00305CBC"/>
    <w:rsid w:val="00306DA6"/>
    <w:rsid w:val="00306F8B"/>
    <w:rsid w:val="0030764A"/>
    <w:rsid w:val="003079EC"/>
    <w:rsid w:val="00307AFF"/>
    <w:rsid w:val="003104D7"/>
    <w:rsid w:val="00310617"/>
    <w:rsid w:val="00310D8A"/>
    <w:rsid w:val="00311851"/>
    <w:rsid w:val="003118DD"/>
    <w:rsid w:val="00311B77"/>
    <w:rsid w:val="00313DE0"/>
    <w:rsid w:val="003145E7"/>
    <w:rsid w:val="0031461A"/>
    <w:rsid w:val="003147BB"/>
    <w:rsid w:val="00316B13"/>
    <w:rsid w:val="00320F01"/>
    <w:rsid w:val="0032152E"/>
    <w:rsid w:val="00322321"/>
    <w:rsid w:val="003235FD"/>
    <w:rsid w:val="00324264"/>
    <w:rsid w:val="00324AD4"/>
    <w:rsid w:val="00324DDA"/>
    <w:rsid w:val="003252C3"/>
    <w:rsid w:val="00325416"/>
    <w:rsid w:val="00325B3B"/>
    <w:rsid w:val="003262BE"/>
    <w:rsid w:val="00326424"/>
    <w:rsid w:val="00326B3F"/>
    <w:rsid w:val="00326DF0"/>
    <w:rsid w:val="0032732A"/>
    <w:rsid w:val="003275E8"/>
    <w:rsid w:val="0033019D"/>
    <w:rsid w:val="0033022D"/>
    <w:rsid w:val="00330F53"/>
    <w:rsid w:val="0033244E"/>
    <w:rsid w:val="00332BF3"/>
    <w:rsid w:val="003337A2"/>
    <w:rsid w:val="00333FAF"/>
    <w:rsid w:val="00334DEA"/>
    <w:rsid w:val="00335366"/>
    <w:rsid w:val="00336CBC"/>
    <w:rsid w:val="00337835"/>
    <w:rsid w:val="00337953"/>
    <w:rsid w:val="0033795F"/>
    <w:rsid w:val="00340046"/>
    <w:rsid w:val="0034010C"/>
    <w:rsid w:val="00340342"/>
    <w:rsid w:val="00341433"/>
    <w:rsid w:val="003419FC"/>
    <w:rsid w:val="00342334"/>
    <w:rsid w:val="00342AE8"/>
    <w:rsid w:val="003434E9"/>
    <w:rsid w:val="00343512"/>
    <w:rsid w:val="0034359E"/>
    <w:rsid w:val="003435EF"/>
    <w:rsid w:val="00343636"/>
    <w:rsid w:val="00343A95"/>
    <w:rsid w:val="00343B07"/>
    <w:rsid w:val="00343D47"/>
    <w:rsid w:val="00344EE5"/>
    <w:rsid w:val="0034506C"/>
    <w:rsid w:val="00345480"/>
    <w:rsid w:val="00346827"/>
    <w:rsid w:val="00346A37"/>
    <w:rsid w:val="00346B12"/>
    <w:rsid w:val="00346BBA"/>
    <w:rsid w:val="00347204"/>
    <w:rsid w:val="00347A51"/>
    <w:rsid w:val="00347EA2"/>
    <w:rsid w:val="00347F23"/>
    <w:rsid w:val="003501A0"/>
    <w:rsid w:val="00350439"/>
    <w:rsid w:val="003506B9"/>
    <w:rsid w:val="003506DF"/>
    <w:rsid w:val="00351824"/>
    <w:rsid w:val="00351DA1"/>
    <w:rsid w:val="003520DA"/>
    <w:rsid w:val="00353158"/>
    <w:rsid w:val="003534EE"/>
    <w:rsid w:val="003539D2"/>
    <w:rsid w:val="003540C4"/>
    <w:rsid w:val="00354E31"/>
    <w:rsid w:val="00354E60"/>
    <w:rsid w:val="003552BC"/>
    <w:rsid w:val="003561D0"/>
    <w:rsid w:val="00356653"/>
    <w:rsid w:val="0035700F"/>
    <w:rsid w:val="00357572"/>
    <w:rsid w:val="00357C0B"/>
    <w:rsid w:val="003602DD"/>
    <w:rsid w:val="0036194E"/>
    <w:rsid w:val="003633CF"/>
    <w:rsid w:val="00363D8F"/>
    <w:rsid w:val="00363E36"/>
    <w:rsid w:val="003646DC"/>
    <w:rsid w:val="003649BD"/>
    <w:rsid w:val="00365C71"/>
    <w:rsid w:val="003662A4"/>
    <w:rsid w:val="00366AA1"/>
    <w:rsid w:val="00366C89"/>
    <w:rsid w:val="00367FBD"/>
    <w:rsid w:val="00370887"/>
    <w:rsid w:val="003710D2"/>
    <w:rsid w:val="0037157E"/>
    <w:rsid w:val="00371863"/>
    <w:rsid w:val="00371AA6"/>
    <w:rsid w:val="00371C81"/>
    <w:rsid w:val="003722A4"/>
    <w:rsid w:val="00372767"/>
    <w:rsid w:val="00372BFC"/>
    <w:rsid w:val="003731CB"/>
    <w:rsid w:val="0037350E"/>
    <w:rsid w:val="00373E43"/>
    <w:rsid w:val="0037486A"/>
    <w:rsid w:val="00374874"/>
    <w:rsid w:val="003748A5"/>
    <w:rsid w:val="00374B1D"/>
    <w:rsid w:val="00375663"/>
    <w:rsid w:val="00375E3D"/>
    <w:rsid w:val="00375E6A"/>
    <w:rsid w:val="00377BBB"/>
    <w:rsid w:val="0037ABAC"/>
    <w:rsid w:val="0037EC76"/>
    <w:rsid w:val="00380258"/>
    <w:rsid w:val="00380AF7"/>
    <w:rsid w:val="00380CEF"/>
    <w:rsid w:val="00381124"/>
    <w:rsid w:val="00381967"/>
    <w:rsid w:val="00381FF7"/>
    <w:rsid w:val="00382448"/>
    <w:rsid w:val="00382A4C"/>
    <w:rsid w:val="00382EEE"/>
    <w:rsid w:val="00383744"/>
    <w:rsid w:val="00384108"/>
    <w:rsid w:val="00384A6E"/>
    <w:rsid w:val="00384B9A"/>
    <w:rsid w:val="00385AF1"/>
    <w:rsid w:val="00385DEC"/>
    <w:rsid w:val="003873F3"/>
    <w:rsid w:val="00387B17"/>
    <w:rsid w:val="003900AD"/>
    <w:rsid w:val="0039095E"/>
    <w:rsid w:val="003910EF"/>
    <w:rsid w:val="00391655"/>
    <w:rsid w:val="003919BB"/>
    <w:rsid w:val="00391F58"/>
    <w:rsid w:val="003922A7"/>
    <w:rsid w:val="00392467"/>
    <w:rsid w:val="00392477"/>
    <w:rsid w:val="00392B6D"/>
    <w:rsid w:val="00393146"/>
    <w:rsid w:val="003933B9"/>
    <w:rsid w:val="003961C8"/>
    <w:rsid w:val="003966EA"/>
    <w:rsid w:val="00396766"/>
    <w:rsid w:val="00396E00"/>
    <w:rsid w:val="003A016D"/>
    <w:rsid w:val="003A07A0"/>
    <w:rsid w:val="003A0A1B"/>
    <w:rsid w:val="003A0A88"/>
    <w:rsid w:val="003A12AC"/>
    <w:rsid w:val="003A1ABB"/>
    <w:rsid w:val="003A1BFF"/>
    <w:rsid w:val="003A2660"/>
    <w:rsid w:val="003A33A3"/>
    <w:rsid w:val="003A3E13"/>
    <w:rsid w:val="003A4B7E"/>
    <w:rsid w:val="003A53A3"/>
    <w:rsid w:val="003A5A56"/>
    <w:rsid w:val="003A5DF8"/>
    <w:rsid w:val="003A6057"/>
    <w:rsid w:val="003A686A"/>
    <w:rsid w:val="003A6AD8"/>
    <w:rsid w:val="003A6BDE"/>
    <w:rsid w:val="003A6DEE"/>
    <w:rsid w:val="003A7ABF"/>
    <w:rsid w:val="003ADE7D"/>
    <w:rsid w:val="003B05AA"/>
    <w:rsid w:val="003B0829"/>
    <w:rsid w:val="003B09DB"/>
    <w:rsid w:val="003B0A0B"/>
    <w:rsid w:val="003B0C04"/>
    <w:rsid w:val="003B12EF"/>
    <w:rsid w:val="003B21CB"/>
    <w:rsid w:val="003B22E3"/>
    <w:rsid w:val="003B2F74"/>
    <w:rsid w:val="003B3791"/>
    <w:rsid w:val="003B41C5"/>
    <w:rsid w:val="003B4CEA"/>
    <w:rsid w:val="003B4CFB"/>
    <w:rsid w:val="003B5828"/>
    <w:rsid w:val="003B643A"/>
    <w:rsid w:val="003B670C"/>
    <w:rsid w:val="003B6C9B"/>
    <w:rsid w:val="003B6EFE"/>
    <w:rsid w:val="003C05B3"/>
    <w:rsid w:val="003C0723"/>
    <w:rsid w:val="003C0739"/>
    <w:rsid w:val="003C0E2C"/>
    <w:rsid w:val="003C2375"/>
    <w:rsid w:val="003C293D"/>
    <w:rsid w:val="003C39A2"/>
    <w:rsid w:val="003C3C2C"/>
    <w:rsid w:val="003C5475"/>
    <w:rsid w:val="003C583E"/>
    <w:rsid w:val="003C7100"/>
    <w:rsid w:val="003C7507"/>
    <w:rsid w:val="003C75F1"/>
    <w:rsid w:val="003C7AAB"/>
    <w:rsid w:val="003D05AC"/>
    <w:rsid w:val="003D0E4F"/>
    <w:rsid w:val="003D1001"/>
    <w:rsid w:val="003D16EB"/>
    <w:rsid w:val="003D2294"/>
    <w:rsid w:val="003D3088"/>
    <w:rsid w:val="003D31BD"/>
    <w:rsid w:val="003D3B46"/>
    <w:rsid w:val="003D416E"/>
    <w:rsid w:val="003D4212"/>
    <w:rsid w:val="003D4FBB"/>
    <w:rsid w:val="003D584D"/>
    <w:rsid w:val="003D627D"/>
    <w:rsid w:val="003D724F"/>
    <w:rsid w:val="003D7833"/>
    <w:rsid w:val="003DA6FD"/>
    <w:rsid w:val="003E0874"/>
    <w:rsid w:val="003E099F"/>
    <w:rsid w:val="003E1809"/>
    <w:rsid w:val="003E18F8"/>
    <w:rsid w:val="003E2DB0"/>
    <w:rsid w:val="003E2E40"/>
    <w:rsid w:val="003E32DB"/>
    <w:rsid w:val="003E41FE"/>
    <w:rsid w:val="003E52C4"/>
    <w:rsid w:val="003E632D"/>
    <w:rsid w:val="003E6BB8"/>
    <w:rsid w:val="003E6F93"/>
    <w:rsid w:val="003E7067"/>
    <w:rsid w:val="003E74E3"/>
    <w:rsid w:val="003E7676"/>
    <w:rsid w:val="003E78A1"/>
    <w:rsid w:val="003E7951"/>
    <w:rsid w:val="003E7A44"/>
    <w:rsid w:val="003F0050"/>
    <w:rsid w:val="003F041C"/>
    <w:rsid w:val="003F07B5"/>
    <w:rsid w:val="003F14E7"/>
    <w:rsid w:val="003F1634"/>
    <w:rsid w:val="003F17FB"/>
    <w:rsid w:val="003F1837"/>
    <w:rsid w:val="003F2033"/>
    <w:rsid w:val="003F324D"/>
    <w:rsid w:val="003F372D"/>
    <w:rsid w:val="003F3998"/>
    <w:rsid w:val="003F438D"/>
    <w:rsid w:val="003F43AE"/>
    <w:rsid w:val="003F45A4"/>
    <w:rsid w:val="003F5DC6"/>
    <w:rsid w:val="003F6461"/>
    <w:rsid w:val="003F64DE"/>
    <w:rsid w:val="003F69A0"/>
    <w:rsid w:val="003F6AA5"/>
    <w:rsid w:val="003F6CBB"/>
    <w:rsid w:val="003F715E"/>
    <w:rsid w:val="003F71B4"/>
    <w:rsid w:val="003F7278"/>
    <w:rsid w:val="003F7686"/>
    <w:rsid w:val="003F7877"/>
    <w:rsid w:val="00400921"/>
    <w:rsid w:val="00401104"/>
    <w:rsid w:val="0040216F"/>
    <w:rsid w:val="0040389E"/>
    <w:rsid w:val="00404207"/>
    <w:rsid w:val="004043A2"/>
    <w:rsid w:val="004067F5"/>
    <w:rsid w:val="00407533"/>
    <w:rsid w:val="00407A59"/>
    <w:rsid w:val="0040B140"/>
    <w:rsid w:val="004104A5"/>
    <w:rsid w:val="004109FE"/>
    <w:rsid w:val="00410AB1"/>
    <w:rsid w:val="004112D5"/>
    <w:rsid w:val="0041143E"/>
    <w:rsid w:val="00411F1C"/>
    <w:rsid w:val="004122F2"/>
    <w:rsid w:val="0041245B"/>
    <w:rsid w:val="00412A65"/>
    <w:rsid w:val="00412A69"/>
    <w:rsid w:val="00412CEB"/>
    <w:rsid w:val="0041316D"/>
    <w:rsid w:val="004133C6"/>
    <w:rsid w:val="0041439C"/>
    <w:rsid w:val="00415314"/>
    <w:rsid w:val="0041771E"/>
    <w:rsid w:val="00417FE9"/>
    <w:rsid w:val="00420177"/>
    <w:rsid w:val="004201FA"/>
    <w:rsid w:val="004205D1"/>
    <w:rsid w:val="00421048"/>
    <w:rsid w:val="00421303"/>
    <w:rsid w:val="00421511"/>
    <w:rsid w:val="0042174F"/>
    <w:rsid w:val="0042250D"/>
    <w:rsid w:val="00423171"/>
    <w:rsid w:val="0042325B"/>
    <w:rsid w:val="0042325F"/>
    <w:rsid w:val="0042450F"/>
    <w:rsid w:val="00424545"/>
    <w:rsid w:val="0042489A"/>
    <w:rsid w:val="004253DD"/>
    <w:rsid w:val="004261B9"/>
    <w:rsid w:val="0042667F"/>
    <w:rsid w:val="00426CAB"/>
    <w:rsid w:val="0042773B"/>
    <w:rsid w:val="00427CDC"/>
    <w:rsid w:val="00430728"/>
    <w:rsid w:val="00430A78"/>
    <w:rsid w:val="00430DB0"/>
    <w:rsid w:val="004317CD"/>
    <w:rsid w:val="00431CA4"/>
    <w:rsid w:val="00431F68"/>
    <w:rsid w:val="004331DC"/>
    <w:rsid w:val="00433469"/>
    <w:rsid w:val="004354A4"/>
    <w:rsid w:val="00435724"/>
    <w:rsid w:val="004364C0"/>
    <w:rsid w:val="00436F9E"/>
    <w:rsid w:val="00437281"/>
    <w:rsid w:val="00437497"/>
    <w:rsid w:val="004375DC"/>
    <w:rsid w:val="0044057A"/>
    <w:rsid w:val="00440B53"/>
    <w:rsid w:val="00440C00"/>
    <w:rsid w:val="00441240"/>
    <w:rsid w:val="004417A7"/>
    <w:rsid w:val="0044197D"/>
    <w:rsid w:val="00441FC5"/>
    <w:rsid w:val="0044508E"/>
    <w:rsid w:val="00445F00"/>
    <w:rsid w:val="00446473"/>
    <w:rsid w:val="00446B28"/>
    <w:rsid w:val="00446C95"/>
    <w:rsid w:val="00446D33"/>
    <w:rsid w:val="00450097"/>
    <w:rsid w:val="00450703"/>
    <w:rsid w:val="00450774"/>
    <w:rsid w:val="004510CC"/>
    <w:rsid w:val="00452251"/>
    <w:rsid w:val="0045344C"/>
    <w:rsid w:val="004535F0"/>
    <w:rsid w:val="004539E3"/>
    <w:rsid w:val="00453DCC"/>
    <w:rsid w:val="004540F8"/>
    <w:rsid w:val="00454CA3"/>
    <w:rsid w:val="00454CD9"/>
    <w:rsid w:val="00455352"/>
    <w:rsid w:val="0045593E"/>
    <w:rsid w:val="00455B06"/>
    <w:rsid w:val="00455EA6"/>
    <w:rsid w:val="0045610A"/>
    <w:rsid w:val="00456280"/>
    <w:rsid w:val="00457818"/>
    <w:rsid w:val="004603C0"/>
    <w:rsid w:val="00460BCF"/>
    <w:rsid w:val="004610FC"/>
    <w:rsid w:val="00461B51"/>
    <w:rsid w:val="0046230F"/>
    <w:rsid w:val="00462317"/>
    <w:rsid w:val="00462FF7"/>
    <w:rsid w:val="00463875"/>
    <w:rsid w:val="00463AC2"/>
    <w:rsid w:val="00464038"/>
    <w:rsid w:val="004652C1"/>
    <w:rsid w:val="00465506"/>
    <w:rsid w:val="004655B3"/>
    <w:rsid w:val="004661A2"/>
    <w:rsid w:val="004668B3"/>
    <w:rsid w:val="00466950"/>
    <w:rsid w:val="00466DBD"/>
    <w:rsid w:val="00466E06"/>
    <w:rsid w:val="00467C95"/>
    <w:rsid w:val="0047014E"/>
    <w:rsid w:val="0047052E"/>
    <w:rsid w:val="00471281"/>
    <w:rsid w:val="0047249B"/>
    <w:rsid w:val="004730A5"/>
    <w:rsid w:val="00473147"/>
    <w:rsid w:val="0047347C"/>
    <w:rsid w:val="00473B92"/>
    <w:rsid w:val="00473FAB"/>
    <w:rsid w:val="0047421B"/>
    <w:rsid w:val="00474932"/>
    <w:rsid w:val="00474E04"/>
    <w:rsid w:val="00475793"/>
    <w:rsid w:val="0047655D"/>
    <w:rsid w:val="004769CB"/>
    <w:rsid w:val="00477CAE"/>
    <w:rsid w:val="00480270"/>
    <w:rsid w:val="004805C2"/>
    <w:rsid w:val="00480970"/>
    <w:rsid w:val="00480D5F"/>
    <w:rsid w:val="004818A1"/>
    <w:rsid w:val="00482B94"/>
    <w:rsid w:val="004835E2"/>
    <w:rsid w:val="00483EB0"/>
    <w:rsid w:val="00484040"/>
    <w:rsid w:val="00484748"/>
    <w:rsid w:val="0048512F"/>
    <w:rsid w:val="00485775"/>
    <w:rsid w:val="0048720B"/>
    <w:rsid w:val="004874D6"/>
    <w:rsid w:val="00487C8B"/>
    <w:rsid w:val="00487C97"/>
    <w:rsid w:val="00490195"/>
    <w:rsid w:val="00490F71"/>
    <w:rsid w:val="00490FAC"/>
    <w:rsid w:val="00491CD0"/>
    <w:rsid w:val="00492149"/>
    <w:rsid w:val="0049248E"/>
    <w:rsid w:val="0049285C"/>
    <w:rsid w:val="00492BD3"/>
    <w:rsid w:val="004944ED"/>
    <w:rsid w:val="0049460F"/>
    <w:rsid w:val="004951C1"/>
    <w:rsid w:val="00495BEC"/>
    <w:rsid w:val="00495F54"/>
    <w:rsid w:val="00496220"/>
    <w:rsid w:val="00496799"/>
    <w:rsid w:val="004968A1"/>
    <w:rsid w:val="00496F13"/>
    <w:rsid w:val="004A0A8F"/>
    <w:rsid w:val="004A1A28"/>
    <w:rsid w:val="004A1F21"/>
    <w:rsid w:val="004A1F79"/>
    <w:rsid w:val="004A2067"/>
    <w:rsid w:val="004A3525"/>
    <w:rsid w:val="004A364A"/>
    <w:rsid w:val="004A3763"/>
    <w:rsid w:val="004A38CF"/>
    <w:rsid w:val="004A3975"/>
    <w:rsid w:val="004A3AEC"/>
    <w:rsid w:val="004A47CF"/>
    <w:rsid w:val="004A488D"/>
    <w:rsid w:val="004A48F0"/>
    <w:rsid w:val="004A49A6"/>
    <w:rsid w:val="004A4F3F"/>
    <w:rsid w:val="004A55FF"/>
    <w:rsid w:val="004A6EDA"/>
    <w:rsid w:val="004A77BC"/>
    <w:rsid w:val="004A796B"/>
    <w:rsid w:val="004A7B90"/>
    <w:rsid w:val="004A7DFC"/>
    <w:rsid w:val="004A7EFD"/>
    <w:rsid w:val="004B05C1"/>
    <w:rsid w:val="004B08ED"/>
    <w:rsid w:val="004B1778"/>
    <w:rsid w:val="004B1C41"/>
    <w:rsid w:val="004B21BF"/>
    <w:rsid w:val="004B2203"/>
    <w:rsid w:val="004B2D24"/>
    <w:rsid w:val="004B4134"/>
    <w:rsid w:val="004B4962"/>
    <w:rsid w:val="004B4B36"/>
    <w:rsid w:val="004B505A"/>
    <w:rsid w:val="004B5159"/>
    <w:rsid w:val="004B5224"/>
    <w:rsid w:val="004B5D00"/>
    <w:rsid w:val="004B5D82"/>
    <w:rsid w:val="004B5FE2"/>
    <w:rsid w:val="004B6CF2"/>
    <w:rsid w:val="004B75E0"/>
    <w:rsid w:val="004B79EF"/>
    <w:rsid w:val="004B7DD0"/>
    <w:rsid w:val="004C0273"/>
    <w:rsid w:val="004C0ADC"/>
    <w:rsid w:val="004C0B46"/>
    <w:rsid w:val="004C167E"/>
    <w:rsid w:val="004C16A6"/>
    <w:rsid w:val="004C1C83"/>
    <w:rsid w:val="004C1EBB"/>
    <w:rsid w:val="004C281C"/>
    <w:rsid w:val="004C3EDA"/>
    <w:rsid w:val="004C408F"/>
    <w:rsid w:val="004C4135"/>
    <w:rsid w:val="004C41ED"/>
    <w:rsid w:val="004C5D6D"/>
    <w:rsid w:val="004C67A9"/>
    <w:rsid w:val="004C699D"/>
    <w:rsid w:val="004C6F2B"/>
    <w:rsid w:val="004C77AB"/>
    <w:rsid w:val="004D0346"/>
    <w:rsid w:val="004D082E"/>
    <w:rsid w:val="004D11B7"/>
    <w:rsid w:val="004D12F5"/>
    <w:rsid w:val="004D12F6"/>
    <w:rsid w:val="004D1585"/>
    <w:rsid w:val="004D29D5"/>
    <w:rsid w:val="004D3847"/>
    <w:rsid w:val="004D3BB7"/>
    <w:rsid w:val="004D3FF4"/>
    <w:rsid w:val="004D400B"/>
    <w:rsid w:val="004D452C"/>
    <w:rsid w:val="004D4AEF"/>
    <w:rsid w:val="004D4CCE"/>
    <w:rsid w:val="004D5614"/>
    <w:rsid w:val="004D5AF0"/>
    <w:rsid w:val="004D5D61"/>
    <w:rsid w:val="004D5DE2"/>
    <w:rsid w:val="004D605D"/>
    <w:rsid w:val="004D60DB"/>
    <w:rsid w:val="004D729C"/>
    <w:rsid w:val="004E0E7A"/>
    <w:rsid w:val="004E3399"/>
    <w:rsid w:val="004E3528"/>
    <w:rsid w:val="004E3700"/>
    <w:rsid w:val="004E44AB"/>
    <w:rsid w:val="004E4633"/>
    <w:rsid w:val="004E4F0A"/>
    <w:rsid w:val="004E5BCF"/>
    <w:rsid w:val="004E5F2E"/>
    <w:rsid w:val="004E6B91"/>
    <w:rsid w:val="004E6DDA"/>
    <w:rsid w:val="004E74EB"/>
    <w:rsid w:val="004E78DC"/>
    <w:rsid w:val="004E7EBB"/>
    <w:rsid w:val="004F0218"/>
    <w:rsid w:val="004F06A9"/>
    <w:rsid w:val="004F0BF8"/>
    <w:rsid w:val="004F15D1"/>
    <w:rsid w:val="004F25E3"/>
    <w:rsid w:val="004F276D"/>
    <w:rsid w:val="004F2979"/>
    <w:rsid w:val="004F2E99"/>
    <w:rsid w:val="004F30BA"/>
    <w:rsid w:val="004F31B3"/>
    <w:rsid w:val="004F365B"/>
    <w:rsid w:val="004F3987"/>
    <w:rsid w:val="004F3C73"/>
    <w:rsid w:val="004F3CA3"/>
    <w:rsid w:val="004F42D1"/>
    <w:rsid w:val="004F4DF4"/>
    <w:rsid w:val="004F5282"/>
    <w:rsid w:val="004F5BF5"/>
    <w:rsid w:val="004F5F9F"/>
    <w:rsid w:val="004F601B"/>
    <w:rsid w:val="004F6536"/>
    <w:rsid w:val="004F7149"/>
    <w:rsid w:val="004F761F"/>
    <w:rsid w:val="004F7692"/>
    <w:rsid w:val="004F77DF"/>
    <w:rsid w:val="004F7A7B"/>
    <w:rsid w:val="004F7C0F"/>
    <w:rsid w:val="004FCB5E"/>
    <w:rsid w:val="00500864"/>
    <w:rsid w:val="00500E00"/>
    <w:rsid w:val="005018A0"/>
    <w:rsid w:val="005019F4"/>
    <w:rsid w:val="00501F12"/>
    <w:rsid w:val="00502101"/>
    <w:rsid w:val="005025CF"/>
    <w:rsid w:val="005026C4"/>
    <w:rsid w:val="00502715"/>
    <w:rsid w:val="00502A19"/>
    <w:rsid w:val="005035A5"/>
    <w:rsid w:val="00503C3A"/>
    <w:rsid w:val="00505AD7"/>
    <w:rsid w:val="00505D2F"/>
    <w:rsid w:val="00506199"/>
    <w:rsid w:val="005066D8"/>
    <w:rsid w:val="00506960"/>
    <w:rsid w:val="00506BD6"/>
    <w:rsid w:val="00506C46"/>
    <w:rsid w:val="005070BB"/>
    <w:rsid w:val="00507141"/>
    <w:rsid w:val="00507382"/>
    <w:rsid w:val="00510798"/>
    <w:rsid w:val="00510835"/>
    <w:rsid w:val="00510C39"/>
    <w:rsid w:val="005132C4"/>
    <w:rsid w:val="00514071"/>
    <w:rsid w:val="005150F3"/>
    <w:rsid w:val="00515448"/>
    <w:rsid w:val="00516849"/>
    <w:rsid w:val="00516F55"/>
    <w:rsid w:val="00517998"/>
    <w:rsid w:val="005201A3"/>
    <w:rsid w:val="00521E50"/>
    <w:rsid w:val="00523F84"/>
    <w:rsid w:val="005261DA"/>
    <w:rsid w:val="00526201"/>
    <w:rsid w:val="00526658"/>
    <w:rsid w:val="00527B02"/>
    <w:rsid w:val="00527B4D"/>
    <w:rsid w:val="00527E9A"/>
    <w:rsid w:val="00530E3C"/>
    <w:rsid w:val="00530E5F"/>
    <w:rsid w:val="00531824"/>
    <w:rsid w:val="00531EB2"/>
    <w:rsid w:val="00532CF4"/>
    <w:rsid w:val="00533E87"/>
    <w:rsid w:val="0053407C"/>
    <w:rsid w:val="00534DE2"/>
    <w:rsid w:val="00535197"/>
    <w:rsid w:val="005353E7"/>
    <w:rsid w:val="005355B6"/>
    <w:rsid w:val="00535782"/>
    <w:rsid w:val="005357EB"/>
    <w:rsid w:val="00535E7E"/>
    <w:rsid w:val="00536D31"/>
    <w:rsid w:val="00537377"/>
    <w:rsid w:val="005377A0"/>
    <w:rsid w:val="00540493"/>
    <w:rsid w:val="00540FFA"/>
    <w:rsid w:val="00541978"/>
    <w:rsid w:val="005426CD"/>
    <w:rsid w:val="0054299F"/>
    <w:rsid w:val="00542E39"/>
    <w:rsid w:val="005434D8"/>
    <w:rsid w:val="005441A1"/>
    <w:rsid w:val="005442DF"/>
    <w:rsid w:val="00544C3C"/>
    <w:rsid w:val="005450B2"/>
    <w:rsid w:val="005463F7"/>
    <w:rsid w:val="00546914"/>
    <w:rsid w:val="00546D6D"/>
    <w:rsid w:val="00547642"/>
    <w:rsid w:val="00550CE9"/>
    <w:rsid w:val="00551022"/>
    <w:rsid w:val="005512BE"/>
    <w:rsid w:val="005519B0"/>
    <w:rsid w:val="00551B67"/>
    <w:rsid w:val="00552275"/>
    <w:rsid w:val="00552A9B"/>
    <w:rsid w:val="00552D8B"/>
    <w:rsid w:val="00552F62"/>
    <w:rsid w:val="00553349"/>
    <w:rsid w:val="005534FC"/>
    <w:rsid w:val="0055394F"/>
    <w:rsid w:val="00553C99"/>
    <w:rsid w:val="00554775"/>
    <w:rsid w:val="00554F23"/>
    <w:rsid w:val="00555D1E"/>
    <w:rsid w:val="00555D20"/>
    <w:rsid w:val="00556108"/>
    <w:rsid w:val="0055618D"/>
    <w:rsid w:val="0055778B"/>
    <w:rsid w:val="0055787A"/>
    <w:rsid w:val="00557AE8"/>
    <w:rsid w:val="00557C55"/>
    <w:rsid w:val="00557D44"/>
    <w:rsid w:val="00560225"/>
    <w:rsid w:val="005608E8"/>
    <w:rsid w:val="005611FC"/>
    <w:rsid w:val="00561430"/>
    <w:rsid w:val="005616C2"/>
    <w:rsid w:val="0056237B"/>
    <w:rsid w:val="00562B67"/>
    <w:rsid w:val="00563E69"/>
    <w:rsid w:val="00563EF9"/>
    <w:rsid w:val="0056419F"/>
    <w:rsid w:val="0056453A"/>
    <w:rsid w:val="00564B39"/>
    <w:rsid w:val="00564D6C"/>
    <w:rsid w:val="00564F3A"/>
    <w:rsid w:val="00565AC7"/>
    <w:rsid w:val="00565DDE"/>
    <w:rsid w:val="00565E6E"/>
    <w:rsid w:val="00566215"/>
    <w:rsid w:val="0056646E"/>
    <w:rsid w:val="005664A1"/>
    <w:rsid w:val="0056666B"/>
    <w:rsid w:val="005667E7"/>
    <w:rsid w:val="0056708B"/>
    <w:rsid w:val="00567276"/>
    <w:rsid w:val="0056745A"/>
    <w:rsid w:val="00567EE1"/>
    <w:rsid w:val="005700F6"/>
    <w:rsid w:val="005708BA"/>
    <w:rsid w:val="00570AC7"/>
    <w:rsid w:val="00570ADC"/>
    <w:rsid w:val="00571F36"/>
    <w:rsid w:val="00572DC7"/>
    <w:rsid w:val="005737E3"/>
    <w:rsid w:val="00573C44"/>
    <w:rsid w:val="00574318"/>
    <w:rsid w:val="005743DB"/>
    <w:rsid w:val="005747C9"/>
    <w:rsid w:val="00574CCB"/>
    <w:rsid w:val="00574EF4"/>
    <w:rsid w:val="005760F1"/>
    <w:rsid w:val="00576CDC"/>
    <w:rsid w:val="00577554"/>
    <w:rsid w:val="005776B8"/>
    <w:rsid w:val="005778FD"/>
    <w:rsid w:val="0058002C"/>
    <w:rsid w:val="00580175"/>
    <w:rsid w:val="00581061"/>
    <w:rsid w:val="00581543"/>
    <w:rsid w:val="0058223A"/>
    <w:rsid w:val="0058229B"/>
    <w:rsid w:val="0058239C"/>
    <w:rsid w:val="005834AF"/>
    <w:rsid w:val="005834F3"/>
    <w:rsid w:val="0058353E"/>
    <w:rsid w:val="00583911"/>
    <w:rsid w:val="0058454F"/>
    <w:rsid w:val="00584679"/>
    <w:rsid w:val="0058476C"/>
    <w:rsid w:val="00584C2A"/>
    <w:rsid w:val="0058530A"/>
    <w:rsid w:val="005858F8"/>
    <w:rsid w:val="0058592A"/>
    <w:rsid w:val="005859B7"/>
    <w:rsid w:val="0058651D"/>
    <w:rsid w:val="0058693B"/>
    <w:rsid w:val="00586F25"/>
    <w:rsid w:val="00587281"/>
    <w:rsid w:val="00587659"/>
    <w:rsid w:val="00587689"/>
    <w:rsid w:val="00587F2F"/>
    <w:rsid w:val="00590341"/>
    <w:rsid w:val="005903E6"/>
    <w:rsid w:val="005906F8"/>
    <w:rsid w:val="00590D23"/>
    <w:rsid w:val="00591CBD"/>
    <w:rsid w:val="00591D2D"/>
    <w:rsid w:val="00591D6B"/>
    <w:rsid w:val="00591F12"/>
    <w:rsid w:val="00592597"/>
    <w:rsid w:val="00592A58"/>
    <w:rsid w:val="00593624"/>
    <w:rsid w:val="00596197"/>
    <w:rsid w:val="005962F2"/>
    <w:rsid w:val="00596F5C"/>
    <w:rsid w:val="0059707C"/>
    <w:rsid w:val="0059769A"/>
    <w:rsid w:val="00597FF4"/>
    <w:rsid w:val="005A0515"/>
    <w:rsid w:val="005A08A6"/>
    <w:rsid w:val="005A0E53"/>
    <w:rsid w:val="005A1155"/>
    <w:rsid w:val="005A1324"/>
    <w:rsid w:val="005A2058"/>
    <w:rsid w:val="005A20D3"/>
    <w:rsid w:val="005A26A4"/>
    <w:rsid w:val="005A2809"/>
    <w:rsid w:val="005A2C54"/>
    <w:rsid w:val="005A38CC"/>
    <w:rsid w:val="005A3EB8"/>
    <w:rsid w:val="005A40FD"/>
    <w:rsid w:val="005A43BF"/>
    <w:rsid w:val="005A4483"/>
    <w:rsid w:val="005A475B"/>
    <w:rsid w:val="005A4A44"/>
    <w:rsid w:val="005A4C3E"/>
    <w:rsid w:val="005A4CB3"/>
    <w:rsid w:val="005A4F8D"/>
    <w:rsid w:val="005A584C"/>
    <w:rsid w:val="005A59CB"/>
    <w:rsid w:val="005A6214"/>
    <w:rsid w:val="005A6D90"/>
    <w:rsid w:val="005A6E23"/>
    <w:rsid w:val="005A6EC0"/>
    <w:rsid w:val="005A7182"/>
    <w:rsid w:val="005A772F"/>
    <w:rsid w:val="005A7800"/>
    <w:rsid w:val="005A7A24"/>
    <w:rsid w:val="005A7B67"/>
    <w:rsid w:val="005A7E98"/>
    <w:rsid w:val="005B02E8"/>
    <w:rsid w:val="005B04F3"/>
    <w:rsid w:val="005B0592"/>
    <w:rsid w:val="005B07E9"/>
    <w:rsid w:val="005B0E8B"/>
    <w:rsid w:val="005B1586"/>
    <w:rsid w:val="005B1D1E"/>
    <w:rsid w:val="005B1D4B"/>
    <w:rsid w:val="005B20CF"/>
    <w:rsid w:val="005B229A"/>
    <w:rsid w:val="005B2688"/>
    <w:rsid w:val="005B29DB"/>
    <w:rsid w:val="005B2BAE"/>
    <w:rsid w:val="005B2D66"/>
    <w:rsid w:val="005B31D3"/>
    <w:rsid w:val="005B32ED"/>
    <w:rsid w:val="005B3EC6"/>
    <w:rsid w:val="005B4188"/>
    <w:rsid w:val="005B42FD"/>
    <w:rsid w:val="005B4E5C"/>
    <w:rsid w:val="005B4EAD"/>
    <w:rsid w:val="005B5092"/>
    <w:rsid w:val="005B5495"/>
    <w:rsid w:val="005B5803"/>
    <w:rsid w:val="005B6DE4"/>
    <w:rsid w:val="005B755B"/>
    <w:rsid w:val="005B7A9D"/>
    <w:rsid w:val="005B7DAD"/>
    <w:rsid w:val="005C0EAB"/>
    <w:rsid w:val="005C21B4"/>
    <w:rsid w:val="005C3829"/>
    <w:rsid w:val="005C3FE5"/>
    <w:rsid w:val="005C4022"/>
    <w:rsid w:val="005C43C6"/>
    <w:rsid w:val="005C45A5"/>
    <w:rsid w:val="005C4608"/>
    <w:rsid w:val="005C4E67"/>
    <w:rsid w:val="005C512F"/>
    <w:rsid w:val="005C52F7"/>
    <w:rsid w:val="005C7105"/>
    <w:rsid w:val="005C7499"/>
    <w:rsid w:val="005C7853"/>
    <w:rsid w:val="005C7FC6"/>
    <w:rsid w:val="005D00CF"/>
    <w:rsid w:val="005D042D"/>
    <w:rsid w:val="005D0BF7"/>
    <w:rsid w:val="005D0C91"/>
    <w:rsid w:val="005D17E6"/>
    <w:rsid w:val="005D1D8D"/>
    <w:rsid w:val="005D2E5F"/>
    <w:rsid w:val="005D302F"/>
    <w:rsid w:val="005D3BB4"/>
    <w:rsid w:val="005D4493"/>
    <w:rsid w:val="005D5711"/>
    <w:rsid w:val="005D5A52"/>
    <w:rsid w:val="005D5C60"/>
    <w:rsid w:val="005D62A6"/>
    <w:rsid w:val="005D687C"/>
    <w:rsid w:val="005D6D81"/>
    <w:rsid w:val="005D6DD8"/>
    <w:rsid w:val="005D7609"/>
    <w:rsid w:val="005D7974"/>
    <w:rsid w:val="005E04FF"/>
    <w:rsid w:val="005E0A70"/>
    <w:rsid w:val="005E1064"/>
    <w:rsid w:val="005E15BB"/>
    <w:rsid w:val="005E1F11"/>
    <w:rsid w:val="005E3082"/>
    <w:rsid w:val="005E3302"/>
    <w:rsid w:val="005E3BD6"/>
    <w:rsid w:val="005E3C01"/>
    <w:rsid w:val="005E3E53"/>
    <w:rsid w:val="005E3F65"/>
    <w:rsid w:val="005E4040"/>
    <w:rsid w:val="005E4AF0"/>
    <w:rsid w:val="005E5142"/>
    <w:rsid w:val="005E54CE"/>
    <w:rsid w:val="005E580B"/>
    <w:rsid w:val="005E5B77"/>
    <w:rsid w:val="005E6158"/>
    <w:rsid w:val="005E69F6"/>
    <w:rsid w:val="005E70F3"/>
    <w:rsid w:val="005E7132"/>
    <w:rsid w:val="005E7BA4"/>
    <w:rsid w:val="005F01C4"/>
    <w:rsid w:val="005F0EFC"/>
    <w:rsid w:val="005F218F"/>
    <w:rsid w:val="005F28A8"/>
    <w:rsid w:val="005F39E0"/>
    <w:rsid w:val="005F3BAD"/>
    <w:rsid w:val="005F3BDF"/>
    <w:rsid w:val="005F4621"/>
    <w:rsid w:val="005F4D25"/>
    <w:rsid w:val="005F573D"/>
    <w:rsid w:val="005F5BD9"/>
    <w:rsid w:val="005F65B3"/>
    <w:rsid w:val="005F7642"/>
    <w:rsid w:val="005F7B35"/>
    <w:rsid w:val="005F7B4E"/>
    <w:rsid w:val="00600356"/>
    <w:rsid w:val="00600434"/>
    <w:rsid w:val="00600985"/>
    <w:rsid w:val="00600B9B"/>
    <w:rsid w:val="00600D97"/>
    <w:rsid w:val="0060127B"/>
    <w:rsid w:val="0060128F"/>
    <w:rsid w:val="006013A7"/>
    <w:rsid w:val="00602215"/>
    <w:rsid w:val="0060227E"/>
    <w:rsid w:val="006022A3"/>
    <w:rsid w:val="006023C6"/>
    <w:rsid w:val="00602549"/>
    <w:rsid w:val="00602715"/>
    <w:rsid w:val="006037E6"/>
    <w:rsid w:val="006049FF"/>
    <w:rsid w:val="006051D3"/>
    <w:rsid w:val="006053CA"/>
    <w:rsid w:val="006055C9"/>
    <w:rsid w:val="00605A67"/>
    <w:rsid w:val="006069A3"/>
    <w:rsid w:val="00606EEE"/>
    <w:rsid w:val="00607366"/>
    <w:rsid w:val="0060764B"/>
    <w:rsid w:val="006102E4"/>
    <w:rsid w:val="0061136C"/>
    <w:rsid w:val="006119AE"/>
    <w:rsid w:val="00612C5C"/>
    <w:rsid w:val="00612D50"/>
    <w:rsid w:val="00612FBD"/>
    <w:rsid w:val="0061379D"/>
    <w:rsid w:val="00613A8A"/>
    <w:rsid w:val="00613CC5"/>
    <w:rsid w:val="0061478E"/>
    <w:rsid w:val="0061546A"/>
    <w:rsid w:val="006162A8"/>
    <w:rsid w:val="006172BA"/>
    <w:rsid w:val="00617648"/>
    <w:rsid w:val="006177EB"/>
    <w:rsid w:val="00617B28"/>
    <w:rsid w:val="006200B0"/>
    <w:rsid w:val="00620431"/>
    <w:rsid w:val="0062093E"/>
    <w:rsid w:val="006210D4"/>
    <w:rsid w:val="00621131"/>
    <w:rsid w:val="0062131D"/>
    <w:rsid w:val="0062163B"/>
    <w:rsid w:val="0062171C"/>
    <w:rsid w:val="00621CFC"/>
    <w:rsid w:val="00622655"/>
    <w:rsid w:val="0062302A"/>
    <w:rsid w:val="006233CD"/>
    <w:rsid w:val="00623A16"/>
    <w:rsid w:val="00625395"/>
    <w:rsid w:val="00625858"/>
    <w:rsid w:val="00625F5C"/>
    <w:rsid w:val="00626D68"/>
    <w:rsid w:val="00627488"/>
    <w:rsid w:val="00627E3F"/>
    <w:rsid w:val="006303D9"/>
    <w:rsid w:val="00630891"/>
    <w:rsid w:val="00630A34"/>
    <w:rsid w:val="00631949"/>
    <w:rsid w:val="00631DC7"/>
    <w:rsid w:val="00631F32"/>
    <w:rsid w:val="006322E0"/>
    <w:rsid w:val="00632481"/>
    <w:rsid w:val="006331C6"/>
    <w:rsid w:val="00633B5D"/>
    <w:rsid w:val="0063495C"/>
    <w:rsid w:val="00634F47"/>
    <w:rsid w:val="00635007"/>
    <w:rsid w:val="00635122"/>
    <w:rsid w:val="00635561"/>
    <w:rsid w:val="00635AEA"/>
    <w:rsid w:val="00635FA1"/>
    <w:rsid w:val="006366DC"/>
    <w:rsid w:val="006373CE"/>
    <w:rsid w:val="0063777E"/>
    <w:rsid w:val="00640344"/>
    <w:rsid w:val="00640651"/>
    <w:rsid w:val="00640ACF"/>
    <w:rsid w:val="00640B93"/>
    <w:rsid w:val="00641030"/>
    <w:rsid w:val="006411C1"/>
    <w:rsid w:val="0064272B"/>
    <w:rsid w:val="006427C0"/>
    <w:rsid w:val="0064294B"/>
    <w:rsid w:val="006429F1"/>
    <w:rsid w:val="006437E5"/>
    <w:rsid w:val="00643FDB"/>
    <w:rsid w:val="00644777"/>
    <w:rsid w:val="00644CAB"/>
    <w:rsid w:val="00646077"/>
    <w:rsid w:val="006461F0"/>
    <w:rsid w:val="006464F0"/>
    <w:rsid w:val="006472CB"/>
    <w:rsid w:val="00647D2C"/>
    <w:rsid w:val="00647EE3"/>
    <w:rsid w:val="00650071"/>
    <w:rsid w:val="006508CA"/>
    <w:rsid w:val="00650DF2"/>
    <w:rsid w:val="0065133A"/>
    <w:rsid w:val="00651424"/>
    <w:rsid w:val="00651B3F"/>
    <w:rsid w:val="00651F3E"/>
    <w:rsid w:val="00652871"/>
    <w:rsid w:val="00652CD4"/>
    <w:rsid w:val="00653244"/>
    <w:rsid w:val="00653ACD"/>
    <w:rsid w:val="00653CB0"/>
    <w:rsid w:val="00654126"/>
    <w:rsid w:val="00654557"/>
    <w:rsid w:val="00656C19"/>
    <w:rsid w:val="00656DA1"/>
    <w:rsid w:val="0065766E"/>
    <w:rsid w:val="00657AC5"/>
    <w:rsid w:val="006606A2"/>
    <w:rsid w:val="00660DEB"/>
    <w:rsid w:val="00660F55"/>
    <w:rsid w:val="00661BD6"/>
    <w:rsid w:val="00662F46"/>
    <w:rsid w:val="0066330B"/>
    <w:rsid w:val="0066387C"/>
    <w:rsid w:val="00663B15"/>
    <w:rsid w:val="00663D92"/>
    <w:rsid w:val="006648A6"/>
    <w:rsid w:val="0066515C"/>
    <w:rsid w:val="006658EF"/>
    <w:rsid w:val="00665AE9"/>
    <w:rsid w:val="00666454"/>
    <w:rsid w:val="0067024B"/>
    <w:rsid w:val="006703D3"/>
    <w:rsid w:val="00670420"/>
    <w:rsid w:val="00670745"/>
    <w:rsid w:val="00670CC8"/>
    <w:rsid w:val="006711BF"/>
    <w:rsid w:val="00671898"/>
    <w:rsid w:val="00671BFE"/>
    <w:rsid w:val="00672B30"/>
    <w:rsid w:val="00672C60"/>
    <w:rsid w:val="0067313A"/>
    <w:rsid w:val="00673ADD"/>
    <w:rsid w:val="0067417F"/>
    <w:rsid w:val="00674AEF"/>
    <w:rsid w:val="00674EEE"/>
    <w:rsid w:val="00675375"/>
    <w:rsid w:val="0067562C"/>
    <w:rsid w:val="00675F26"/>
    <w:rsid w:val="00676916"/>
    <w:rsid w:val="00676B7D"/>
    <w:rsid w:val="00676BF2"/>
    <w:rsid w:val="006774EC"/>
    <w:rsid w:val="00677B83"/>
    <w:rsid w:val="00677DFC"/>
    <w:rsid w:val="00677F8B"/>
    <w:rsid w:val="00680297"/>
    <w:rsid w:val="006803C9"/>
    <w:rsid w:val="00680E4A"/>
    <w:rsid w:val="00681126"/>
    <w:rsid w:val="0068171D"/>
    <w:rsid w:val="00681CDA"/>
    <w:rsid w:val="00683417"/>
    <w:rsid w:val="006841E5"/>
    <w:rsid w:val="0068560C"/>
    <w:rsid w:val="00685EA8"/>
    <w:rsid w:val="0068634D"/>
    <w:rsid w:val="006867B5"/>
    <w:rsid w:val="0068702F"/>
    <w:rsid w:val="006871C7"/>
    <w:rsid w:val="00687561"/>
    <w:rsid w:val="00687818"/>
    <w:rsid w:val="0069063F"/>
    <w:rsid w:val="00690C60"/>
    <w:rsid w:val="00691758"/>
    <w:rsid w:val="00691789"/>
    <w:rsid w:val="00691DE7"/>
    <w:rsid w:val="00692C43"/>
    <w:rsid w:val="00692E8B"/>
    <w:rsid w:val="0069342C"/>
    <w:rsid w:val="00694BED"/>
    <w:rsid w:val="00695C44"/>
    <w:rsid w:val="006963C3"/>
    <w:rsid w:val="006971EF"/>
    <w:rsid w:val="00697593"/>
    <w:rsid w:val="00697EF8"/>
    <w:rsid w:val="006A00DB"/>
    <w:rsid w:val="006A017D"/>
    <w:rsid w:val="006A116D"/>
    <w:rsid w:val="006A191D"/>
    <w:rsid w:val="006A20CF"/>
    <w:rsid w:val="006A2770"/>
    <w:rsid w:val="006A3370"/>
    <w:rsid w:val="006A3778"/>
    <w:rsid w:val="006A3EA7"/>
    <w:rsid w:val="006A431E"/>
    <w:rsid w:val="006A4423"/>
    <w:rsid w:val="006A54BA"/>
    <w:rsid w:val="006A608D"/>
    <w:rsid w:val="006A63C1"/>
    <w:rsid w:val="006A6B64"/>
    <w:rsid w:val="006A6C3E"/>
    <w:rsid w:val="006A6FF9"/>
    <w:rsid w:val="006A7085"/>
    <w:rsid w:val="006A7A5C"/>
    <w:rsid w:val="006A7F98"/>
    <w:rsid w:val="006B0B70"/>
    <w:rsid w:val="006B0DC4"/>
    <w:rsid w:val="006B10CD"/>
    <w:rsid w:val="006B1232"/>
    <w:rsid w:val="006B199A"/>
    <w:rsid w:val="006B1D70"/>
    <w:rsid w:val="006B1FBA"/>
    <w:rsid w:val="006B2121"/>
    <w:rsid w:val="006B2A73"/>
    <w:rsid w:val="006B338F"/>
    <w:rsid w:val="006B35F3"/>
    <w:rsid w:val="006B37F0"/>
    <w:rsid w:val="006B45D9"/>
    <w:rsid w:val="006B4645"/>
    <w:rsid w:val="006B46FF"/>
    <w:rsid w:val="006B50A8"/>
    <w:rsid w:val="006B5EDD"/>
    <w:rsid w:val="006B5F34"/>
    <w:rsid w:val="006B6796"/>
    <w:rsid w:val="006B7094"/>
    <w:rsid w:val="006B7871"/>
    <w:rsid w:val="006B7C14"/>
    <w:rsid w:val="006C0268"/>
    <w:rsid w:val="006C0E9E"/>
    <w:rsid w:val="006C1356"/>
    <w:rsid w:val="006C13AE"/>
    <w:rsid w:val="006C162F"/>
    <w:rsid w:val="006C1D19"/>
    <w:rsid w:val="006C2306"/>
    <w:rsid w:val="006C2955"/>
    <w:rsid w:val="006C2ABB"/>
    <w:rsid w:val="006C5193"/>
    <w:rsid w:val="006C5252"/>
    <w:rsid w:val="006C5F52"/>
    <w:rsid w:val="006C69FC"/>
    <w:rsid w:val="006D03BE"/>
    <w:rsid w:val="006D1918"/>
    <w:rsid w:val="006D1ABD"/>
    <w:rsid w:val="006D1D93"/>
    <w:rsid w:val="006D1F2A"/>
    <w:rsid w:val="006D2D08"/>
    <w:rsid w:val="006D325F"/>
    <w:rsid w:val="006D3489"/>
    <w:rsid w:val="006D37C2"/>
    <w:rsid w:val="006D38FF"/>
    <w:rsid w:val="006D391F"/>
    <w:rsid w:val="006D3A49"/>
    <w:rsid w:val="006D3D64"/>
    <w:rsid w:val="006D3E82"/>
    <w:rsid w:val="006D406A"/>
    <w:rsid w:val="006D4525"/>
    <w:rsid w:val="006D4C09"/>
    <w:rsid w:val="006D52FF"/>
    <w:rsid w:val="006D5F80"/>
    <w:rsid w:val="006D68C4"/>
    <w:rsid w:val="006D6FD9"/>
    <w:rsid w:val="006D74CB"/>
    <w:rsid w:val="006E02A1"/>
    <w:rsid w:val="006E0562"/>
    <w:rsid w:val="006E065A"/>
    <w:rsid w:val="006E0A0E"/>
    <w:rsid w:val="006E0F25"/>
    <w:rsid w:val="006E2B3A"/>
    <w:rsid w:val="006E2E7B"/>
    <w:rsid w:val="006E2F02"/>
    <w:rsid w:val="006E37AA"/>
    <w:rsid w:val="006E3958"/>
    <w:rsid w:val="006E4222"/>
    <w:rsid w:val="006E500E"/>
    <w:rsid w:val="006E5C9C"/>
    <w:rsid w:val="006E5D9A"/>
    <w:rsid w:val="006E5F1C"/>
    <w:rsid w:val="006E63DE"/>
    <w:rsid w:val="006E71C8"/>
    <w:rsid w:val="006E790A"/>
    <w:rsid w:val="006E7C3A"/>
    <w:rsid w:val="006F040F"/>
    <w:rsid w:val="006F04A5"/>
    <w:rsid w:val="006F07E7"/>
    <w:rsid w:val="006F11F1"/>
    <w:rsid w:val="006F43B8"/>
    <w:rsid w:val="006F485C"/>
    <w:rsid w:val="006F5635"/>
    <w:rsid w:val="006F5A06"/>
    <w:rsid w:val="006F5AE2"/>
    <w:rsid w:val="006F5CF4"/>
    <w:rsid w:val="006F6377"/>
    <w:rsid w:val="006F6CBC"/>
    <w:rsid w:val="006F6D25"/>
    <w:rsid w:val="006F78A9"/>
    <w:rsid w:val="006F7ACF"/>
    <w:rsid w:val="006F7C69"/>
    <w:rsid w:val="006F7F74"/>
    <w:rsid w:val="007008F2"/>
    <w:rsid w:val="007011C2"/>
    <w:rsid w:val="007013CF"/>
    <w:rsid w:val="00701921"/>
    <w:rsid w:val="00701DE3"/>
    <w:rsid w:val="00702214"/>
    <w:rsid w:val="00702666"/>
    <w:rsid w:val="007034E4"/>
    <w:rsid w:val="0070395E"/>
    <w:rsid w:val="00703BD9"/>
    <w:rsid w:val="00703C0B"/>
    <w:rsid w:val="00703C18"/>
    <w:rsid w:val="00704087"/>
    <w:rsid w:val="00704C26"/>
    <w:rsid w:val="00705C20"/>
    <w:rsid w:val="00705E8B"/>
    <w:rsid w:val="007064B9"/>
    <w:rsid w:val="00706552"/>
    <w:rsid w:val="0070688D"/>
    <w:rsid w:val="00706CF9"/>
    <w:rsid w:val="00707948"/>
    <w:rsid w:val="0070798E"/>
    <w:rsid w:val="007079D8"/>
    <w:rsid w:val="00707E47"/>
    <w:rsid w:val="0071011E"/>
    <w:rsid w:val="0071054C"/>
    <w:rsid w:val="0071082A"/>
    <w:rsid w:val="00710990"/>
    <w:rsid w:val="007114D9"/>
    <w:rsid w:val="00711B72"/>
    <w:rsid w:val="007125DB"/>
    <w:rsid w:val="00712834"/>
    <w:rsid w:val="00712C60"/>
    <w:rsid w:val="007130EE"/>
    <w:rsid w:val="00713323"/>
    <w:rsid w:val="00713850"/>
    <w:rsid w:val="00713E4C"/>
    <w:rsid w:val="00714299"/>
    <w:rsid w:val="0071474A"/>
    <w:rsid w:val="00714BB8"/>
    <w:rsid w:val="00715C03"/>
    <w:rsid w:val="00716720"/>
    <w:rsid w:val="00716AF5"/>
    <w:rsid w:val="00716D3E"/>
    <w:rsid w:val="00717306"/>
    <w:rsid w:val="007176BF"/>
    <w:rsid w:val="00717A94"/>
    <w:rsid w:val="00720B3E"/>
    <w:rsid w:val="007214C2"/>
    <w:rsid w:val="007217FD"/>
    <w:rsid w:val="00722242"/>
    <w:rsid w:val="007227CD"/>
    <w:rsid w:val="007227D7"/>
    <w:rsid w:val="00722D7F"/>
    <w:rsid w:val="007238CF"/>
    <w:rsid w:val="00724367"/>
    <w:rsid w:val="007246CA"/>
    <w:rsid w:val="00724BA8"/>
    <w:rsid w:val="00725337"/>
    <w:rsid w:val="00725D70"/>
    <w:rsid w:val="00726409"/>
    <w:rsid w:val="0072680F"/>
    <w:rsid w:val="00726DCE"/>
    <w:rsid w:val="00730C30"/>
    <w:rsid w:val="00730DF4"/>
    <w:rsid w:val="00731312"/>
    <w:rsid w:val="00731DC3"/>
    <w:rsid w:val="00732436"/>
    <w:rsid w:val="0073319D"/>
    <w:rsid w:val="007334BC"/>
    <w:rsid w:val="0073377B"/>
    <w:rsid w:val="00733EA9"/>
    <w:rsid w:val="00734AF9"/>
    <w:rsid w:val="00735172"/>
    <w:rsid w:val="00735728"/>
    <w:rsid w:val="00735C3A"/>
    <w:rsid w:val="00735C55"/>
    <w:rsid w:val="00736A45"/>
    <w:rsid w:val="00737E21"/>
    <w:rsid w:val="0074066A"/>
    <w:rsid w:val="007408CF"/>
    <w:rsid w:val="00740B56"/>
    <w:rsid w:val="00741111"/>
    <w:rsid w:val="0074238F"/>
    <w:rsid w:val="007427BC"/>
    <w:rsid w:val="00742E40"/>
    <w:rsid w:val="00743550"/>
    <w:rsid w:val="00743A30"/>
    <w:rsid w:val="00744D5F"/>
    <w:rsid w:val="0074512E"/>
    <w:rsid w:val="007455E3"/>
    <w:rsid w:val="007463CB"/>
    <w:rsid w:val="00746D9A"/>
    <w:rsid w:val="007505BE"/>
    <w:rsid w:val="0075075D"/>
    <w:rsid w:val="00750B57"/>
    <w:rsid w:val="0075166F"/>
    <w:rsid w:val="007523EA"/>
    <w:rsid w:val="00752BEB"/>
    <w:rsid w:val="00752E6F"/>
    <w:rsid w:val="00753270"/>
    <w:rsid w:val="00753656"/>
    <w:rsid w:val="00753895"/>
    <w:rsid w:val="00753B2B"/>
    <w:rsid w:val="00753BD6"/>
    <w:rsid w:val="00754030"/>
    <w:rsid w:val="00754044"/>
    <w:rsid w:val="007545BD"/>
    <w:rsid w:val="00754862"/>
    <w:rsid w:val="007549D1"/>
    <w:rsid w:val="00754DB3"/>
    <w:rsid w:val="00755B89"/>
    <w:rsid w:val="00755D81"/>
    <w:rsid w:val="00757D31"/>
    <w:rsid w:val="007601DA"/>
    <w:rsid w:val="007622B2"/>
    <w:rsid w:val="0076254D"/>
    <w:rsid w:val="007628CB"/>
    <w:rsid w:val="00762BBC"/>
    <w:rsid w:val="00763629"/>
    <w:rsid w:val="00763A39"/>
    <w:rsid w:val="00763BE3"/>
    <w:rsid w:val="00763E2D"/>
    <w:rsid w:val="0076433E"/>
    <w:rsid w:val="007643FC"/>
    <w:rsid w:val="00764558"/>
    <w:rsid w:val="0076513E"/>
    <w:rsid w:val="007653C8"/>
    <w:rsid w:val="00766974"/>
    <w:rsid w:val="00767620"/>
    <w:rsid w:val="0076775A"/>
    <w:rsid w:val="007701A6"/>
    <w:rsid w:val="007707C6"/>
    <w:rsid w:val="00770B2E"/>
    <w:rsid w:val="007720B7"/>
    <w:rsid w:val="00772431"/>
    <w:rsid w:val="00772861"/>
    <w:rsid w:val="007738B7"/>
    <w:rsid w:val="00773CC3"/>
    <w:rsid w:val="007742DE"/>
    <w:rsid w:val="00775450"/>
    <w:rsid w:val="00775795"/>
    <w:rsid w:val="0077649D"/>
    <w:rsid w:val="00776B2E"/>
    <w:rsid w:val="00777797"/>
    <w:rsid w:val="00777B87"/>
    <w:rsid w:val="00777D15"/>
    <w:rsid w:val="00780E7F"/>
    <w:rsid w:val="0078128F"/>
    <w:rsid w:val="007815BE"/>
    <w:rsid w:val="007815CA"/>
    <w:rsid w:val="00781E3F"/>
    <w:rsid w:val="00781E7E"/>
    <w:rsid w:val="0078231A"/>
    <w:rsid w:val="00782499"/>
    <w:rsid w:val="007826DA"/>
    <w:rsid w:val="007829A4"/>
    <w:rsid w:val="00782CDB"/>
    <w:rsid w:val="00782E52"/>
    <w:rsid w:val="00782FAC"/>
    <w:rsid w:val="0078360D"/>
    <w:rsid w:val="00783897"/>
    <w:rsid w:val="00783928"/>
    <w:rsid w:val="00785766"/>
    <w:rsid w:val="00785B09"/>
    <w:rsid w:val="00786641"/>
    <w:rsid w:val="00786A68"/>
    <w:rsid w:val="00786D1A"/>
    <w:rsid w:val="00786FF5"/>
    <w:rsid w:val="007873D7"/>
    <w:rsid w:val="00787A83"/>
    <w:rsid w:val="00787AC1"/>
    <w:rsid w:val="00787C71"/>
    <w:rsid w:val="00791E77"/>
    <w:rsid w:val="007921A6"/>
    <w:rsid w:val="0079270F"/>
    <w:rsid w:val="00792FCA"/>
    <w:rsid w:val="007931F6"/>
    <w:rsid w:val="00794177"/>
    <w:rsid w:val="007944DA"/>
    <w:rsid w:val="00794BD4"/>
    <w:rsid w:val="00795D20"/>
    <w:rsid w:val="00796AEC"/>
    <w:rsid w:val="0079722F"/>
    <w:rsid w:val="00797279"/>
    <w:rsid w:val="0079744D"/>
    <w:rsid w:val="007979AA"/>
    <w:rsid w:val="00797A76"/>
    <w:rsid w:val="007A0621"/>
    <w:rsid w:val="007A220A"/>
    <w:rsid w:val="007A2297"/>
    <w:rsid w:val="007A2E31"/>
    <w:rsid w:val="007A2EF9"/>
    <w:rsid w:val="007A2F2F"/>
    <w:rsid w:val="007A35C6"/>
    <w:rsid w:val="007A3B3F"/>
    <w:rsid w:val="007A3D01"/>
    <w:rsid w:val="007A42BB"/>
    <w:rsid w:val="007A578C"/>
    <w:rsid w:val="007A6132"/>
    <w:rsid w:val="007A68C4"/>
    <w:rsid w:val="007A6A1B"/>
    <w:rsid w:val="007A743A"/>
    <w:rsid w:val="007A7CB3"/>
    <w:rsid w:val="007A7E65"/>
    <w:rsid w:val="007A7F87"/>
    <w:rsid w:val="007B0816"/>
    <w:rsid w:val="007B08AC"/>
    <w:rsid w:val="007B08C6"/>
    <w:rsid w:val="007B11A8"/>
    <w:rsid w:val="007B1CC9"/>
    <w:rsid w:val="007B21D2"/>
    <w:rsid w:val="007B3731"/>
    <w:rsid w:val="007B3A0F"/>
    <w:rsid w:val="007B3C67"/>
    <w:rsid w:val="007B4048"/>
    <w:rsid w:val="007B404A"/>
    <w:rsid w:val="007B44E1"/>
    <w:rsid w:val="007B46BE"/>
    <w:rsid w:val="007B5C79"/>
    <w:rsid w:val="007B6624"/>
    <w:rsid w:val="007B6911"/>
    <w:rsid w:val="007B6B52"/>
    <w:rsid w:val="007B7778"/>
    <w:rsid w:val="007B7D39"/>
    <w:rsid w:val="007C03C3"/>
    <w:rsid w:val="007C11B4"/>
    <w:rsid w:val="007C126A"/>
    <w:rsid w:val="007C12D2"/>
    <w:rsid w:val="007C15ED"/>
    <w:rsid w:val="007C1706"/>
    <w:rsid w:val="007C1729"/>
    <w:rsid w:val="007C19CC"/>
    <w:rsid w:val="007C1A7E"/>
    <w:rsid w:val="007C1FAC"/>
    <w:rsid w:val="007C23F9"/>
    <w:rsid w:val="007C2425"/>
    <w:rsid w:val="007C2447"/>
    <w:rsid w:val="007C53D6"/>
    <w:rsid w:val="007C543D"/>
    <w:rsid w:val="007C5764"/>
    <w:rsid w:val="007C630D"/>
    <w:rsid w:val="007C64DC"/>
    <w:rsid w:val="007C714B"/>
    <w:rsid w:val="007C7446"/>
    <w:rsid w:val="007C7E5B"/>
    <w:rsid w:val="007D0237"/>
    <w:rsid w:val="007D025E"/>
    <w:rsid w:val="007D0F11"/>
    <w:rsid w:val="007D1AAE"/>
    <w:rsid w:val="007D1F9F"/>
    <w:rsid w:val="007D2949"/>
    <w:rsid w:val="007D2F18"/>
    <w:rsid w:val="007D47D3"/>
    <w:rsid w:val="007D688D"/>
    <w:rsid w:val="007D72BA"/>
    <w:rsid w:val="007D79F6"/>
    <w:rsid w:val="007E0D30"/>
    <w:rsid w:val="007E0EF2"/>
    <w:rsid w:val="007E0F9B"/>
    <w:rsid w:val="007E20D6"/>
    <w:rsid w:val="007E21F9"/>
    <w:rsid w:val="007E221D"/>
    <w:rsid w:val="007E277C"/>
    <w:rsid w:val="007E35E8"/>
    <w:rsid w:val="007E3AA8"/>
    <w:rsid w:val="007E3F7C"/>
    <w:rsid w:val="007E3FC8"/>
    <w:rsid w:val="007E419F"/>
    <w:rsid w:val="007E47DC"/>
    <w:rsid w:val="007E5030"/>
    <w:rsid w:val="007E52CD"/>
    <w:rsid w:val="007E5A72"/>
    <w:rsid w:val="007E604A"/>
    <w:rsid w:val="007E6A7F"/>
    <w:rsid w:val="007E6EC5"/>
    <w:rsid w:val="007E7067"/>
    <w:rsid w:val="007E7A19"/>
    <w:rsid w:val="007F00C1"/>
    <w:rsid w:val="007F031E"/>
    <w:rsid w:val="007F08B6"/>
    <w:rsid w:val="007F18F3"/>
    <w:rsid w:val="007F25AB"/>
    <w:rsid w:val="007F3102"/>
    <w:rsid w:val="007F3429"/>
    <w:rsid w:val="007F3FBB"/>
    <w:rsid w:val="007F40E5"/>
    <w:rsid w:val="007F4639"/>
    <w:rsid w:val="007F512E"/>
    <w:rsid w:val="007F541C"/>
    <w:rsid w:val="007F5EF9"/>
    <w:rsid w:val="007F5FD0"/>
    <w:rsid w:val="007F6182"/>
    <w:rsid w:val="007F61DD"/>
    <w:rsid w:val="007F722E"/>
    <w:rsid w:val="007F79CC"/>
    <w:rsid w:val="0080091B"/>
    <w:rsid w:val="0080165E"/>
    <w:rsid w:val="008026E0"/>
    <w:rsid w:val="00802924"/>
    <w:rsid w:val="00803576"/>
    <w:rsid w:val="00803664"/>
    <w:rsid w:val="00803919"/>
    <w:rsid w:val="008045BA"/>
    <w:rsid w:val="00804D68"/>
    <w:rsid w:val="00804F9D"/>
    <w:rsid w:val="0080571F"/>
    <w:rsid w:val="008060B5"/>
    <w:rsid w:val="00806C32"/>
    <w:rsid w:val="00807679"/>
    <w:rsid w:val="00810182"/>
    <w:rsid w:val="008106D3"/>
    <w:rsid w:val="008115B5"/>
    <w:rsid w:val="00811749"/>
    <w:rsid w:val="00811E02"/>
    <w:rsid w:val="00811F43"/>
    <w:rsid w:val="008126D7"/>
    <w:rsid w:val="008135CE"/>
    <w:rsid w:val="00813658"/>
    <w:rsid w:val="00813D21"/>
    <w:rsid w:val="00813EA5"/>
    <w:rsid w:val="00814378"/>
    <w:rsid w:val="00814FF6"/>
    <w:rsid w:val="008151BE"/>
    <w:rsid w:val="00815A69"/>
    <w:rsid w:val="00816E0E"/>
    <w:rsid w:val="008170D5"/>
    <w:rsid w:val="00817642"/>
    <w:rsid w:val="00817A6C"/>
    <w:rsid w:val="00820EA7"/>
    <w:rsid w:val="0082101A"/>
    <w:rsid w:val="0082164C"/>
    <w:rsid w:val="008220D9"/>
    <w:rsid w:val="008221A1"/>
    <w:rsid w:val="00822A0D"/>
    <w:rsid w:val="00822ADA"/>
    <w:rsid w:val="00823B4B"/>
    <w:rsid w:val="00825543"/>
    <w:rsid w:val="00825666"/>
    <w:rsid w:val="008256EE"/>
    <w:rsid w:val="00825A29"/>
    <w:rsid w:val="00826144"/>
    <w:rsid w:val="00826D5E"/>
    <w:rsid w:val="00826FCE"/>
    <w:rsid w:val="00827A1B"/>
    <w:rsid w:val="00827F58"/>
    <w:rsid w:val="00827FF9"/>
    <w:rsid w:val="00830BF5"/>
    <w:rsid w:val="00831795"/>
    <w:rsid w:val="0083295F"/>
    <w:rsid w:val="0083298B"/>
    <w:rsid w:val="00832A2F"/>
    <w:rsid w:val="00832C06"/>
    <w:rsid w:val="00832E73"/>
    <w:rsid w:val="0083441E"/>
    <w:rsid w:val="00834F85"/>
    <w:rsid w:val="008355CA"/>
    <w:rsid w:val="0083561C"/>
    <w:rsid w:val="00836912"/>
    <w:rsid w:val="00836B73"/>
    <w:rsid w:val="00836C22"/>
    <w:rsid w:val="00837DE2"/>
    <w:rsid w:val="008401C2"/>
    <w:rsid w:val="00840D89"/>
    <w:rsid w:val="00840E75"/>
    <w:rsid w:val="0084155F"/>
    <w:rsid w:val="00843509"/>
    <w:rsid w:val="00843757"/>
    <w:rsid w:val="0084445B"/>
    <w:rsid w:val="008456FB"/>
    <w:rsid w:val="00845C95"/>
    <w:rsid w:val="008469A3"/>
    <w:rsid w:val="008470F7"/>
    <w:rsid w:val="00847A7B"/>
    <w:rsid w:val="00850191"/>
    <w:rsid w:val="0085031D"/>
    <w:rsid w:val="008505A3"/>
    <w:rsid w:val="00850849"/>
    <w:rsid w:val="00850EFE"/>
    <w:rsid w:val="00851440"/>
    <w:rsid w:val="008518DD"/>
    <w:rsid w:val="00851D01"/>
    <w:rsid w:val="00853878"/>
    <w:rsid w:val="0085391B"/>
    <w:rsid w:val="00853AB0"/>
    <w:rsid w:val="00854E70"/>
    <w:rsid w:val="00854F5A"/>
    <w:rsid w:val="0085562E"/>
    <w:rsid w:val="00855857"/>
    <w:rsid w:val="00855D6E"/>
    <w:rsid w:val="00856851"/>
    <w:rsid w:val="00860BFB"/>
    <w:rsid w:val="00861653"/>
    <w:rsid w:val="00861844"/>
    <w:rsid w:val="00861967"/>
    <w:rsid w:val="00861B38"/>
    <w:rsid w:val="00861D7D"/>
    <w:rsid w:val="00862243"/>
    <w:rsid w:val="008626AE"/>
    <w:rsid w:val="00862B8F"/>
    <w:rsid w:val="00862BFC"/>
    <w:rsid w:val="00863A9E"/>
    <w:rsid w:val="008641D8"/>
    <w:rsid w:val="00864240"/>
    <w:rsid w:val="00864E0F"/>
    <w:rsid w:val="0086665C"/>
    <w:rsid w:val="00866C8C"/>
    <w:rsid w:val="00866FD1"/>
    <w:rsid w:val="0086751B"/>
    <w:rsid w:val="00870518"/>
    <w:rsid w:val="00870695"/>
    <w:rsid w:val="0087134A"/>
    <w:rsid w:val="00871FF9"/>
    <w:rsid w:val="008724C1"/>
    <w:rsid w:val="008725E3"/>
    <w:rsid w:val="008727D2"/>
    <w:rsid w:val="00872E86"/>
    <w:rsid w:val="00873028"/>
    <w:rsid w:val="00873468"/>
    <w:rsid w:val="00873B73"/>
    <w:rsid w:val="00874130"/>
    <w:rsid w:val="008741F1"/>
    <w:rsid w:val="008744C1"/>
    <w:rsid w:val="00874B21"/>
    <w:rsid w:val="0087533D"/>
    <w:rsid w:val="008757C0"/>
    <w:rsid w:val="00875C0D"/>
    <w:rsid w:val="00876018"/>
    <w:rsid w:val="00876A1F"/>
    <w:rsid w:val="00877201"/>
    <w:rsid w:val="00877965"/>
    <w:rsid w:val="00881CBC"/>
    <w:rsid w:val="00882881"/>
    <w:rsid w:val="0088288E"/>
    <w:rsid w:val="00882E8B"/>
    <w:rsid w:val="00883350"/>
    <w:rsid w:val="00883725"/>
    <w:rsid w:val="00883BD6"/>
    <w:rsid w:val="00883F05"/>
    <w:rsid w:val="00886A61"/>
    <w:rsid w:val="008874B1"/>
    <w:rsid w:val="0089042A"/>
    <w:rsid w:val="00890BCD"/>
    <w:rsid w:val="00890E50"/>
    <w:rsid w:val="008914E7"/>
    <w:rsid w:val="008915AF"/>
    <w:rsid w:val="00892470"/>
    <w:rsid w:val="00892780"/>
    <w:rsid w:val="008927D2"/>
    <w:rsid w:val="00893415"/>
    <w:rsid w:val="008934DF"/>
    <w:rsid w:val="00894DA1"/>
    <w:rsid w:val="00894FED"/>
    <w:rsid w:val="00895148"/>
    <w:rsid w:val="00895E8A"/>
    <w:rsid w:val="00896293"/>
    <w:rsid w:val="00896653"/>
    <w:rsid w:val="00896B89"/>
    <w:rsid w:val="008971B3"/>
    <w:rsid w:val="00897BCD"/>
    <w:rsid w:val="00897CED"/>
    <w:rsid w:val="008A0FD8"/>
    <w:rsid w:val="008A1900"/>
    <w:rsid w:val="008A1B39"/>
    <w:rsid w:val="008A225E"/>
    <w:rsid w:val="008A23FF"/>
    <w:rsid w:val="008A2B06"/>
    <w:rsid w:val="008A2C49"/>
    <w:rsid w:val="008A374F"/>
    <w:rsid w:val="008A3F34"/>
    <w:rsid w:val="008A42AA"/>
    <w:rsid w:val="008A4427"/>
    <w:rsid w:val="008A462D"/>
    <w:rsid w:val="008A4A13"/>
    <w:rsid w:val="008A4FDB"/>
    <w:rsid w:val="008A5655"/>
    <w:rsid w:val="008A6042"/>
    <w:rsid w:val="008A60E4"/>
    <w:rsid w:val="008A69E7"/>
    <w:rsid w:val="008A6D0A"/>
    <w:rsid w:val="008A6EB8"/>
    <w:rsid w:val="008A7AF3"/>
    <w:rsid w:val="008B04F2"/>
    <w:rsid w:val="008B10F2"/>
    <w:rsid w:val="008B1D73"/>
    <w:rsid w:val="008B2A1A"/>
    <w:rsid w:val="008B371F"/>
    <w:rsid w:val="008B4268"/>
    <w:rsid w:val="008B45E6"/>
    <w:rsid w:val="008B51B3"/>
    <w:rsid w:val="008B5703"/>
    <w:rsid w:val="008B5A5B"/>
    <w:rsid w:val="008B5E6C"/>
    <w:rsid w:val="008B7B11"/>
    <w:rsid w:val="008B7CF7"/>
    <w:rsid w:val="008B7E71"/>
    <w:rsid w:val="008B7E79"/>
    <w:rsid w:val="008C10EA"/>
    <w:rsid w:val="008C1221"/>
    <w:rsid w:val="008C16AE"/>
    <w:rsid w:val="008C1E57"/>
    <w:rsid w:val="008C27B7"/>
    <w:rsid w:val="008C2CFE"/>
    <w:rsid w:val="008C2E27"/>
    <w:rsid w:val="008C34D0"/>
    <w:rsid w:val="008C3C1D"/>
    <w:rsid w:val="008C3C94"/>
    <w:rsid w:val="008C3E73"/>
    <w:rsid w:val="008C4FFD"/>
    <w:rsid w:val="008C6062"/>
    <w:rsid w:val="008C626A"/>
    <w:rsid w:val="008C6913"/>
    <w:rsid w:val="008C6A64"/>
    <w:rsid w:val="008C6D1A"/>
    <w:rsid w:val="008C6F39"/>
    <w:rsid w:val="008C7925"/>
    <w:rsid w:val="008D0A71"/>
    <w:rsid w:val="008D194C"/>
    <w:rsid w:val="008D2506"/>
    <w:rsid w:val="008D288E"/>
    <w:rsid w:val="008D388C"/>
    <w:rsid w:val="008D3FFB"/>
    <w:rsid w:val="008D413F"/>
    <w:rsid w:val="008D4335"/>
    <w:rsid w:val="008D4A38"/>
    <w:rsid w:val="008D4E7E"/>
    <w:rsid w:val="008D50B4"/>
    <w:rsid w:val="008D55BF"/>
    <w:rsid w:val="008D583C"/>
    <w:rsid w:val="008D5D7D"/>
    <w:rsid w:val="008D664C"/>
    <w:rsid w:val="008D67CB"/>
    <w:rsid w:val="008D68BC"/>
    <w:rsid w:val="008D7114"/>
    <w:rsid w:val="008D7563"/>
    <w:rsid w:val="008D7DA0"/>
    <w:rsid w:val="008D7DC0"/>
    <w:rsid w:val="008E1FC7"/>
    <w:rsid w:val="008E2BA3"/>
    <w:rsid w:val="008E2CB2"/>
    <w:rsid w:val="008E2E69"/>
    <w:rsid w:val="008E3EB1"/>
    <w:rsid w:val="008E3EE8"/>
    <w:rsid w:val="008E4B5F"/>
    <w:rsid w:val="008E4FEF"/>
    <w:rsid w:val="008E51CE"/>
    <w:rsid w:val="008E57D2"/>
    <w:rsid w:val="008E5977"/>
    <w:rsid w:val="008E5A63"/>
    <w:rsid w:val="008E6296"/>
    <w:rsid w:val="008E63C4"/>
    <w:rsid w:val="008E6550"/>
    <w:rsid w:val="008E6E08"/>
    <w:rsid w:val="008E6EA3"/>
    <w:rsid w:val="008E7466"/>
    <w:rsid w:val="008F0397"/>
    <w:rsid w:val="008F06D7"/>
    <w:rsid w:val="008F0BE1"/>
    <w:rsid w:val="008F0FF3"/>
    <w:rsid w:val="008F11A6"/>
    <w:rsid w:val="008F15FC"/>
    <w:rsid w:val="008F169E"/>
    <w:rsid w:val="008F171D"/>
    <w:rsid w:val="008F221C"/>
    <w:rsid w:val="008F2465"/>
    <w:rsid w:val="008F24ED"/>
    <w:rsid w:val="008F267F"/>
    <w:rsid w:val="008F2799"/>
    <w:rsid w:val="008F2900"/>
    <w:rsid w:val="008F2960"/>
    <w:rsid w:val="008F2AF3"/>
    <w:rsid w:val="008F3545"/>
    <w:rsid w:val="008F3F7D"/>
    <w:rsid w:val="008F41EA"/>
    <w:rsid w:val="008F4B59"/>
    <w:rsid w:val="008F4C86"/>
    <w:rsid w:val="008F53F3"/>
    <w:rsid w:val="008F5991"/>
    <w:rsid w:val="008F5B94"/>
    <w:rsid w:val="008F66D6"/>
    <w:rsid w:val="008F6808"/>
    <w:rsid w:val="008F68CB"/>
    <w:rsid w:val="008F7AFE"/>
    <w:rsid w:val="008F7DA2"/>
    <w:rsid w:val="009002D1"/>
    <w:rsid w:val="00900E48"/>
    <w:rsid w:val="00900EB0"/>
    <w:rsid w:val="009010AE"/>
    <w:rsid w:val="00901416"/>
    <w:rsid w:val="00902668"/>
    <w:rsid w:val="0090274B"/>
    <w:rsid w:val="00903A46"/>
    <w:rsid w:val="00903FCE"/>
    <w:rsid w:val="009041F9"/>
    <w:rsid w:val="009048D9"/>
    <w:rsid w:val="009052B3"/>
    <w:rsid w:val="0090546A"/>
    <w:rsid w:val="00906144"/>
    <w:rsid w:val="00906840"/>
    <w:rsid w:val="00906ACC"/>
    <w:rsid w:val="00906D03"/>
    <w:rsid w:val="009073D2"/>
    <w:rsid w:val="009076F0"/>
    <w:rsid w:val="00907E9A"/>
    <w:rsid w:val="00910DE9"/>
    <w:rsid w:val="0091164E"/>
    <w:rsid w:val="009120B2"/>
    <w:rsid w:val="009134C1"/>
    <w:rsid w:val="00913DB5"/>
    <w:rsid w:val="009141E0"/>
    <w:rsid w:val="009141FA"/>
    <w:rsid w:val="00915D0F"/>
    <w:rsid w:val="00915F1B"/>
    <w:rsid w:val="00916495"/>
    <w:rsid w:val="00917166"/>
    <w:rsid w:val="0091781D"/>
    <w:rsid w:val="00921558"/>
    <w:rsid w:val="00921833"/>
    <w:rsid w:val="009218B0"/>
    <w:rsid w:val="00921ACA"/>
    <w:rsid w:val="0092229E"/>
    <w:rsid w:val="0092294F"/>
    <w:rsid w:val="00922EF9"/>
    <w:rsid w:val="0092350F"/>
    <w:rsid w:val="009237DE"/>
    <w:rsid w:val="00923B4D"/>
    <w:rsid w:val="00923BCC"/>
    <w:rsid w:val="00923FB4"/>
    <w:rsid w:val="0092476D"/>
    <w:rsid w:val="0092487F"/>
    <w:rsid w:val="009248E6"/>
    <w:rsid w:val="009254A4"/>
    <w:rsid w:val="0092676A"/>
    <w:rsid w:val="00926CE4"/>
    <w:rsid w:val="00927EC2"/>
    <w:rsid w:val="0092E902"/>
    <w:rsid w:val="00930021"/>
    <w:rsid w:val="00930B5F"/>
    <w:rsid w:val="0093248C"/>
    <w:rsid w:val="00932995"/>
    <w:rsid w:val="009338A8"/>
    <w:rsid w:val="0093447A"/>
    <w:rsid w:val="00934A47"/>
    <w:rsid w:val="00934A7D"/>
    <w:rsid w:val="00934DE0"/>
    <w:rsid w:val="00934EE2"/>
    <w:rsid w:val="00935103"/>
    <w:rsid w:val="0093532E"/>
    <w:rsid w:val="0093534B"/>
    <w:rsid w:val="009354E6"/>
    <w:rsid w:val="0093559A"/>
    <w:rsid w:val="0093685F"/>
    <w:rsid w:val="00936E58"/>
    <w:rsid w:val="00937B6E"/>
    <w:rsid w:val="00937B9B"/>
    <w:rsid w:val="00937DD5"/>
    <w:rsid w:val="00937F40"/>
    <w:rsid w:val="009403C1"/>
    <w:rsid w:val="009410F6"/>
    <w:rsid w:val="009413EA"/>
    <w:rsid w:val="00941614"/>
    <w:rsid w:val="009429F4"/>
    <w:rsid w:val="00943A55"/>
    <w:rsid w:val="00944572"/>
    <w:rsid w:val="00944935"/>
    <w:rsid w:val="0094557A"/>
    <w:rsid w:val="0094660E"/>
    <w:rsid w:val="00946700"/>
    <w:rsid w:val="0094698C"/>
    <w:rsid w:val="00946D31"/>
    <w:rsid w:val="009473BA"/>
    <w:rsid w:val="00947C45"/>
    <w:rsid w:val="00947EE6"/>
    <w:rsid w:val="009509EE"/>
    <w:rsid w:val="00952829"/>
    <w:rsid w:val="009528A5"/>
    <w:rsid w:val="00952C35"/>
    <w:rsid w:val="00952F11"/>
    <w:rsid w:val="00953231"/>
    <w:rsid w:val="009549E4"/>
    <w:rsid w:val="00954B8A"/>
    <w:rsid w:val="00954FFD"/>
    <w:rsid w:val="009556C1"/>
    <w:rsid w:val="00955C3B"/>
    <w:rsid w:val="00955F53"/>
    <w:rsid w:val="00956221"/>
    <w:rsid w:val="00956729"/>
    <w:rsid w:val="0095677A"/>
    <w:rsid w:val="00956C71"/>
    <w:rsid w:val="00956D71"/>
    <w:rsid w:val="00956DD8"/>
    <w:rsid w:val="00957895"/>
    <w:rsid w:val="009601D6"/>
    <w:rsid w:val="009605F5"/>
    <w:rsid w:val="00960816"/>
    <w:rsid w:val="00960ACF"/>
    <w:rsid w:val="009613A0"/>
    <w:rsid w:val="00961873"/>
    <w:rsid w:val="00961C18"/>
    <w:rsid w:val="00961C44"/>
    <w:rsid w:val="00962231"/>
    <w:rsid w:val="00962AFE"/>
    <w:rsid w:val="00962B2F"/>
    <w:rsid w:val="00964494"/>
    <w:rsid w:val="009644AD"/>
    <w:rsid w:val="00964E34"/>
    <w:rsid w:val="0096571A"/>
    <w:rsid w:val="00965A15"/>
    <w:rsid w:val="00965B1A"/>
    <w:rsid w:val="009665B4"/>
    <w:rsid w:val="009665E6"/>
    <w:rsid w:val="00966679"/>
    <w:rsid w:val="00966CEB"/>
    <w:rsid w:val="00966F57"/>
    <w:rsid w:val="009673E5"/>
    <w:rsid w:val="009676E0"/>
    <w:rsid w:val="009678F8"/>
    <w:rsid w:val="00970690"/>
    <w:rsid w:val="00971439"/>
    <w:rsid w:val="00971472"/>
    <w:rsid w:val="009717AB"/>
    <w:rsid w:val="009717FB"/>
    <w:rsid w:val="009720FB"/>
    <w:rsid w:val="009721A6"/>
    <w:rsid w:val="00972B4B"/>
    <w:rsid w:val="00972C73"/>
    <w:rsid w:val="009730E8"/>
    <w:rsid w:val="00973598"/>
    <w:rsid w:val="00973B11"/>
    <w:rsid w:val="00973BE4"/>
    <w:rsid w:val="009745AF"/>
    <w:rsid w:val="0097579D"/>
    <w:rsid w:val="00976358"/>
    <w:rsid w:val="00976641"/>
    <w:rsid w:val="00976EDD"/>
    <w:rsid w:val="00977826"/>
    <w:rsid w:val="00980682"/>
    <w:rsid w:val="0098092E"/>
    <w:rsid w:val="00980A1C"/>
    <w:rsid w:val="0098134D"/>
    <w:rsid w:val="009813D2"/>
    <w:rsid w:val="00981E1C"/>
    <w:rsid w:val="00981E5E"/>
    <w:rsid w:val="00982C16"/>
    <w:rsid w:val="009844F4"/>
    <w:rsid w:val="009867C9"/>
    <w:rsid w:val="009870A3"/>
    <w:rsid w:val="009871B6"/>
    <w:rsid w:val="009878ED"/>
    <w:rsid w:val="00990444"/>
    <w:rsid w:val="0099056B"/>
    <w:rsid w:val="0099164D"/>
    <w:rsid w:val="009917FB"/>
    <w:rsid w:val="00991BA2"/>
    <w:rsid w:val="00993786"/>
    <w:rsid w:val="00993D7C"/>
    <w:rsid w:val="00993E37"/>
    <w:rsid w:val="00994008"/>
    <w:rsid w:val="0099421D"/>
    <w:rsid w:val="00994345"/>
    <w:rsid w:val="00994AD2"/>
    <w:rsid w:val="009967DB"/>
    <w:rsid w:val="0099691D"/>
    <w:rsid w:val="00996AFA"/>
    <w:rsid w:val="00996CEB"/>
    <w:rsid w:val="00997793"/>
    <w:rsid w:val="00997C9A"/>
    <w:rsid w:val="009A0A1A"/>
    <w:rsid w:val="009A11D8"/>
    <w:rsid w:val="009A2419"/>
    <w:rsid w:val="009A29BA"/>
    <w:rsid w:val="009A2CB9"/>
    <w:rsid w:val="009A3059"/>
    <w:rsid w:val="009A4D45"/>
    <w:rsid w:val="009A56E8"/>
    <w:rsid w:val="009A576F"/>
    <w:rsid w:val="009A6B3D"/>
    <w:rsid w:val="009A7A52"/>
    <w:rsid w:val="009B0440"/>
    <w:rsid w:val="009B0C4E"/>
    <w:rsid w:val="009B14DC"/>
    <w:rsid w:val="009B19DC"/>
    <w:rsid w:val="009B1FDD"/>
    <w:rsid w:val="009B3531"/>
    <w:rsid w:val="009B3563"/>
    <w:rsid w:val="009B35D6"/>
    <w:rsid w:val="009B35F9"/>
    <w:rsid w:val="009B36CE"/>
    <w:rsid w:val="009B39AB"/>
    <w:rsid w:val="009B3CAA"/>
    <w:rsid w:val="009B3F13"/>
    <w:rsid w:val="009B439D"/>
    <w:rsid w:val="009B5008"/>
    <w:rsid w:val="009B5143"/>
    <w:rsid w:val="009B51D7"/>
    <w:rsid w:val="009B5682"/>
    <w:rsid w:val="009B56E0"/>
    <w:rsid w:val="009B6ACB"/>
    <w:rsid w:val="009B70FD"/>
    <w:rsid w:val="009B7B1C"/>
    <w:rsid w:val="009C0C0D"/>
    <w:rsid w:val="009C1284"/>
    <w:rsid w:val="009C17AD"/>
    <w:rsid w:val="009C24CD"/>
    <w:rsid w:val="009C253F"/>
    <w:rsid w:val="009C2C8D"/>
    <w:rsid w:val="009C2FC3"/>
    <w:rsid w:val="009C35B7"/>
    <w:rsid w:val="009C3C94"/>
    <w:rsid w:val="009C4028"/>
    <w:rsid w:val="009C4E08"/>
    <w:rsid w:val="009C5036"/>
    <w:rsid w:val="009C5E46"/>
    <w:rsid w:val="009C5EC7"/>
    <w:rsid w:val="009C6463"/>
    <w:rsid w:val="009C65F3"/>
    <w:rsid w:val="009C6A34"/>
    <w:rsid w:val="009C71A2"/>
    <w:rsid w:val="009C772B"/>
    <w:rsid w:val="009D023F"/>
    <w:rsid w:val="009D0303"/>
    <w:rsid w:val="009D03BC"/>
    <w:rsid w:val="009D15BD"/>
    <w:rsid w:val="009D1EB8"/>
    <w:rsid w:val="009D1FB3"/>
    <w:rsid w:val="009D272D"/>
    <w:rsid w:val="009D2ADD"/>
    <w:rsid w:val="009D2B0E"/>
    <w:rsid w:val="009D2E5A"/>
    <w:rsid w:val="009D2F64"/>
    <w:rsid w:val="009D3B5F"/>
    <w:rsid w:val="009D3DE2"/>
    <w:rsid w:val="009D4552"/>
    <w:rsid w:val="009D46E9"/>
    <w:rsid w:val="009D4835"/>
    <w:rsid w:val="009D5C5A"/>
    <w:rsid w:val="009D6292"/>
    <w:rsid w:val="009DF08D"/>
    <w:rsid w:val="009E0463"/>
    <w:rsid w:val="009E08C3"/>
    <w:rsid w:val="009E0DF7"/>
    <w:rsid w:val="009E2717"/>
    <w:rsid w:val="009E31DF"/>
    <w:rsid w:val="009E3710"/>
    <w:rsid w:val="009E3781"/>
    <w:rsid w:val="009E3BEC"/>
    <w:rsid w:val="009E4057"/>
    <w:rsid w:val="009E4391"/>
    <w:rsid w:val="009E44F5"/>
    <w:rsid w:val="009E47AC"/>
    <w:rsid w:val="009E50A5"/>
    <w:rsid w:val="009E5DC3"/>
    <w:rsid w:val="009E6632"/>
    <w:rsid w:val="009F0AB9"/>
    <w:rsid w:val="009F1B8D"/>
    <w:rsid w:val="009F1E4C"/>
    <w:rsid w:val="009F20AC"/>
    <w:rsid w:val="009F2315"/>
    <w:rsid w:val="009F2E41"/>
    <w:rsid w:val="009F30B8"/>
    <w:rsid w:val="009F324D"/>
    <w:rsid w:val="009F3904"/>
    <w:rsid w:val="009F3AB1"/>
    <w:rsid w:val="009F42B4"/>
    <w:rsid w:val="009F436A"/>
    <w:rsid w:val="009F45E3"/>
    <w:rsid w:val="009F4826"/>
    <w:rsid w:val="009F50E5"/>
    <w:rsid w:val="009F5956"/>
    <w:rsid w:val="009F5C73"/>
    <w:rsid w:val="009F6215"/>
    <w:rsid w:val="009F6223"/>
    <w:rsid w:val="009F63FA"/>
    <w:rsid w:val="009F6CE0"/>
    <w:rsid w:val="009F6D3E"/>
    <w:rsid w:val="009F6F29"/>
    <w:rsid w:val="009F6FF5"/>
    <w:rsid w:val="009F7FA6"/>
    <w:rsid w:val="00A006E2"/>
    <w:rsid w:val="00A008E9"/>
    <w:rsid w:val="00A00E63"/>
    <w:rsid w:val="00A01FEB"/>
    <w:rsid w:val="00A023AF"/>
    <w:rsid w:val="00A02726"/>
    <w:rsid w:val="00A029CC"/>
    <w:rsid w:val="00A02EAF"/>
    <w:rsid w:val="00A03356"/>
    <w:rsid w:val="00A0408D"/>
    <w:rsid w:val="00A04A62"/>
    <w:rsid w:val="00A051CC"/>
    <w:rsid w:val="00A052FE"/>
    <w:rsid w:val="00A053AE"/>
    <w:rsid w:val="00A0542B"/>
    <w:rsid w:val="00A054DE"/>
    <w:rsid w:val="00A05784"/>
    <w:rsid w:val="00A05BCC"/>
    <w:rsid w:val="00A05D06"/>
    <w:rsid w:val="00A05DC4"/>
    <w:rsid w:val="00A064D3"/>
    <w:rsid w:val="00A072AA"/>
    <w:rsid w:val="00A0756F"/>
    <w:rsid w:val="00A07E63"/>
    <w:rsid w:val="00A07FB8"/>
    <w:rsid w:val="00A1078E"/>
    <w:rsid w:val="00A113FD"/>
    <w:rsid w:val="00A1142D"/>
    <w:rsid w:val="00A1155D"/>
    <w:rsid w:val="00A115CF"/>
    <w:rsid w:val="00A11691"/>
    <w:rsid w:val="00A11B31"/>
    <w:rsid w:val="00A12EF9"/>
    <w:rsid w:val="00A132AE"/>
    <w:rsid w:val="00A1363E"/>
    <w:rsid w:val="00A13FC2"/>
    <w:rsid w:val="00A1495C"/>
    <w:rsid w:val="00A14E47"/>
    <w:rsid w:val="00A14E95"/>
    <w:rsid w:val="00A15BCF"/>
    <w:rsid w:val="00A162AF"/>
    <w:rsid w:val="00A17261"/>
    <w:rsid w:val="00A17548"/>
    <w:rsid w:val="00A179A4"/>
    <w:rsid w:val="00A200F4"/>
    <w:rsid w:val="00A2048F"/>
    <w:rsid w:val="00A20E15"/>
    <w:rsid w:val="00A20E83"/>
    <w:rsid w:val="00A213B8"/>
    <w:rsid w:val="00A216C5"/>
    <w:rsid w:val="00A2336E"/>
    <w:rsid w:val="00A23405"/>
    <w:rsid w:val="00A23780"/>
    <w:rsid w:val="00A241E9"/>
    <w:rsid w:val="00A2424D"/>
    <w:rsid w:val="00A24BFE"/>
    <w:rsid w:val="00A25409"/>
    <w:rsid w:val="00A26848"/>
    <w:rsid w:val="00A27E84"/>
    <w:rsid w:val="00A30037"/>
    <w:rsid w:val="00A30177"/>
    <w:rsid w:val="00A30186"/>
    <w:rsid w:val="00A307F2"/>
    <w:rsid w:val="00A30B56"/>
    <w:rsid w:val="00A312E6"/>
    <w:rsid w:val="00A313B5"/>
    <w:rsid w:val="00A31893"/>
    <w:rsid w:val="00A31BC8"/>
    <w:rsid w:val="00A31FAF"/>
    <w:rsid w:val="00A32356"/>
    <w:rsid w:val="00A32371"/>
    <w:rsid w:val="00A323A5"/>
    <w:rsid w:val="00A3328F"/>
    <w:rsid w:val="00A33C19"/>
    <w:rsid w:val="00A34052"/>
    <w:rsid w:val="00A34053"/>
    <w:rsid w:val="00A343AF"/>
    <w:rsid w:val="00A34DAE"/>
    <w:rsid w:val="00A34E9B"/>
    <w:rsid w:val="00A35CA1"/>
    <w:rsid w:val="00A362EF"/>
    <w:rsid w:val="00A37A44"/>
    <w:rsid w:val="00A40E0D"/>
    <w:rsid w:val="00A41A97"/>
    <w:rsid w:val="00A41C21"/>
    <w:rsid w:val="00A4222D"/>
    <w:rsid w:val="00A42AA2"/>
    <w:rsid w:val="00A43431"/>
    <w:rsid w:val="00A43DDC"/>
    <w:rsid w:val="00A44C99"/>
    <w:rsid w:val="00A45166"/>
    <w:rsid w:val="00A4531F"/>
    <w:rsid w:val="00A4590A"/>
    <w:rsid w:val="00A45983"/>
    <w:rsid w:val="00A45C10"/>
    <w:rsid w:val="00A46423"/>
    <w:rsid w:val="00A476A7"/>
    <w:rsid w:val="00A47B40"/>
    <w:rsid w:val="00A47E58"/>
    <w:rsid w:val="00A50275"/>
    <w:rsid w:val="00A5100A"/>
    <w:rsid w:val="00A51298"/>
    <w:rsid w:val="00A51BD2"/>
    <w:rsid w:val="00A532E6"/>
    <w:rsid w:val="00A5497A"/>
    <w:rsid w:val="00A55ADC"/>
    <w:rsid w:val="00A5607D"/>
    <w:rsid w:val="00A57541"/>
    <w:rsid w:val="00A57DF6"/>
    <w:rsid w:val="00A57E78"/>
    <w:rsid w:val="00A6145E"/>
    <w:rsid w:val="00A621D6"/>
    <w:rsid w:val="00A6307C"/>
    <w:rsid w:val="00A64AEE"/>
    <w:rsid w:val="00A64C90"/>
    <w:rsid w:val="00A652E1"/>
    <w:rsid w:val="00A65584"/>
    <w:rsid w:val="00A67AB6"/>
    <w:rsid w:val="00A7019B"/>
    <w:rsid w:val="00A71B4E"/>
    <w:rsid w:val="00A71DB1"/>
    <w:rsid w:val="00A720B2"/>
    <w:rsid w:val="00A72D3C"/>
    <w:rsid w:val="00A72F69"/>
    <w:rsid w:val="00A73602"/>
    <w:rsid w:val="00A738DB"/>
    <w:rsid w:val="00A741E1"/>
    <w:rsid w:val="00A75135"/>
    <w:rsid w:val="00A76CF7"/>
    <w:rsid w:val="00A774A6"/>
    <w:rsid w:val="00A7750E"/>
    <w:rsid w:val="00A77738"/>
    <w:rsid w:val="00A80418"/>
    <w:rsid w:val="00A8052C"/>
    <w:rsid w:val="00A8062A"/>
    <w:rsid w:val="00A80A85"/>
    <w:rsid w:val="00A80AFF"/>
    <w:rsid w:val="00A814B9"/>
    <w:rsid w:val="00A81616"/>
    <w:rsid w:val="00A825CB"/>
    <w:rsid w:val="00A82831"/>
    <w:rsid w:val="00A82A28"/>
    <w:rsid w:val="00A82E99"/>
    <w:rsid w:val="00A831C6"/>
    <w:rsid w:val="00A836A2"/>
    <w:rsid w:val="00A83808"/>
    <w:rsid w:val="00A84F08"/>
    <w:rsid w:val="00A8553E"/>
    <w:rsid w:val="00A856F8"/>
    <w:rsid w:val="00A8654C"/>
    <w:rsid w:val="00A86B66"/>
    <w:rsid w:val="00A87F59"/>
    <w:rsid w:val="00A87F7A"/>
    <w:rsid w:val="00A9015A"/>
    <w:rsid w:val="00A904A7"/>
    <w:rsid w:val="00A91439"/>
    <w:rsid w:val="00A91478"/>
    <w:rsid w:val="00A915A0"/>
    <w:rsid w:val="00A91EE1"/>
    <w:rsid w:val="00A9299C"/>
    <w:rsid w:val="00A9412F"/>
    <w:rsid w:val="00A9427E"/>
    <w:rsid w:val="00A947C9"/>
    <w:rsid w:val="00A94F79"/>
    <w:rsid w:val="00A95711"/>
    <w:rsid w:val="00A95FF2"/>
    <w:rsid w:val="00A969ED"/>
    <w:rsid w:val="00A96E69"/>
    <w:rsid w:val="00A971A0"/>
    <w:rsid w:val="00A972BB"/>
    <w:rsid w:val="00A97C53"/>
    <w:rsid w:val="00A97E01"/>
    <w:rsid w:val="00A97F13"/>
    <w:rsid w:val="00AA06CC"/>
    <w:rsid w:val="00AA0712"/>
    <w:rsid w:val="00AA0834"/>
    <w:rsid w:val="00AA11F4"/>
    <w:rsid w:val="00AA1352"/>
    <w:rsid w:val="00AA14AC"/>
    <w:rsid w:val="00AA1EBD"/>
    <w:rsid w:val="00AA27F2"/>
    <w:rsid w:val="00AA31F7"/>
    <w:rsid w:val="00AA332A"/>
    <w:rsid w:val="00AA3955"/>
    <w:rsid w:val="00AA45E1"/>
    <w:rsid w:val="00AA49F5"/>
    <w:rsid w:val="00AA4D72"/>
    <w:rsid w:val="00AA5058"/>
    <w:rsid w:val="00AA635A"/>
    <w:rsid w:val="00AA64EC"/>
    <w:rsid w:val="00AA6B2A"/>
    <w:rsid w:val="00AA6D18"/>
    <w:rsid w:val="00AA6DC8"/>
    <w:rsid w:val="00AA7246"/>
    <w:rsid w:val="00AA770B"/>
    <w:rsid w:val="00AA784B"/>
    <w:rsid w:val="00AB00EC"/>
    <w:rsid w:val="00AB1BB3"/>
    <w:rsid w:val="00AB2461"/>
    <w:rsid w:val="00AB293E"/>
    <w:rsid w:val="00AB2FFC"/>
    <w:rsid w:val="00AB3405"/>
    <w:rsid w:val="00AB38F7"/>
    <w:rsid w:val="00AB4490"/>
    <w:rsid w:val="00AB4720"/>
    <w:rsid w:val="00AB52BA"/>
    <w:rsid w:val="00AB5F40"/>
    <w:rsid w:val="00AB60F6"/>
    <w:rsid w:val="00AB64D2"/>
    <w:rsid w:val="00AB68C4"/>
    <w:rsid w:val="00AB6900"/>
    <w:rsid w:val="00AB6A8A"/>
    <w:rsid w:val="00AB6FBC"/>
    <w:rsid w:val="00AB7686"/>
    <w:rsid w:val="00AB7939"/>
    <w:rsid w:val="00AB7B12"/>
    <w:rsid w:val="00AB7B76"/>
    <w:rsid w:val="00AB7F0A"/>
    <w:rsid w:val="00AC1964"/>
    <w:rsid w:val="00AC212D"/>
    <w:rsid w:val="00AC2BB3"/>
    <w:rsid w:val="00AC2D01"/>
    <w:rsid w:val="00AC348F"/>
    <w:rsid w:val="00AC3532"/>
    <w:rsid w:val="00AC36BC"/>
    <w:rsid w:val="00AC406F"/>
    <w:rsid w:val="00AC41B7"/>
    <w:rsid w:val="00AC4724"/>
    <w:rsid w:val="00AC4932"/>
    <w:rsid w:val="00AC4A0D"/>
    <w:rsid w:val="00AC5653"/>
    <w:rsid w:val="00AC6B54"/>
    <w:rsid w:val="00AC7062"/>
    <w:rsid w:val="00AC7499"/>
    <w:rsid w:val="00AC7CD8"/>
    <w:rsid w:val="00AD0BF1"/>
    <w:rsid w:val="00AD0EC0"/>
    <w:rsid w:val="00AD1697"/>
    <w:rsid w:val="00AD179D"/>
    <w:rsid w:val="00AD19EC"/>
    <w:rsid w:val="00AD2FDA"/>
    <w:rsid w:val="00AD3505"/>
    <w:rsid w:val="00AD3640"/>
    <w:rsid w:val="00AD3CA7"/>
    <w:rsid w:val="00AD42E3"/>
    <w:rsid w:val="00AD4C3E"/>
    <w:rsid w:val="00AD6726"/>
    <w:rsid w:val="00AD68AD"/>
    <w:rsid w:val="00AD6D9A"/>
    <w:rsid w:val="00AD6DB1"/>
    <w:rsid w:val="00AD6DD0"/>
    <w:rsid w:val="00AD70CE"/>
    <w:rsid w:val="00AE0343"/>
    <w:rsid w:val="00AE0743"/>
    <w:rsid w:val="00AE0972"/>
    <w:rsid w:val="00AE0A5E"/>
    <w:rsid w:val="00AE2990"/>
    <w:rsid w:val="00AE2A42"/>
    <w:rsid w:val="00AE33D6"/>
    <w:rsid w:val="00AE36A3"/>
    <w:rsid w:val="00AE45FD"/>
    <w:rsid w:val="00AE4B83"/>
    <w:rsid w:val="00AE5472"/>
    <w:rsid w:val="00AE620A"/>
    <w:rsid w:val="00AE66E8"/>
    <w:rsid w:val="00AE6ED1"/>
    <w:rsid w:val="00AE7028"/>
    <w:rsid w:val="00AE7C5A"/>
    <w:rsid w:val="00AF0290"/>
    <w:rsid w:val="00AF0C61"/>
    <w:rsid w:val="00AF3116"/>
    <w:rsid w:val="00AF3A0C"/>
    <w:rsid w:val="00AF3BD0"/>
    <w:rsid w:val="00AF413B"/>
    <w:rsid w:val="00AF43F8"/>
    <w:rsid w:val="00AF53B3"/>
    <w:rsid w:val="00AF59B2"/>
    <w:rsid w:val="00AF66F1"/>
    <w:rsid w:val="00AF75E1"/>
    <w:rsid w:val="00AF769D"/>
    <w:rsid w:val="00AF776C"/>
    <w:rsid w:val="00AF77CC"/>
    <w:rsid w:val="00AF7CCD"/>
    <w:rsid w:val="00B000C0"/>
    <w:rsid w:val="00B00C2D"/>
    <w:rsid w:val="00B00E93"/>
    <w:rsid w:val="00B013CD"/>
    <w:rsid w:val="00B015D0"/>
    <w:rsid w:val="00B0260E"/>
    <w:rsid w:val="00B03B27"/>
    <w:rsid w:val="00B03CF5"/>
    <w:rsid w:val="00B045F7"/>
    <w:rsid w:val="00B047E4"/>
    <w:rsid w:val="00B04EB5"/>
    <w:rsid w:val="00B04F28"/>
    <w:rsid w:val="00B0527C"/>
    <w:rsid w:val="00B05AA7"/>
    <w:rsid w:val="00B05E01"/>
    <w:rsid w:val="00B060A3"/>
    <w:rsid w:val="00B06498"/>
    <w:rsid w:val="00B06607"/>
    <w:rsid w:val="00B07297"/>
    <w:rsid w:val="00B076DD"/>
    <w:rsid w:val="00B07881"/>
    <w:rsid w:val="00B104CF"/>
    <w:rsid w:val="00B12248"/>
    <w:rsid w:val="00B129DD"/>
    <w:rsid w:val="00B12E1E"/>
    <w:rsid w:val="00B13264"/>
    <w:rsid w:val="00B145E9"/>
    <w:rsid w:val="00B14B74"/>
    <w:rsid w:val="00B15AB3"/>
    <w:rsid w:val="00B15EF6"/>
    <w:rsid w:val="00B15F70"/>
    <w:rsid w:val="00B161C6"/>
    <w:rsid w:val="00B16221"/>
    <w:rsid w:val="00B16797"/>
    <w:rsid w:val="00B168EE"/>
    <w:rsid w:val="00B16CE9"/>
    <w:rsid w:val="00B16D1D"/>
    <w:rsid w:val="00B16E99"/>
    <w:rsid w:val="00B17D1C"/>
    <w:rsid w:val="00B20641"/>
    <w:rsid w:val="00B211D7"/>
    <w:rsid w:val="00B21555"/>
    <w:rsid w:val="00B236CE"/>
    <w:rsid w:val="00B23C42"/>
    <w:rsid w:val="00B2451D"/>
    <w:rsid w:val="00B24BF3"/>
    <w:rsid w:val="00B24E19"/>
    <w:rsid w:val="00B2560F"/>
    <w:rsid w:val="00B25828"/>
    <w:rsid w:val="00B25CCF"/>
    <w:rsid w:val="00B262E7"/>
    <w:rsid w:val="00B26948"/>
    <w:rsid w:val="00B26C5E"/>
    <w:rsid w:val="00B26F84"/>
    <w:rsid w:val="00B272AD"/>
    <w:rsid w:val="00B27AC3"/>
    <w:rsid w:val="00B3115A"/>
    <w:rsid w:val="00B322C3"/>
    <w:rsid w:val="00B333DA"/>
    <w:rsid w:val="00B34077"/>
    <w:rsid w:val="00B34600"/>
    <w:rsid w:val="00B351AE"/>
    <w:rsid w:val="00B3712F"/>
    <w:rsid w:val="00B404B0"/>
    <w:rsid w:val="00B40F44"/>
    <w:rsid w:val="00B414E9"/>
    <w:rsid w:val="00B418AE"/>
    <w:rsid w:val="00B4197C"/>
    <w:rsid w:val="00B424B0"/>
    <w:rsid w:val="00B42E6E"/>
    <w:rsid w:val="00B43214"/>
    <w:rsid w:val="00B4356B"/>
    <w:rsid w:val="00B43D13"/>
    <w:rsid w:val="00B45F38"/>
    <w:rsid w:val="00B46F3F"/>
    <w:rsid w:val="00B4771C"/>
    <w:rsid w:val="00B477F8"/>
    <w:rsid w:val="00B47DFA"/>
    <w:rsid w:val="00B500F0"/>
    <w:rsid w:val="00B50AAE"/>
    <w:rsid w:val="00B50F16"/>
    <w:rsid w:val="00B5148A"/>
    <w:rsid w:val="00B5160C"/>
    <w:rsid w:val="00B517A3"/>
    <w:rsid w:val="00B518E4"/>
    <w:rsid w:val="00B52D9E"/>
    <w:rsid w:val="00B52EA6"/>
    <w:rsid w:val="00B52F63"/>
    <w:rsid w:val="00B53015"/>
    <w:rsid w:val="00B5339D"/>
    <w:rsid w:val="00B534B8"/>
    <w:rsid w:val="00B53C7E"/>
    <w:rsid w:val="00B53F11"/>
    <w:rsid w:val="00B53F49"/>
    <w:rsid w:val="00B547E6"/>
    <w:rsid w:val="00B55396"/>
    <w:rsid w:val="00B55650"/>
    <w:rsid w:val="00B55D63"/>
    <w:rsid w:val="00B55E97"/>
    <w:rsid w:val="00B5652A"/>
    <w:rsid w:val="00B56FF0"/>
    <w:rsid w:val="00B5732E"/>
    <w:rsid w:val="00B57C79"/>
    <w:rsid w:val="00B6046E"/>
    <w:rsid w:val="00B60F8B"/>
    <w:rsid w:val="00B61171"/>
    <w:rsid w:val="00B6144A"/>
    <w:rsid w:val="00B6247B"/>
    <w:rsid w:val="00B6275D"/>
    <w:rsid w:val="00B62D7A"/>
    <w:rsid w:val="00B62F8B"/>
    <w:rsid w:val="00B63EE1"/>
    <w:rsid w:val="00B64541"/>
    <w:rsid w:val="00B64A2E"/>
    <w:rsid w:val="00B65874"/>
    <w:rsid w:val="00B65F5B"/>
    <w:rsid w:val="00B66B64"/>
    <w:rsid w:val="00B66B92"/>
    <w:rsid w:val="00B67709"/>
    <w:rsid w:val="00B67945"/>
    <w:rsid w:val="00B67A32"/>
    <w:rsid w:val="00B67D3B"/>
    <w:rsid w:val="00B71370"/>
    <w:rsid w:val="00B7189D"/>
    <w:rsid w:val="00B71F76"/>
    <w:rsid w:val="00B75777"/>
    <w:rsid w:val="00B75E6A"/>
    <w:rsid w:val="00B764A9"/>
    <w:rsid w:val="00B7697A"/>
    <w:rsid w:val="00B76D54"/>
    <w:rsid w:val="00B80A54"/>
    <w:rsid w:val="00B81659"/>
    <w:rsid w:val="00B81F69"/>
    <w:rsid w:val="00B825E0"/>
    <w:rsid w:val="00B82972"/>
    <w:rsid w:val="00B83257"/>
    <w:rsid w:val="00B834C4"/>
    <w:rsid w:val="00B83979"/>
    <w:rsid w:val="00B83EBF"/>
    <w:rsid w:val="00B84807"/>
    <w:rsid w:val="00B84FA4"/>
    <w:rsid w:val="00B85125"/>
    <w:rsid w:val="00B852CF"/>
    <w:rsid w:val="00B855AA"/>
    <w:rsid w:val="00B856AD"/>
    <w:rsid w:val="00B85EDD"/>
    <w:rsid w:val="00B860C5"/>
    <w:rsid w:val="00B861BF"/>
    <w:rsid w:val="00B86727"/>
    <w:rsid w:val="00B86CB2"/>
    <w:rsid w:val="00B86D1A"/>
    <w:rsid w:val="00B86E91"/>
    <w:rsid w:val="00B8707A"/>
    <w:rsid w:val="00B91B66"/>
    <w:rsid w:val="00B92242"/>
    <w:rsid w:val="00B92430"/>
    <w:rsid w:val="00B9274E"/>
    <w:rsid w:val="00B92E02"/>
    <w:rsid w:val="00B92EB4"/>
    <w:rsid w:val="00B92F9A"/>
    <w:rsid w:val="00B9364A"/>
    <w:rsid w:val="00B941B4"/>
    <w:rsid w:val="00B95597"/>
    <w:rsid w:val="00B960C1"/>
    <w:rsid w:val="00B979C3"/>
    <w:rsid w:val="00B97EEE"/>
    <w:rsid w:val="00BA147F"/>
    <w:rsid w:val="00BA23EA"/>
    <w:rsid w:val="00BA2734"/>
    <w:rsid w:val="00BA2AD7"/>
    <w:rsid w:val="00BA2CC6"/>
    <w:rsid w:val="00BA2FD6"/>
    <w:rsid w:val="00BA34F7"/>
    <w:rsid w:val="00BA3A63"/>
    <w:rsid w:val="00BA3E3F"/>
    <w:rsid w:val="00BA4017"/>
    <w:rsid w:val="00BA558D"/>
    <w:rsid w:val="00BA5DCC"/>
    <w:rsid w:val="00BA6FCD"/>
    <w:rsid w:val="00BA71E8"/>
    <w:rsid w:val="00BA736F"/>
    <w:rsid w:val="00BA7B83"/>
    <w:rsid w:val="00BA7EB3"/>
    <w:rsid w:val="00BA7EE9"/>
    <w:rsid w:val="00BB083D"/>
    <w:rsid w:val="00BB0AF9"/>
    <w:rsid w:val="00BB145C"/>
    <w:rsid w:val="00BB1574"/>
    <w:rsid w:val="00BB1CF6"/>
    <w:rsid w:val="00BB2B5B"/>
    <w:rsid w:val="00BB340B"/>
    <w:rsid w:val="00BB3739"/>
    <w:rsid w:val="00BB4186"/>
    <w:rsid w:val="00BB5DB0"/>
    <w:rsid w:val="00BB5DE4"/>
    <w:rsid w:val="00BB6401"/>
    <w:rsid w:val="00BB6BF5"/>
    <w:rsid w:val="00BB6C2F"/>
    <w:rsid w:val="00BB7614"/>
    <w:rsid w:val="00BB7A66"/>
    <w:rsid w:val="00BB7F07"/>
    <w:rsid w:val="00BBC232"/>
    <w:rsid w:val="00BC00E7"/>
    <w:rsid w:val="00BC11AC"/>
    <w:rsid w:val="00BC136F"/>
    <w:rsid w:val="00BC2D66"/>
    <w:rsid w:val="00BC2FAD"/>
    <w:rsid w:val="00BC335C"/>
    <w:rsid w:val="00BC486C"/>
    <w:rsid w:val="00BC4D51"/>
    <w:rsid w:val="00BC50F0"/>
    <w:rsid w:val="00BC59F0"/>
    <w:rsid w:val="00BC5B80"/>
    <w:rsid w:val="00BC5D65"/>
    <w:rsid w:val="00BC64F2"/>
    <w:rsid w:val="00BC695F"/>
    <w:rsid w:val="00BC6B8B"/>
    <w:rsid w:val="00BC7926"/>
    <w:rsid w:val="00BD01BE"/>
    <w:rsid w:val="00BD083A"/>
    <w:rsid w:val="00BD0FE4"/>
    <w:rsid w:val="00BD3AFB"/>
    <w:rsid w:val="00BD3D2D"/>
    <w:rsid w:val="00BD3DEC"/>
    <w:rsid w:val="00BD40A7"/>
    <w:rsid w:val="00BD479C"/>
    <w:rsid w:val="00BD4CC2"/>
    <w:rsid w:val="00BD5953"/>
    <w:rsid w:val="00BD642B"/>
    <w:rsid w:val="00BD71F2"/>
    <w:rsid w:val="00BE051A"/>
    <w:rsid w:val="00BE06C1"/>
    <w:rsid w:val="00BE0726"/>
    <w:rsid w:val="00BE18CF"/>
    <w:rsid w:val="00BE1E98"/>
    <w:rsid w:val="00BE2A6F"/>
    <w:rsid w:val="00BE2BF3"/>
    <w:rsid w:val="00BE2C64"/>
    <w:rsid w:val="00BE3913"/>
    <w:rsid w:val="00BE3DF4"/>
    <w:rsid w:val="00BE42EC"/>
    <w:rsid w:val="00BE5487"/>
    <w:rsid w:val="00BE5B92"/>
    <w:rsid w:val="00BE729C"/>
    <w:rsid w:val="00BE7C70"/>
    <w:rsid w:val="00BF0A4F"/>
    <w:rsid w:val="00BF0B26"/>
    <w:rsid w:val="00BF0C24"/>
    <w:rsid w:val="00BF22A9"/>
    <w:rsid w:val="00BF241D"/>
    <w:rsid w:val="00BF2DCC"/>
    <w:rsid w:val="00BF3FC4"/>
    <w:rsid w:val="00BF43D7"/>
    <w:rsid w:val="00BF4888"/>
    <w:rsid w:val="00BF566E"/>
    <w:rsid w:val="00BF5A1F"/>
    <w:rsid w:val="00BF5B78"/>
    <w:rsid w:val="00BF65C4"/>
    <w:rsid w:val="00BF71B1"/>
    <w:rsid w:val="00BF7E50"/>
    <w:rsid w:val="00C00865"/>
    <w:rsid w:val="00C00B32"/>
    <w:rsid w:val="00C00D45"/>
    <w:rsid w:val="00C0165A"/>
    <w:rsid w:val="00C017BD"/>
    <w:rsid w:val="00C01874"/>
    <w:rsid w:val="00C01DC0"/>
    <w:rsid w:val="00C02DB6"/>
    <w:rsid w:val="00C0352F"/>
    <w:rsid w:val="00C0399A"/>
    <w:rsid w:val="00C03CB3"/>
    <w:rsid w:val="00C03E59"/>
    <w:rsid w:val="00C04964"/>
    <w:rsid w:val="00C04A2C"/>
    <w:rsid w:val="00C04CF1"/>
    <w:rsid w:val="00C05204"/>
    <w:rsid w:val="00C06435"/>
    <w:rsid w:val="00C0687C"/>
    <w:rsid w:val="00C06925"/>
    <w:rsid w:val="00C0724D"/>
    <w:rsid w:val="00C101D4"/>
    <w:rsid w:val="00C106AD"/>
    <w:rsid w:val="00C10A3E"/>
    <w:rsid w:val="00C113DE"/>
    <w:rsid w:val="00C12545"/>
    <w:rsid w:val="00C1295F"/>
    <w:rsid w:val="00C12F7A"/>
    <w:rsid w:val="00C13456"/>
    <w:rsid w:val="00C13B4C"/>
    <w:rsid w:val="00C13E69"/>
    <w:rsid w:val="00C13EEC"/>
    <w:rsid w:val="00C141BE"/>
    <w:rsid w:val="00C146F7"/>
    <w:rsid w:val="00C14748"/>
    <w:rsid w:val="00C14EC0"/>
    <w:rsid w:val="00C158B0"/>
    <w:rsid w:val="00C16DBF"/>
    <w:rsid w:val="00C17A97"/>
    <w:rsid w:val="00C17B19"/>
    <w:rsid w:val="00C17F9A"/>
    <w:rsid w:val="00C20D86"/>
    <w:rsid w:val="00C20FDF"/>
    <w:rsid w:val="00C210D1"/>
    <w:rsid w:val="00C21161"/>
    <w:rsid w:val="00C21931"/>
    <w:rsid w:val="00C220E6"/>
    <w:rsid w:val="00C225B7"/>
    <w:rsid w:val="00C22631"/>
    <w:rsid w:val="00C22DCB"/>
    <w:rsid w:val="00C2343C"/>
    <w:rsid w:val="00C2368F"/>
    <w:rsid w:val="00C23756"/>
    <w:rsid w:val="00C238CD"/>
    <w:rsid w:val="00C23E18"/>
    <w:rsid w:val="00C23EEC"/>
    <w:rsid w:val="00C249BA"/>
    <w:rsid w:val="00C25835"/>
    <w:rsid w:val="00C25879"/>
    <w:rsid w:val="00C26218"/>
    <w:rsid w:val="00C26227"/>
    <w:rsid w:val="00C26435"/>
    <w:rsid w:val="00C266DA"/>
    <w:rsid w:val="00C2691C"/>
    <w:rsid w:val="00C27002"/>
    <w:rsid w:val="00C27306"/>
    <w:rsid w:val="00C278AB"/>
    <w:rsid w:val="00C27914"/>
    <w:rsid w:val="00C290C8"/>
    <w:rsid w:val="00C304FB"/>
    <w:rsid w:val="00C3065E"/>
    <w:rsid w:val="00C30A83"/>
    <w:rsid w:val="00C30B61"/>
    <w:rsid w:val="00C31FD9"/>
    <w:rsid w:val="00C330D2"/>
    <w:rsid w:val="00C3349A"/>
    <w:rsid w:val="00C33C68"/>
    <w:rsid w:val="00C34722"/>
    <w:rsid w:val="00C34744"/>
    <w:rsid w:val="00C365B0"/>
    <w:rsid w:val="00C37450"/>
    <w:rsid w:val="00C40DD9"/>
    <w:rsid w:val="00C41074"/>
    <w:rsid w:val="00C42311"/>
    <w:rsid w:val="00C4273D"/>
    <w:rsid w:val="00C42ACA"/>
    <w:rsid w:val="00C43307"/>
    <w:rsid w:val="00C435D5"/>
    <w:rsid w:val="00C4386F"/>
    <w:rsid w:val="00C4468F"/>
    <w:rsid w:val="00C45E89"/>
    <w:rsid w:val="00C46781"/>
    <w:rsid w:val="00C46863"/>
    <w:rsid w:val="00C46909"/>
    <w:rsid w:val="00C46A05"/>
    <w:rsid w:val="00C46FA2"/>
    <w:rsid w:val="00C46FEA"/>
    <w:rsid w:val="00C508F2"/>
    <w:rsid w:val="00C50CEE"/>
    <w:rsid w:val="00C50F6E"/>
    <w:rsid w:val="00C513C6"/>
    <w:rsid w:val="00C514CF"/>
    <w:rsid w:val="00C517D5"/>
    <w:rsid w:val="00C51D6C"/>
    <w:rsid w:val="00C52339"/>
    <w:rsid w:val="00C52360"/>
    <w:rsid w:val="00C52895"/>
    <w:rsid w:val="00C529EC"/>
    <w:rsid w:val="00C53224"/>
    <w:rsid w:val="00C5352A"/>
    <w:rsid w:val="00C53611"/>
    <w:rsid w:val="00C543C5"/>
    <w:rsid w:val="00C54547"/>
    <w:rsid w:val="00C547E8"/>
    <w:rsid w:val="00C549CA"/>
    <w:rsid w:val="00C54A67"/>
    <w:rsid w:val="00C553C0"/>
    <w:rsid w:val="00C560DA"/>
    <w:rsid w:val="00C56EDE"/>
    <w:rsid w:val="00C577BD"/>
    <w:rsid w:val="00C57F7B"/>
    <w:rsid w:val="00C57F81"/>
    <w:rsid w:val="00C601DD"/>
    <w:rsid w:val="00C6028A"/>
    <w:rsid w:val="00C60411"/>
    <w:rsid w:val="00C6115D"/>
    <w:rsid w:val="00C61265"/>
    <w:rsid w:val="00C61761"/>
    <w:rsid w:val="00C618B9"/>
    <w:rsid w:val="00C61DC9"/>
    <w:rsid w:val="00C61F4B"/>
    <w:rsid w:val="00C621AE"/>
    <w:rsid w:val="00C626C3"/>
    <w:rsid w:val="00C633CB"/>
    <w:rsid w:val="00C63F79"/>
    <w:rsid w:val="00C63FB5"/>
    <w:rsid w:val="00C643EA"/>
    <w:rsid w:val="00C6440A"/>
    <w:rsid w:val="00C64D22"/>
    <w:rsid w:val="00C64D24"/>
    <w:rsid w:val="00C64D5F"/>
    <w:rsid w:val="00C65222"/>
    <w:rsid w:val="00C65CEC"/>
    <w:rsid w:val="00C65D68"/>
    <w:rsid w:val="00C65DD6"/>
    <w:rsid w:val="00C6632C"/>
    <w:rsid w:val="00C66AE6"/>
    <w:rsid w:val="00C66B7D"/>
    <w:rsid w:val="00C66D78"/>
    <w:rsid w:val="00C67A2D"/>
    <w:rsid w:val="00C704BD"/>
    <w:rsid w:val="00C706CD"/>
    <w:rsid w:val="00C71D68"/>
    <w:rsid w:val="00C735D7"/>
    <w:rsid w:val="00C738C0"/>
    <w:rsid w:val="00C7401C"/>
    <w:rsid w:val="00C74158"/>
    <w:rsid w:val="00C753E0"/>
    <w:rsid w:val="00C7548D"/>
    <w:rsid w:val="00C75819"/>
    <w:rsid w:val="00C766A0"/>
    <w:rsid w:val="00C76921"/>
    <w:rsid w:val="00C76D7A"/>
    <w:rsid w:val="00C7725B"/>
    <w:rsid w:val="00C773C1"/>
    <w:rsid w:val="00C77AE9"/>
    <w:rsid w:val="00C77C45"/>
    <w:rsid w:val="00C806DE"/>
    <w:rsid w:val="00C806FF"/>
    <w:rsid w:val="00C808D7"/>
    <w:rsid w:val="00C80FC9"/>
    <w:rsid w:val="00C8396F"/>
    <w:rsid w:val="00C84584"/>
    <w:rsid w:val="00C847EB"/>
    <w:rsid w:val="00C84DD1"/>
    <w:rsid w:val="00C8617F"/>
    <w:rsid w:val="00C86747"/>
    <w:rsid w:val="00C87050"/>
    <w:rsid w:val="00C87141"/>
    <w:rsid w:val="00C87889"/>
    <w:rsid w:val="00C87D22"/>
    <w:rsid w:val="00C90D6C"/>
    <w:rsid w:val="00C90F76"/>
    <w:rsid w:val="00C91F27"/>
    <w:rsid w:val="00C92AEA"/>
    <w:rsid w:val="00C92F15"/>
    <w:rsid w:val="00C94428"/>
    <w:rsid w:val="00C94459"/>
    <w:rsid w:val="00C944A1"/>
    <w:rsid w:val="00C94619"/>
    <w:rsid w:val="00C95779"/>
    <w:rsid w:val="00C9672C"/>
    <w:rsid w:val="00C96CC1"/>
    <w:rsid w:val="00C96EC8"/>
    <w:rsid w:val="00CA08C4"/>
    <w:rsid w:val="00CA0A42"/>
    <w:rsid w:val="00CA0DBD"/>
    <w:rsid w:val="00CA1366"/>
    <w:rsid w:val="00CA13FA"/>
    <w:rsid w:val="00CA1E59"/>
    <w:rsid w:val="00CA2221"/>
    <w:rsid w:val="00CA226B"/>
    <w:rsid w:val="00CA24F5"/>
    <w:rsid w:val="00CA266B"/>
    <w:rsid w:val="00CA288A"/>
    <w:rsid w:val="00CA2A73"/>
    <w:rsid w:val="00CA2FFC"/>
    <w:rsid w:val="00CA3E34"/>
    <w:rsid w:val="00CA4194"/>
    <w:rsid w:val="00CA4202"/>
    <w:rsid w:val="00CA4336"/>
    <w:rsid w:val="00CA5FA8"/>
    <w:rsid w:val="00CA64D2"/>
    <w:rsid w:val="00CA69CF"/>
    <w:rsid w:val="00CA6A41"/>
    <w:rsid w:val="00CA6B3C"/>
    <w:rsid w:val="00CA6D39"/>
    <w:rsid w:val="00CA6E16"/>
    <w:rsid w:val="00CA7435"/>
    <w:rsid w:val="00CA7C63"/>
    <w:rsid w:val="00CA7E11"/>
    <w:rsid w:val="00CA7EB1"/>
    <w:rsid w:val="00CB0520"/>
    <w:rsid w:val="00CB066E"/>
    <w:rsid w:val="00CB1548"/>
    <w:rsid w:val="00CB184F"/>
    <w:rsid w:val="00CB2CBD"/>
    <w:rsid w:val="00CB3216"/>
    <w:rsid w:val="00CB39E6"/>
    <w:rsid w:val="00CB3C27"/>
    <w:rsid w:val="00CB3D6C"/>
    <w:rsid w:val="00CB3F9E"/>
    <w:rsid w:val="00CB42B7"/>
    <w:rsid w:val="00CB4634"/>
    <w:rsid w:val="00CB587B"/>
    <w:rsid w:val="00CB5B87"/>
    <w:rsid w:val="00CB5E4C"/>
    <w:rsid w:val="00CB5F3A"/>
    <w:rsid w:val="00CB62EA"/>
    <w:rsid w:val="00CC02CC"/>
    <w:rsid w:val="00CC115C"/>
    <w:rsid w:val="00CC1D14"/>
    <w:rsid w:val="00CC2386"/>
    <w:rsid w:val="00CC412C"/>
    <w:rsid w:val="00CC43CE"/>
    <w:rsid w:val="00CC5115"/>
    <w:rsid w:val="00CC53D9"/>
    <w:rsid w:val="00CC5546"/>
    <w:rsid w:val="00CC55F5"/>
    <w:rsid w:val="00CC5D65"/>
    <w:rsid w:val="00CC67E4"/>
    <w:rsid w:val="00CC697C"/>
    <w:rsid w:val="00CC72D2"/>
    <w:rsid w:val="00CC7FF6"/>
    <w:rsid w:val="00CD0227"/>
    <w:rsid w:val="00CD035E"/>
    <w:rsid w:val="00CD05A3"/>
    <w:rsid w:val="00CD0AE9"/>
    <w:rsid w:val="00CD0D74"/>
    <w:rsid w:val="00CD18A8"/>
    <w:rsid w:val="00CD1AD3"/>
    <w:rsid w:val="00CD2DBD"/>
    <w:rsid w:val="00CD3213"/>
    <w:rsid w:val="00CD3E1E"/>
    <w:rsid w:val="00CD43A3"/>
    <w:rsid w:val="00CD4F3D"/>
    <w:rsid w:val="00CD715D"/>
    <w:rsid w:val="00CD793B"/>
    <w:rsid w:val="00CD7B26"/>
    <w:rsid w:val="00CDC329"/>
    <w:rsid w:val="00CE01AD"/>
    <w:rsid w:val="00CE0777"/>
    <w:rsid w:val="00CE09B1"/>
    <w:rsid w:val="00CE0EFF"/>
    <w:rsid w:val="00CE113E"/>
    <w:rsid w:val="00CE148B"/>
    <w:rsid w:val="00CE18C2"/>
    <w:rsid w:val="00CE20D6"/>
    <w:rsid w:val="00CE2422"/>
    <w:rsid w:val="00CE2899"/>
    <w:rsid w:val="00CE39F7"/>
    <w:rsid w:val="00CE3C86"/>
    <w:rsid w:val="00CE59B4"/>
    <w:rsid w:val="00CE5FC3"/>
    <w:rsid w:val="00CE60DD"/>
    <w:rsid w:val="00CE76C9"/>
    <w:rsid w:val="00CE79C6"/>
    <w:rsid w:val="00CE7AE1"/>
    <w:rsid w:val="00CE7F29"/>
    <w:rsid w:val="00CF0391"/>
    <w:rsid w:val="00CF0A85"/>
    <w:rsid w:val="00CF1475"/>
    <w:rsid w:val="00CF1581"/>
    <w:rsid w:val="00CF1953"/>
    <w:rsid w:val="00CF3FAB"/>
    <w:rsid w:val="00CF4049"/>
    <w:rsid w:val="00CF47DC"/>
    <w:rsid w:val="00CF5AE8"/>
    <w:rsid w:val="00CF60AE"/>
    <w:rsid w:val="00CF6123"/>
    <w:rsid w:val="00CF6B37"/>
    <w:rsid w:val="00CF6F78"/>
    <w:rsid w:val="00CF71D8"/>
    <w:rsid w:val="00CF73BB"/>
    <w:rsid w:val="00CF7709"/>
    <w:rsid w:val="00D003DE"/>
    <w:rsid w:val="00D00B0C"/>
    <w:rsid w:val="00D018DB"/>
    <w:rsid w:val="00D01E32"/>
    <w:rsid w:val="00D02184"/>
    <w:rsid w:val="00D02B16"/>
    <w:rsid w:val="00D02CD8"/>
    <w:rsid w:val="00D02ED3"/>
    <w:rsid w:val="00D03557"/>
    <w:rsid w:val="00D036BA"/>
    <w:rsid w:val="00D041EA"/>
    <w:rsid w:val="00D051E3"/>
    <w:rsid w:val="00D064AB"/>
    <w:rsid w:val="00D06809"/>
    <w:rsid w:val="00D06D8F"/>
    <w:rsid w:val="00D06F94"/>
    <w:rsid w:val="00D071D6"/>
    <w:rsid w:val="00D07F58"/>
    <w:rsid w:val="00D10464"/>
    <w:rsid w:val="00D10F6C"/>
    <w:rsid w:val="00D113BA"/>
    <w:rsid w:val="00D11471"/>
    <w:rsid w:val="00D11CD2"/>
    <w:rsid w:val="00D129F2"/>
    <w:rsid w:val="00D13246"/>
    <w:rsid w:val="00D13325"/>
    <w:rsid w:val="00D13C72"/>
    <w:rsid w:val="00D14327"/>
    <w:rsid w:val="00D1467E"/>
    <w:rsid w:val="00D14A2E"/>
    <w:rsid w:val="00D14D2D"/>
    <w:rsid w:val="00D16A55"/>
    <w:rsid w:val="00D16D49"/>
    <w:rsid w:val="00D16FED"/>
    <w:rsid w:val="00D17A53"/>
    <w:rsid w:val="00D17C9C"/>
    <w:rsid w:val="00D17D32"/>
    <w:rsid w:val="00D17E3A"/>
    <w:rsid w:val="00D2011A"/>
    <w:rsid w:val="00D21023"/>
    <w:rsid w:val="00D21596"/>
    <w:rsid w:val="00D215D2"/>
    <w:rsid w:val="00D21EAF"/>
    <w:rsid w:val="00D2264A"/>
    <w:rsid w:val="00D22EE9"/>
    <w:rsid w:val="00D23679"/>
    <w:rsid w:val="00D2418F"/>
    <w:rsid w:val="00D24B65"/>
    <w:rsid w:val="00D25214"/>
    <w:rsid w:val="00D25339"/>
    <w:rsid w:val="00D25532"/>
    <w:rsid w:val="00D25A66"/>
    <w:rsid w:val="00D25A7E"/>
    <w:rsid w:val="00D25D73"/>
    <w:rsid w:val="00D2681B"/>
    <w:rsid w:val="00D26CDA"/>
    <w:rsid w:val="00D26F51"/>
    <w:rsid w:val="00D27416"/>
    <w:rsid w:val="00D2741D"/>
    <w:rsid w:val="00D27C3C"/>
    <w:rsid w:val="00D30854"/>
    <w:rsid w:val="00D3094A"/>
    <w:rsid w:val="00D30A7F"/>
    <w:rsid w:val="00D30D5E"/>
    <w:rsid w:val="00D31CF7"/>
    <w:rsid w:val="00D31F91"/>
    <w:rsid w:val="00D32298"/>
    <w:rsid w:val="00D32766"/>
    <w:rsid w:val="00D32BBA"/>
    <w:rsid w:val="00D33471"/>
    <w:rsid w:val="00D3376D"/>
    <w:rsid w:val="00D34385"/>
    <w:rsid w:val="00D34822"/>
    <w:rsid w:val="00D349D3"/>
    <w:rsid w:val="00D34B49"/>
    <w:rsid w:val="00D34C7E"/>
    <w:rsid w:val="00D34D16"/>
    <w:rsid w:val="00D34F17"/>
    <w:rsid w:val="00D3500D"/>
    <w:rsid w:val="00D35944"/>
    <w:rsid w:val="00D359FD"/>
    <w:rsid w:val="00D36529"/>
    <w:rsid w:val="00D37CD4"/>
    <w:rsid w:val="00D400AC"/>
    <w:rsid w:val="00D40543"/>
    <w:rsid w:val="00D40716"/>
    <w:rsid w:val="00D40B66"/>
    <w:rsid w:val="00D41036"/>
    <w:rsid w:val="00D4127E"/>
    <w:rsid w:val="00D4208F"/>
    <w:rsid w:val="00D42B86"/>
    <w:rsid w:val="00D43226"/>
    <w:rsid w:val="00D43984"/>
    <w:rsid w:val="00D44010"/>
    <w:rsid w:val="00D44B5D"/>
    <w:rsid w:val="00D44C7D"/>
    <w:rsid w:val="00D44F62"/>
    <w:rsid w:val="00D45055"/>
    <w:rsid w:val="00D45376"/>
    <w:rsid w:val="00D4654C"/>
    <w:rsid w:val="00D47139"/>
    <w:rsid w:val="00D477E4"/>
    <w:rsid w:val="00D47A32"/>
    <w:rsid w:val="00D504C3"/>
    <w:rsid w:val="00D516B9"/>
    <w:rsid w:val="00D5195C"/>
    <w:rsid w:val="00D51A0A"/>
    <w:rsid w:val="00D51F14"/>
    <w:rsid w:val="00D52047"/>
    <w:rsid w:val="00D52A20"/>
    <w:rsid w:val="00D52A65"/>
    <w:rsid w:val="00D52EF5"/>
    <w:rsid w:val="00D52FE2"/>
    <w:rsid w:val="00D532EF"/>
    <w:rsid w:val="00D53694"/>
    <w:rsid w:val="00D53A25"/>
    <w:rsid w:val="00D53E29"/>
    <w:rsid w:val="00D54486"/>
    <w:rsid w:val="00D54861"/>
    <w:rsid w:val="00D54C9B"/>
    <w:rsid w:val="00D553CA"/>
    <w:rsid w:val="00D56898"/>
    <w:rsid w:val="00D56AE7"/>
    <w:rsid w:val="00D576EC"/>
    <w:rsid w:val="00D577F9"/>
    <w:rsid w:val="00D57D78"/>
    <w:rsid w:val="00D600D6"/>
    <w:rsid w:val="00D6056E"/>
    <w:rsid w:val="00D60E5C"/>
    <w:rsid w:val="00D61B6B"/>
    <w:rsid w:val="00D62650"/>
    <w:rsid w:val="00D63C7D"/>
    <w:rsid w:val="00D6415F"/>
    <w:rsid w:val="00D64712"/>
    <w:rsid w:val="00D647A8"/>
    <w:rsid w:val="00D649EA"/>
    <w:rsid w:val="00D6546C"/>
    <w:rsid w:val="00D657DF"/>
    <w:rsid w:val="00D66E10"/>
    <w:rsid w:val="00D67AFC"/>
    <w:rsid w:val="00D702E2"/>
    <w:rsid w:val="00D70390"/>
    <w:rsid w:val="00D7162E"/>
    <w:rsid w:val="00D7268B"/>
    <w:rsid w:val="00D73003"/>
    <w:rsid w:val="00D73B24"/>
    <w:rsid w:val="00D7401E"/>
    <w:rsid w:val="00D740B0"/>
    <w:rsid w:val="00D7504A"/>
    <w:rsid w:val="00D75519"/>
    <w:rsid w:val="00D76057"/>
    <w:rsid w:val="00D76390"/>
    <w:rsid w:val="00D7686B"/>
    <w:rsid w:val="00D768DF"/>
    <w:rsid w:val="00D77734"/>
    <w:rsid w:val="00D77C80"/>
    <w:rsid w:val="00D77CF3"/>
    <w:rsid w:val="00D77F95"/>
    <w:rsid w:val="00D80283"/>
    <w:rsid w:val="00D8055E"/>
    <w:rsid w:val="00D81CB7"/>
    <w:rsid w:val="00D83606"/>
    <w:rsid w:val="00D838FD"/>
    <w:rsid w:val="00D83C85"/>
    <w:rsid w:val="00D83CB4"/>
    <w:rsid w:val="00D84276"/>
    <w:rsid w:val="00D8439D"/>
    <w:rsid w:val="00D85111"/>
    <w:rsid w:val="00D85245"/>
    <w:rsid w:val="00D853F2"/>
    <w:rsid w:val="00D85E15"/>
    <w:rsid w:val="00D8612A"/>
    <w:rsid w:val="00D86213"/>
    <w:rsid w:val="00D8630C"/>
    <w:rsid w:val="00D86F81"/>
    <w:rsid w:val="00D8715B"/>
    <w:rsid w:val="00D87ABB"/>
    <w:rsid w:val="00D87C31"/>
    <w:rsid w:val="00D9042C"/>
    <w:rsid w:val="00D91098"/>
    <w:rsid w:val="00D91352"/>
    <w:rsid w:val="00D91640"/>
    <w:rsid w:val="00D9170B"/>
    <w:rsid w:val="00D91B51"/>
    <w:rsid w:val="00D92572"/>
    <w:rsid w:val="00D92DD0"/>
    <w:rsid w:val="00D92DFE"/>
    <w:rsid w:val="00D934EE"/>
    <w:rsid w:val="00D936F8"/>
    <w:rsid w:val="00D93ACB"/>
    <w:rsid w:val="00D93B50"/>
    <w:rsid w:val="00D9425C"/>
    <w:rsid w:val="00D94387"/>
    <w:rsid w:val="00D9479B"/>
    <w:rsid w:val="00D948DB"/>
    <w:rsid w:val="00D94C60"/>
    <w:rsid w:val="00D94D2B"/>
    <w:rsid w:val="00D9529B"/>
    <w:rsid w:val="00D95D8D"/>
    <w:rsid w:val="00D96548"/>
    <w:rsid w:val="00D966D7"/>
    <w:rsid w:val="00D97482"/>
    <w:rsid w:val="00D97E69"/>
    <w:rsid w:val="00DA0599"/>
    <w:rsid w:val="00DA1F74"/>
    <w:rsid w:val="00DA263E"/>
    <w:rsid w:val="00DA2BEE"/>
    <w:rsid w:val="00DA2C44"/>
    <w:rsid w:val="00DA2DC1"/>
    <w:rsid w:val="00DA2E2F"/>
    <w:rsid w:val="00DA3022"/>
    <w:rsid w:val="00DA3594"/>
    <w:rsid w:val="00DA40C8"/>
    <w:rsid w:val="00DA4688"/>
    <w:rsid w:val="00DA499D"/>
    <w:rsid w:val="00DA55FA"/>
    <w:rsid w:val="00DA6A27"/>
    <w:rsid w:val="00DA6F8F"/>
    <w:rsid w:val="00DA772C"/>
    <w:rsid w:val="00DA77FA"/>
    <w:rsid w:val="00DA7D78"/>
    <w:rsid w:val="00DB0F7B"/>
    <w:rsid w:val="00DB1021"/>
    <w:rsid w:val="00DB102F"/>
    <w:rsid w:val="00DB1671"/>
    <w:rsid w:val="00DB1B60"/>
    <w:rsid w:val="00DB1EA1"/>
    <w:rsid w:val="00DB227F"/>
    <w:rsid w:val="00DB2865"/>
    <w:rsid w:val="00DB2A0C"/>
    <w:rsid w:val="00DB30D2"/>
    <w:rsid w:val="00DB38C0"/>
    <w:rsid w:val="00DB3B2A"/>
    <w:rsid w:val="00DB3F45"/>
    <w:rsid w:val="00DB437F"/>
    <w:rsid w:val="00DB467A"/>
    <w:rsid w:val="00DB47F1"/>
    <w:rsid w:val="00DB5358"/>
    <w:rsid w:val="00DB5A73"/>
    <w:rsid w:val="00DB5C3B"/>
    <w:rsid w:val="00DB5E23"/>
    <w:rsid w:val="00DB61BE"/>
    <w:rsid w:val="00DB62DA"/>
    <w:rsid w:val="00DB62E8"/>
    <w:rsid w:val="00DB64B9"/>
    <w:rsid w:val="00DB6919"/>
    <w:rsid w:val="00DB6DE1"/>
    <w:rsid w:val="00DB6F26"/>
    <w:rsid w:val="00DB702A"/>
    <w:rsid w:val="00DB70F5"/>
    <w:rsid w:val="00DC0068"/>
    <w:rsid w:val="00DC0534"/>
    <w:rsid w:val="00DC08BB"/>
    <w:rsid w:val="00DC1B10"/>
    <w:rsid w:val="00DC2015"/>
    <w:rsid w:val="00DC2862"/>
    <w:rsid w:val="00DC2EEB"/>
    <w:rsid w:val="00DC32E8"/>
    <w:rsid w:val="00DC36A5"/>
    <w:rsid w:val="00DC493B"/>
    <w:rsid w:val="00DC56C8"/>
    <w:rsid w:val="00DC59D0"/>
    <w:rsid w:val="00DC5F8D"/>
    <w:rsid w:val="00DC6D4B"/>
    <w:rsid w:val="00DC75C2"/>
    <w:rsid w:val="00DC771A"/>
    <w:rsid w:val="00DC77A7"/>
    <w:rsid w:val="00DD0B2A"/>
    <w:rsid w:val="00DD0BF1"/>
    <w:rsid w:val="00DD15E8"/>
    <w:rsid w:val="00DD236F"/>
    <w:rsid w:val="00DD38CE"/>
    <w:rsid w:val="00DD3A85"/>
    <w:rsid w:val="00DD3E77"/>
    <w:rsid w:val="00DD4B7D"/>
    <w:rsid w:val="00DD4BA0"/>
    <w:rsid w:val="00DD4E2F"/>
    <w:rsid w:val="00DD53CD"/>
    <w:rsid w:val="00DD55AD"/>
    <w:rsid w:val="00DD55B4"/>
    <w:rsid w:val="00DD5669"/>
    <w:rsid w:val="00DD5670"/>
    <w:rsid w:val="00DD5757"/>
    <w:rsid w:val="00DD7387"/>
    <w:rsid w:val="00DD73F9"/>
    <w:rsid w:val="00DD7923"/>
    <w:rsid w:val="00DE155C"/>
    <w:rsid w:val="00DE1678"/>
    <w:rsid w:val="00DE1766"/>
    <w:rsid w:val="00DE22CA"/>
    <w:rsid w:val="00DE2697"/>
    <w:rsid w:val="00DE47D1"/>
    <w:rsid w:val="00DE4A8C"/>
    <w:rsid w:val="00DE4AE7"/>
    <w:rsid w:val="00DE4E9C"/>
    <w:rsid w:val="00DE5383"/>
    <w:rsid w:val="00DE55E8"/>
    <w:rsid w:val="00DE56BB"/>
    <w:rsid w:val="00DE59D7"/>
    <w:rsid w:val="00DE5A97"/>
    <w:rsid w:val="00DE6185"/>
    <w:rsid w:val="00DE63D9"/>
    <w:rsid w:val="00DE6628"/>
    <w:rsid w:val="00DE6F50"/>
    <w:rsid w:val="00DE74F4"/>
    <w:rsid w:val="00DE7B46"/>
    <w:rsid w:val="00DE7F70"/>
    <w:rsid w:val="00DF04B7"/>
    <w:rsid w:val="00DF06C5"/>
    <w:rsid w:val="00DF089F"/>
    <w:rsid w:val="00DF233E"/>
    <w:rsid w:val="00DF309D"/>
    <w:rsid w:val="00DF354F"/>
    <w:rsid w:val="00DF3585"/>
    <w:rsid w:val="00DF3A1F"/>
    <w:rsid w:val="00DF3DA6"/>
    <w:rsid w:val="00DF42B3"/>
    <w:rsid w:val="00DF464F"/>
    <w:rsid w:val="00DF47DB"/>
    <w:rsid w:val="00DF5636"/>
    <w:rsid w:val="00DF5653"/>
    <w:rsid w:val="00DF5761"/>
    <w:rsid w:val="00DF5A50"/>
    <w:rsid w:val="00DF6812"/>
    <w:rsid w:val="00DF6831"/>
    <w:rsid w:val="00DF6A8E"/>
    <w:rsid w:val="00DF70EF"/>
    <w:rsid w:val="00DF7204"/>
    <w:rsid w:val="00DF776D"/>
    <w:rsid w:val="00DF7B67"/>
    <w:rsid w:val="00DF7F88"/>
    <w:rsid w:val="00E000B5"/>
    <w:rsid w:val="00E0067A"/>
    <w:rsid w:val="00E00EB2"/>
    <w:rsid w:val="00E01F01"/>
    <w:rsid w:val="00E0226D"/>
    <w:rsid w:val="00E02916"/>
    <w:rsid w:val="00E02DFD"/>
    <w:rsid w:val="00E02FA2"/>
    <w:rsid w:val="00E03358"/>
    <w:rsid w:val="00E03928"/>
    <w:rsid w:val="00E04C5B"/>
    <w:rsid w:val="00E04D3A"/>
    <w:rsid w:val="00E06571"/>
    <w:rsid w:val="00E06B50"/>
    <w:rsid w:val="00E10358"/>
    <w:rsid w:val="00E103CE"/>
    <w:rsid w:val="00E12C42"/>
    <w:rsid w:val="00E12F6B"/>
    <w:rsid w:val="00E13603"/>
    <w:rsid w:val="00E13698"/>
    <w:rsid w:val="00E14EFD"/>
    <w:rsid w:val="00E14F45"/>
    <w:rsid w:val="00E15900"/>
    <w:rsid w:val="00E15D20"/>
    <w:rsid w:val="00E1670B"/>
    <w:rsid w:val="00E1672A"/>
    <w:rsid w:val="00E16BCF"/>
    <w:rsid w:val="00E16CB0"/>
    <w:rsid w:val="00E17437"/>
    <w:rsid w:val="00E17C09"/>
    <w:rsid w:val="00E206D4"/>
    <w:rsid w:val="00E20BB7"/>
    <w:rsid w:val="00E212A5"/>
    <w:rsid w:val="00E2154A"/>
    <w:rsid w:val="00E215C0"/>
    <w:rsid w:val="00E21CF8"/>
    <w:rsid w:val="00E22255"/>
    <w:rsid w:val="00E233CD"/>
    <w:rsid w:val="00E23A95"/>
    <w:rsid w:val="00E24492"/>
    <w:rsid w:val="00E24B89"/>
    <w:rsid w:val="00E25379"/>
    <w:rsid w:val="00E261E8"/>
    <w:rsid w:val="00E26636"/>
    <w:rsid w:val="00E269C0"/>
    <w:rsid w:val="00E26BF6"/>
    <w:rsid w:val="00E27783"/>
    <w:rsid w:val="00E27B82"/>
    <w:rsid w:val="00E27F65"/>
    <w:rsid w:val="00E3076D"/>
    <w:rsid w:val="00E307D9"/>
    <w:rsid w:val="00E3164D"/>
    <w:rsid w:val="00E316C7"/>
    <w:rsid w:val="00E31CB9"/>
    <w:rsid w:val="00E3241E"/>
    <w:rsid w:val="00E3311A"/>
    <w:rsid w:val="00E34C8C"/>
    <w:rsid w:val="00E35E4D"/>
    <w:rsid w:val="00E35E7E"/>
    <w:rsid w:val="00E3639B"/>
    <w:rsid w:val="00E365E9"/>
    <w:rsid w:val="00E3696C"/>
    <w:rsid w:val="00E37806"/>
    <w:rsid w:val="00E40053"/>
    <w:rsid w:val="00E40EB6"/>
    <w:rsid w:val="00E41C40"/>
    <w:rsid w:val="00E421C9"/>
    <w:rsid w:val="00E42902"/>
    <w:rsid w:val="00E42A73"/>
    <w:rsid w:val="00E42E26"/>
    <w:rsid w:val="00E4303B"/>
    <w:rsid w:val="00E43065"/>
    <w:rsid w:val="00E43787"/>
    <w:rsid w:val="00E440EF"/>
    <w:rsid w:val="00E44635"/>
    <w:rsid w:val="00E447B2"/>
    <w:rsid w:val="00E44C4B"/>
    <w:rsid w:val="00E45456"/>
    <w:rsid w:val="00E457DE"/>
    <w:rsid w:val="00E45A56"/>
    <w:rsid w:val="00E45BD3"/>
    <w:rsid w:val="00E45BEC"/>
    <w:rsid w:val="00E461CB"/>
    <w:rsid w:val="00E464C5"/>
    <w:rsid w:val="00E46B64"/>
    <w:rsid w:val="00E46D5E"/>
    <w:rsid w:val="00E46D7D"/>
    <w:rsid w:val="00E46EAB"/>
    <w:rsid w:val="00E478BC"/>
    <w:rsid w:val="00E47EE3"/>
    <w:rsid w:val="00E47FBF"/>
    <w:rsid w:val="00E50502"/>
    <w:rsid w:val="00E50A51"/>
    <w:rsid w:val="00E50B2A"/>
    <w:rsid w:val="00E50C1D"/>
    <w:rsid w:val="00E50F6A"/>
    <w:rsid w:val="00E514FB"/>
    <w:rsid w:val="00E528BD"/>
    <w:rsid w:val="00E53648"/>
    <w:rsid w:val="00E5367B"/>
    <w:rsid w:val="00E542D2"/>
    <w:rsid w:val="00E5436A"/>
    <w:rsid w:val="00E5580D"/>
    <w:rsid w:val="00E564FA"/>
    <w:rsid w:val="00E56B23"/>
    <w:rsid w:val="00E56E3A"/>
    <w:rsid w:val="00E57062"/>
    <w:rsid w:val="00E5750F"/>
    <w:rsid w:val="00E5760D"/>
    <w:rsid w:val="00E576C4"/>
    <w:rsid w:val="00E57A3B"/>
    <w:rsid w:val="00E60A22"/>
    <w:rsid w:val="00E60C75"/>
    <w:rsid w:val="00E6134D"/>
    <w:rsid w:val="00E61C47"/>
    <w:rsid w:val="00E61DCA"/>
    <w:rsid w:val="00E62C07"/>
    <w:rsid w:val="00E62DBA"/>
    <w:rsid w:val="00E64C48"/>
    <w:rsid w:val="00E64F81"/>
    <w:rsid w:val="00E651D8"/>
    <w:rsid w:val="00E65CAE"/>
    <w:rsid w:val="00E6633B"/>
    <w:rsid w:val="00E66945"/>
    <w:rsid w:val="00E6697E"/>
    <w:rsid w:val="00E66F8D"/>
    <w:rsid w:val="00E67EAA"/>
    <w:rsid w:val="00E70AD4"/>
    <w:rsid w:val="00E70D69"/>
    <w:rsid w:val="00E7125A"/>
    <w:rsid w:val="00E73F33"/>
    <w:rsid w:val="00E744D1"/>
    <w:rsid w:val="00E74C2D"/>
    <w:rsid w:val="00E7558E"/>
    <w:rsid w:val="00E766C3"/>
    <w:rsid w:val="00E76F35"/>
    <w:rsid w:val="00E77D6F"/>
    <w:rsid w:val="00E80FD4"/>
    <w:rsid w:val="00E81694"/>
    <w:rsid w:val="00E825D8"/>
    <w:rsid w:val="00E82B01"/>
    <w:rsid w:val="00E82F31"/>
    <w:rsid w:val="00E83D68"/>
    <w:rsid w:val="00E83EF5"/>
    <w:rsid w:val="00E842E7"/>
    <w:rsid w:val="00E84874"/>
    <w:rsid w:val="00E85A9F"/>
    <w:rsid w:val="00E85AB8"/>
    <w:rsid w:val="00E860D7"/>
    <w:rsid w:val="00E87245"/>
    <w:rsid w:val="00E9092C"/>
    <w:rsid w:val="00E9138F"/>
    <w:rsid w:val="00E91707"/>
    <w:rsid w:val="00E919D2"/>
    <w:rsid w:val="00E91B15"/>
    <w:rsid w:val="00E91CEB"/>
    <w:rsid w:val="00E91DCA"/>
    <w:rsid w:val="00E91F45"/>
    <w:rsid w:val="00E91FF5"/>
    <w:rsid w:val="00E9288F"/>
    <w:rsid w:val="00E93607"/>
    <w:rsid w:val="00E93E10"/>
    <w:rsid w:val="00E9499A"/>
    <w:rsid w:val="00E95907"/>
    <w:rsid w:val="00E95C61"/>
    <w:rsid w:val="00E95F18"/>
    <w:rsid w:val="00E96198"/>
    <w:rsid w:val="00EA03E7"/>
    <w:rsid w:val="00EA051A"/>
    <w:rsid w:val="00EA068B"/>
    <w:rsid w:val="00EA07CC"/>
    <w:rsid w:val="00EA0BFC"/>
    <w:rsid w:val="00EA1F5D"/>
    <w:rsid w:val="00EA220D"/>
    <w:rsid w:val="00EA24BF"/>
    <w:rsid w:val="00EA2927"/>
    <w:rsid w:val="00EA37C8"/>
    <w:rsid w:val="00EA4228"/>
    <w:rsid w:val="00EA4311"/>
    <w:rsid w:val="00EA4397"/>
    <w:rsid w:val="00EA491D"/>
    <w:rsid w:val="00EA4ED5"/>
    <w:rsid w:val="00EA5E07"/>
    <w:rsid w:val="00EA64D8"/>
    <w:rsid w:val="00EA6832"/>
    <w:rsid w:val="00EA7568"/>
    <w:rsid w:val="00EA7C50"/>
    <w:rsid w:val="00EA7C72"/>
    <w:rsid w:val="00EB015D"/>
    <w:rsid w:val="00EB0D8A"/>
    <w:rsid w:val="00EB1021"/>
    <w:rsid w:val="00EB19D9"/>
    <w:rsid w:val="00EB1E70"/>
    <w:rsid w:val="00EB23E8"/>
    <w:rsid w:val="00EB2489"/>
    <w:rsid w:val="00EB2BD9"/>
    <w:rsid w:val="00EB2DD7"/>
    <w:rsid w:val="00EB33AF"/>
    <w:rsid w:val="00EB33FE"/>
    <w:rsid w:val="00EB3447"/>
    <w:rsid w:val="00EB3AE3"/>
    <w:rsid w:val="00EB4CDC"/>
    <w:rsid w:val="00EB589F"/>
    <w:rsid w:val="00EB5D77"/>
    <w:rsid w:val="00EB5D92"/>
    <w:rsid w:val="00EB6218"/>
    <w:rsid w:val="00EB698A"/>
    <w:rsid w:val="00EB6E30"/>
    <w:rsid w:val="00EB71FC"/>
    <w:rsid w:val="00EB7BB4"/>
    <w:rsid w:val="00EC03DC"/>
    <w:rsid w:val="00EC07D4"/>
    <w:rsid w:val="00EC2074"/>
    <w:rsid w:val="00EC284D"/>
    <w:rsid w:val="00EC3045"/>
    <w:rsid w:val="00EC3254"/>
    <w:rsid w:val="00EC394E"/>
    <w:rsid w:val="00EC3B94"/>
    <w:rsid w:val="00EC41CC"/>
    <w:rsid w:val="00EC43D7"/>
    <w:rsid w:val="00EC59D8"/>
    <w:rsid w:val="00EC64EB"/>
    <w:rsid w:val="00EC70B6"/>
    <w:rsid w:val="00EC7B68"/>
    <w:rsid w:val="00EC7C92"/>
    <w:rsid w:val="00EC7F5D"/>
    <w:rsid w:val="00ED0292"/>
    <w:rsid w:val="00ED0723"/>
    <w:rsid w:val="00ED0E90"/>
    <w:rsid w:val="00ED1A92"/>
    <w:rsid w:val="00ED1E4E"/>
    <w:rsid w:val="00ED2518"/>
    <w:rsid w:val="00ED2702"/>
    <w:rsid w:val="00ED3056"/>
    <w:rsid w:val="00ED3A24"/>
    <w:rsid w:val="00ED3BC0"/>
    <w:rsid w:val="00ED3C6C"/>
    <w:rsid w:val="00ED436A"/>
    <w:rsid w:val="00ED476F"/>
    <w:rsid w:val="00ED4C37"/>
    <w:rsid w:val="00ED50BA"/>
    <w:rsid w:val="00ED5474"/>
    <w:rsid w:val="00ED5490"/>
    <w:rsid w:val="00ED5F58"/>
    <w:rsid w:val="00ED6385"/>
    <w:rsid w:val="00ED6A27"/>
    <w:rsid w:val="00ED7159"/>
    <w:rsid w:val="00ED7181"/>
    <w:rsid w:val="00ED71AB"/>
    <w:rsid w:val="00ED752C"/>
    <w:rsid w:val="00ED7F55"/>
    <w:rsid w:val="00EE04C9"/>
    <w:rsid w:val="00EE0E56"/>
    <w:rsid w:val="00EE0FF3"/>
    <w:rsid w:val="00EE1552"/>
    <w:rsid w:val="00EE1DF3"/>
    <w:rsid w:val="00EE21B4"/>
    <w:rsid w:val="00EE291F"/>
    <w:rsid w:val="00EE3D02"/>
    <w:rsid w:val="00EE4945"/>
    <w:rsid w:val="00EE4B45"/>
    <w:rsid w:val="00EE4C1C"/>
    <w:rsid w:val="00EE500E"/>
    <w:rsid w:val="00EE5631"/>
    <w:rsid w:val="00EE5D07"/>
    <w:rsid w:val="00EE66F3"/>
    <w:rsid w:val="00EE6C07"/>
    <w:rsid w:val="00EE72CE"/>
    <w:rsid w:val="00EE77F3"/>
    <w:rsid w:val="00EF08F4"/>
    <w:rsid w:val="00EF0A5C"/>
    <w:rsid w:val="00EF0D32"/>
    <w:rsid w:val="00EF124C"/>
    <w:rsid w:val="00EF13E5"/>
    <w:rsid w:val="00EF171F"/>
    <w:rsid w:val="00EF296D"/>
    <w:rsid w:val="00EF34CA"/>
    <w:rsid w:val="00EF3D88"/>
    <w:rsid w:val="00EF45F6"/>
    <w:rsid w:val="00EF4BD5"/>
    <w:rsid w:val="00EF6494"/>
    <w:rsid w:val="00EF69FF"/>
    <w:rsid w:val="00EF73F0"/>
    <w:rsid w:val="00EF75E5"/>
    <w:rsid w:val="00EF7D28"/>
    <w:rsid w:val="00EF7F83"/>
    <w:rsid w:val="00F006F7"/>
    <w:rsid w:val="00F00B1E"/>
    <w:rsid w:val="00F01851"/>
    <w:rsid w:val="00F0210C"/>
    <w:rsid w:val="00F02B65"/>
    <w:rsid w:val="00F03A24"/>
    <w:rsid w:val="00F03C85"/>
    <w:rsid w:val="00F0457E"/>
    <w:rsid w:val="00F04977"/>
    <w:rsid w:val="00F04B58"/>
    <w:rsid w:val="00F04EBF"/>
    <w:rsid w:val="00F0543D"/>
    <w:rsid w:val="00F05673"/>
    <w:rsid w:val="00F0590B"/>
    <w:rsid w:val="00F0646E"/>
    <w:rsid w:val="00F067DD"/>
    <w:rsid w:val="00F07088"/>
    <w:rsid w:val="00F07C91"/>
    <w:rsid w:val="00F07CCC"/>
    <w:rsid w:val="00F1006B"/>
    <w:rsid w:val="00F128AB"/>
    <w:rsid w:val="00F130A4"/>
    <w:rsid w:val="00F13294"/>
    <w:rsid w:val="00F13643"/>
    <w:rsid w:val="00F13F4E"/>
    <w:rsid w:val="00F14952"/>
    <w:rsid w:val="00F149C0"/>
    <w:rsid w:val="00F14D96"/>
    <w:rsid w:val="00F15397"/>
    <w:rsid w:val="00F154BF"/>
    <w:rsid w:val="00F1588A"/>
    <w:rsid w:val="00F15E48"/>
    <w:rsid w:val="00F16A48"/>
    <w:rsid w:val="00F16BAC"/>
    <w:rsid w:val="00F1704D"/>
    <w:rsid w:val="00F17733"/>
    <w:rsid w:val="00F17885"/>
    <w:rsid w:val="00F17DF5"/>
    <w:rsid w:val="00F20855"/>
    <w:rsid w:val="00F2189B"/>
    <w:rsid w:val="00F227B9"/>
    <w:rsid w:val="00F22D6A"/>
    <w:rsid w:val="00F2343A"/>
    <w:rsid w:val="00F2344A"/>
    <w:rsid w:val="00F234EE"/>
    <w:rsid w:val="00F23BEA"/>
    <w:rsid w:val="00F23DD1"/>
    <w:rsid w:val="00F245ED"/>
    <w:rsid w:val="00F24671"/>
    <w:rsid w:val="00F24C9C"/>
    <w:rsid w:val="00F2506C"/>
    <w:rsid w:val="00F25C6D"/>
    <w:rsid w:val="00F25F4A"/>
    <w:rsid w:val="00F272E6"/>
    <w:rsid w:val="00F2742B"/>
    <w:rsid w:val="00F275BE"/>
    <w:rsid w:val="00F30614"/>
    <w:rsid w:val="00F3242C"/>
    <w:rsid w:val="00F32793"/>
    <w:rsid w:val="00F32A8B"/>
    <w:rsid w:val="00F32D41"/>
    <w:rsid w:val="00F330A4"/>
    <w:rsid w:val="00F3482D"/>
    <w:rsid w:val="00F34D8D"/>
    <w:rsid w:val="00F35001"/>
    <w:rsid w:val="00F350A4"/>
    <w:rsid w:val="00F35DB0"/>
    <w:rsid w:val="00F35EEC"/>
    <w:rsid w:val="00F3718A"/>
    <w:rsid w:val="00F372AD"/>
    <w:rsid w:val="00F37700"/>
    <w:rsid w:val="00F37CC6"/>
    <w:rsid w:val="00F418AE"/>
    <w:rsid w:val="00F42075"/>
    <w:rsid w:val="00F427B0"/>
    <w:rsid w:val="00F43209"/>
    <w:rsid w:val="00F43985"/>
    <w:rsid w:val="00F4529D"/>
    <w:rsid w:val="00F464B1"/>
    <w:rsid w:val="00F46A94"/>
    <w:rsid w:val="00F47045"/>
    <w:rsid w:val="00F47F62"/>
    <w:rsid w:val="00F5188D"/>
    <w:rsid w:val="00F51AE4"/>
    <w:rsid w:val="00F52CE1"/>
    <w:rsid w:val="00F52F31"/>
    <w:rsid w:val="00F53572"/>
    <w:rsid w:val="00F541EF"/>
    <w:rsid w:val="00F543FD"/>
    <w:rsid w:val="00F54B96"/>
    <w:rsid w:val="00F54FAB"/>
    <w:rsid w:val="00F5522F"/>
    <w:rsid w:val="00F5544C"/>
    <w:rsid w:val="00F55871"/>
    <w:rsid w:val="00F577F0"/>
    <w:rsid w:val="00F6039B"/>
    <w:rsid w:val="00F6063F"/>
    <w:rsid w:val="00F60C3F"/>
    <w:rsid w:val="00F61238"/>
    <w:rsid w:val="00F62875"/>
    <w:rsid w:val="00F62AE7"/>
    <w:rsid w:val="00F6306C"/>
    <w:rsid w:val="00F633A1"/>
    <w:rsid w:val="00F63598"/>
    <w:rsid w:val="00F66986"/>
    <w:rsid w:val="00F66B17"/>
    <w:rsid w:val="00F66FA0"/>
    <w:rsid w:val="00F6773C"/>
    <w:rsid w:val="00F67922"/>
    <w:rsid w:val="00F67E28"/>
    <w:rsid w:val="00F702C7"/>
    <w:rsid w:val="00F7128D"/>
    <w:rsid w:val="00F713C6"/>
    <w:rsid w:val="00F71A20"/>
    <w:rsid w:val="00F7206E"/>
    <w:rsid w:val="00F7273C"/>
    <w:rsid w:val="00F72C73"/>
    <w:rsid w:val="00F733AA"/>
    <w:rsid w:val="00F733D1"/>
    <w:rsid w:val="00F73C49"/>
    <w:rsid w:val="00F74B77"/>
    <w:rsid w:val="00F7534C"/>
    <w:rsid w:val="00F7592B"/>
    <w:rsid w:val="00F7626D"/>
    <w:rsid w:val="00F76845"/>
    <w:rsid w:val="00F76960"/>
    <w:rsid w:val="00F76C11"/>
    <w:rsid w:val="00F76FC9"/>
    <w:rsid w:val="00F773BD"/>
    <w:rsid w:val="00F807B7"/>
    <w:rsid w:val="00F81525"/>
    <w:rsid w:val="00F81783"/>
    <w:rsid w:val="00F817E9"/>
    <w:rsid w:val="00F81BA8"/>
    <w:rsid w:val="00F81CDF"/>
    <w:rsid w:val="00F8227A"/>
    <w:rsid w:val="00F82B5F"/>
    <w:rsid w:val="00F838C4"/>
    <w:rsid w:val="00F83DC1"/>
    <w:rsid w:val="00F846B6"/>
    <w:rsid w:val="00F84B77"/>
    <w:rsid w:val="00F85284"/>
    <w:rsid w:val="00F852C9"/>
    <w:rsid w:val="00F857E0"/>
    <w:rsid w:val="00F85F22"/>
    <w:rsid w:val="00F86380"/>
    <w:rsid w:val="00F86612"/>
    <w:rsid w:val="00F866FA"/>
    <w:rsid w:val="00F8675B"/>
    <w:rsid w:val="00F87E7E"/>
    <w:rsid w:val="00F87F72"/>
    <w:rsid w:val="00F90045"/>
    <w:rsid w:val="00F9051C"/>
    <w:rsid w:val="00F90526"/>
    <w:rsid w:val="00F90561"/>
    <w:rsid w:val="00F90647"/>
    <w:rsid w:val="00F9066F"/>
    <w:rsid w:val="00F90DF7"/>
    <w:rsid w:val="00F9134E"/>
    <w:rsid w:val="00F91567"/>
    <w:rsid w:val="00F91DD5"/>
    <w:rsid w:val="00F92451"/>
    <w:rsid w:val="00F929F8"/>
    <w:rsid w:val="00F93239"/>
    <w:rsid w:val="00F932E0"/>
    <w:rsid w:val="00F93317"/>
    <w:rsid w:val="00F93408"/>
    <w:rsid w:val="00F9391C"/>
    <w:rsid w:val="00F93CA5"/>
    <w:rsid w:val="00F940BF"/>
    <w:rsid w:val="00F941F4"/>
    <w:rsid w:val="00F946A1"/>
    <w:rsid w:val="00F94A39"/>
    <w:rsid w:val="00F94D8F"/>
    <w:rsid w:val="00F94EBD"/>
    <w:rsid w:val="00F95001"/>
    <w:rsid w:val="00F9558E"/>
    <w:rsid w:val="00F95861"/>
    <w:rsid w:val="00F958E4"/>
    <w:rsid w:val="00F95C69"/>
    <w:rsid w:val="00F960FF"/>
    <w:rsid w:val="00F96547"/>
    <w:rsid w:val="00F96911"/>
    <w:rsid w:val="00F96F4B"/>
    <w:rsid w:val="00F973B0"/>
    <w:rsid w:val="00F97C68"/>
    <w:rsid w:val="00FA0309"/>
    <w:rsid w:val="00FA04E5"/>
    <w:rsid w:val="00FA0D4E"/>
    <w:rsid w:val="00FA0FAC"/>
    <w:rsid w:val="00FA1208"/>
    <w:rsid w:val="00FA14CD"/>
    <w:rsid w:val="00FA14EE"/>
    <w:rsid w:val="00FA18B8"/>
    <w:rsid w:val="00FA19EF"/>
    <w:rsid w:val="00FA3B9A"/>
    <w:rsid w:val="00FA3CC3"/>
    <w:rsid w:val="00FA4E5A"/>
    <w:rsid w:val="00FA53F6"/>
    <w:rsid w:val="00FA582F"/>
    <w:rsid w:val="00FA5C9A"/>
    <w:rsid w:val="00FA5ECB"/>
    <w:rsid w:val="00FA68D9"/>
    <w:rsid w:val="00FA6C76"/>
    <w:rsid w:val="00FA6F47"/>
    <w:rsid w:val="00FA719C"/>
    <w:rsid w:val="00FA769D"/>
    <w:rsid w:val="00FA7BE5"/>
    <w:rsid w:val="00FB002D"/>
    <w:rsid w:val="00FB234F"/>
    <w:rsid w:val="00FB256D"/>
    <w:rsid w:val="00FB26BD"/>
    <w:rsid w:val="00FB2FF7"/>
    <w:rsid w:val="00FB37C4"/>
    <w:rsid w:val="00FB3913"/>
    <w:rsid w:val="00FB3BF4"/>
    <w:rsid w:val="00FB45A0"/>
    <w:rsid w:val="00FB5015"/>
    <w:rsid w:val="00FB5EAF"/>
    <w:rsid w:val="00FB64DF"/>
    <w:rsid w:val="00FB6C0C"/>
    <w:rsid w:val="00FB6C8A"/>
    <w:rsid w:val="00FB6D40"/>
    <w:rsid w:val="00FB7682"/>
    <w:rsid w:val="00FB7E4E"/>
    <w:rsid w:val="00FC0061"/>
    <w:rsid w:val="00FC0D7A"/>
    <w:rsid w:val="00FC100A"/>
    <w:rsid w:val="00FC18EA"/>
    <w:rsid w:val="00FC1988"/>
    <w:rsid w:val="00FC1ED4"/>
    <w:rsid w:val="00FC1F98"/>
    <w:rsid w:val="00FC21D7"/>
    <w:rsid w:val="00FC2216"/>
    <w:rsid w:val="00FC30F7"/>
    <w:rsid w:val="00FC34A2"/>
    <w:rsid w:val="00FC374B"/>
    <w:rsid w:val="00FC41B7"/>
    <w:rsid w:val="00FC45B9"/>
    <w:rsid w:val="00FC659D"/>
    <w:rsid w:val="00FC700B"/>
    <w:rsid w:val="00FC7E43"/>
    <w:rsid w:val="00FC7E9B"/>
    <w:rsid w:val="00FD0476"/>
    <w:rsid w:val="00FD0E4D"/>
    <w:rsid w:val="00FD1088"/>
    <w:rsid w:val="00FD16A4"/>
    <w:rsid w:val="00FD18F0"/>
    <w:rsid w:val="00FD2447"/>
    <w:rsid w:val="00FD2714"/>
    <w:rsid w:val="00FD2CC1"/>
    <w:rsid w:val="00FD33CF"/>
    <w:rsid w:val="00FD38B0"/>
    <w:rsid w:val="00FD3AC5"/>
    <w:rsid w:val="00FD43AF"/>
    <w:rsid w:val="00FD4AE9"/>
    <w:rsid w:val="00FD55F5"/>
    <w:rsid w:val="00FD5ADF"/>
    <w:rsid w:val="00FE0A12"/>
    <w:rsid w:val="00FE14ED"/>
    <w:rsid w:val="00FE1970"/>
    <w:rsid w:val="00FE1EB0"/>
    <w:rsid w:val="00FE2976"/>
    <w:rsid w:val="00FE2B22"/>
    <w:rsid w:val="00FE3789"/>
    <w:rsid w:val="00FE3D87"/>
    <w:rsid w:val="00FE47AA"/>
    <w:rsid w:val="00FE4B92"/>
    <w:rsid w:val="00FE59D4"/>
    <w:rsid w:val="00FE618F"/>
    <w:rsid w:val="00FE6DA8"/>
    <w:rsid w:val="00FE771E"/>
    <w:rsid w:val="00FF08C5"/>
    <w:rsid w:val="00FF0D2E"/>
    <w:rsid w:val="00FF20F2"/>
    <w:rsid w:val="00FF287A"/>
    <w:rsid w:val="00FF2C84"/>
    <w:rsid w:val="00FF3E43"/>
    <w:rsid w:val="00FF4CFA"/>
    <w:rsid w:val="00FF4E6C"/>
    <w:rsid w:val="00FF6114"/>
    <w:rsid w:val="00FF67C5"/>
    <w:rsid w:val="010AC70E"/>
    <w:rsid w:val="0123AE25"/>
    <w:rsid w:val="0131629F"/>
    <w:rsid w:val="0139AA1F"/>
    <w:rsid w:val="0140CBC5"/>
    <w:rsid w:val="014102BD"/>
    <w:rsid w:val="01492D09"/>
    <w:rsid w:val="015034BE"/>
    <w:rsid w:val="01571E5E"/>
    <w:rsid w:val="016846CB"/>
    <w:rsid w:val="018245E0"/>
    <w:rsid w:val="019711BF"/>
    <w:rsid w:val="019ACF81"/>
    <w:rsid w:val="01A21BBA"/>
    <w:rsid w:val="01A7E640"/>
    <w:rsid w:val="01A838DC"/>
    <w:rsid w:val="01B23F78"/>
    <w:rsid w:val="01C9B041"/>
    <w:rsid w:val="01EC4F57"/>
    <w:rsid w:val="01F36ACD"/>
    <w:rsid w:val="02004AC6"/>
    <w:rsid w:val="0205FCC8"/>
    <w:rsid w:val="02118AD8"/>
    <w:rsid w:val="0214283F"/>
    <w:rsid w:val="02165F63"/>
    <w:rsid w:val="02193022"/>
    <w:rsid w:val="02203348"/>
    <w:rsid w:val="022E31D3"/>
    <w:rsid w:val="022FA3BE"/>
    <w:rsid w:val="023B0022"/>
    <w:rsid w:val="023CE2F2"/>
    <w:rsid w:val="0250577A"/>
    <w:rsid w:val="025FCCAC"/>
    <w:rsid w:val="026A4AC0"/>
    <w:rsid w:val="026C1112"/>
    <w:rsid w:val="026FAA67"/>
    <w:rsid w:val="027E9108"/>
    <w:rsid w:val="0289EA00"/>
    <w:rsid w:val="028A2617"/>
    <w:rsid w:val="029B8E6F"/>
    <w:rsid w:val="029C9998"/>
    <w:rsid w:val="029EDB2E"/>
    <w:rsid w:val="02A8878F"/>
    <w:rsid w:val="02A94AD4"/>
    <w:rsid w:val="02AF8E4E"/>
    <w:rsid w:val="02BE798B"/>
    <w:rsid w:val="02DAB86A"/>
    <w:rsid w:val="02DCDDD7"/>
    <w:rsid w:val="02DF1BDD"/>
    <w:rsid w:val="02E2D1DB"/>
    <w:rsid w:val="02F7ACA2"/>
    <w:rsid w:val="02F88E34"/>
    <w:rsid w:val="02FC1213"/>
    <w:rsid w:val="03154450"/>
    <w:rsid w:val="0316A7E4"/>
    <w:rsid w:val="03189276"/>
    <w:rsid w:val="031CE76B"/>
    <w:rsid w:val="032D3C13"/>
    <w:rsid w:val="0332E77B"/>
    <w:rsid w:val="03332CCF"/>
    <w:rsid w:val="03417615"/>
    <w:rsid w:val="0357A899"/>
    <w:rsid w:val="0357BB88"/>
    <w:rsid w:val="035B5CAE"/>
    <w:rsid w:val="0366ADB7"/>
    <w:rsid w:val="03689F94"/>
    <w:rsid w:val="0397F2E8"/>
    <w:rsid w:val="03981166"/>
    <w:rsid w:val="03BA2D76"/>
    <w:rsid w:val="03BF5924"/>
    <w:rsid w:val="03CA0E68"/>
    <w:rsid w:val="03D5E9F8"/>
    <w:rsid w:val="03F05BBC"/>
    <w:rsid w:val="03FDA8C1"/>
    <w:rsid w:val="0400555B"/>
    <w:rsid w:val="04049523"/>
    <w:rsid w:val="0405023A"/>
    <w:rsid w:val="0407AC63"/>
    <w:rsid w:val="04238767"/>
    <w:rsid w:val="04259AB1"/>
    <w:rsid w:val="04269BD4"/>
    <w:rsid w:val="043E8FBA"/>
    <w:rsid w:val="0444447E"/>
    <w:rsid w:val="04779AD5"/>
    <w:rsid w:val="047B62FC"/>
    <w:rsid w:val="049049E8"/>
    <w:rsid w:val="049EFFCB"/>
    <w:rsid w:val="04A2B054"/>
    <w:rsid w:val="04A38714"/>
    <w:rsid w:val="04A55795"/>
    <w:rsid w:val="04B6C8B5"/>
    <w:rsid w:val="04BDCB84"/>
    <w:rsid w:val="04C6CC26"/>
    <w:rsid w:val="04CC1363"/>
    <w:rsid w:val="04D0A6E7"/>
    <w:rsid w:val="04E31DBD"/>
    <w:rsid w:val="04F17504"/>
    <w:rsid w:val="04F4E3D1"/>
    <w:rsid w:val="04F63905"/>
    <w:rsid w:val="05014099"/>
    <w:rsid w:val="05055D1E"/>
    <w:rsid w:val="050BEAE1"/>
    <w:rsid w:val="0528391A"/>
    <w:rsid w:val="053817D9"/>
    <w:rsid w:val="0546EB38"/>
    <w:rsid w:val="0549C2E3"/>
    <w:rsid w:val="054B69B3"/>
    <w:rsid w:val="054C8206"/>
    <w:rsid w:val="056484AB"/>
    <w:rsid w:val="0564BE4A"/>
    <w:rsid w:val="0567B3A0"/>
    <w:rsid w:val="05737D17"/>
    <w:rsid w:val="057CCEB3"/>
    <w:rsid w:val="05841942"/>
    <w:rsid w:val="0590F6E3"/>
    <w:rsid w:val="05A77B69"/>
    <w:rsid w:val="05ABA17B"/>
    <w:rsid w:val="05B24763"/>
    <w:rsid w:val="05B475CA"/>
    <w:rsid w:val="05C82795"/>
    <w:rsid w:val="05C8C074"/>
    <w:rsid w:val="05CB8057"/>
    <w:rsid w:val="05D85392"/>
    <w:rsid w:val="05DCB220"/>
    <w:rsid w:val="05DCCBD0"/>
    <w:rsid w:val="05DEBD6C"/>
    <w:rsid w:val="05DEC3CF"/>
    <w:rsid w:val="05F40797"/>
    <w:rsid w:val="0607CCAE"/>
    <w:rsid w:val="060FD83E"/>
    <w:rsid w:val="0621A6AB"/>
    <w:rsid w:val="0626FA5C"/>
    <w:rsid w:val="062CCDE1"/>
    <w:rsid w:val="062D4085"/>
    <w:rsid w:val="06343A74"/>
    <w:rsid w:val="063A57CD"/>
    <w:rsid w:val="06463186"/>
    <w:rsid w:val="064F8888"/>
    <w:rsid w:val="065CAB44"/>
    <w:rsid w:val="065D2475"/>
    <w:rsid w:val="06608C27"/>
    <w:rsid w:val="06697A97"/>
    <w:rsid w:val="0672B320"/>
    <w:rsid w:val="06795045"/>
    <w:rsid w:val="06852C6A"/>
    <w:rsid w:val="068AD1EE"/>
    <w:rsid w:val="0695DA45"/>
    <w:rsid w:val="06AD62BB"/>
    <w:rsid w:val="06AEE9F6"/>
    <w:rsid w:val="06B25754"/>
    <w:rsid w:val="06B2F34F"/>
    <w:rsid w:val="06B80D4D"/>
    <w:rsid w:val="06B8AD5F"/>
    <w:rsid w:val="06B9A617"/>
    <w:rsid w:val="06C7FD87"/>
    <w:rsid w:val="06CF475A"/>
    <w:rsid w:val="06D09294"/>
    <w:rsid w:val="06D8AFD4"/>
    <w:rsid w:val="06E017A9"/>
    <w:rsid w:val="06F77DF7"/>
    <w:rsid w:val="06FB3575"/>
    <w:rsid w:val="06FCE888"/>
    <w:rsid w:val="0701E489"/>
    <w:rsid w:val="0710FAF3"/>
    <w:rsid w:val="0715D57D"/>
    <w:rsid w:val="0719275C"/>
    <w:rsid w:val="071E4C23"/>
    <w:rsid w:val="07451DA6"/>
    <w:rsid w:val="074B5133"/>
    <w:rsid w:val="075F4252"/>
    <w:rsid w:val="07688461"/>
    <w:rsid w:val="0768DDF2"/>
    <w:rsid w:val="076D00CB"/>
    <w:rsid w:val="0771D1F4"/>
    <w:rsid w:val="07862D0E"/>
    <w:rsid w:val="0789F37A"/>
    <w:rsid w:val="078A4E8B"/>
    <w:rsid w:val="078B1BCB"/>
    <w:rsid w:val="078C1AD5"/>
    <w:rsid w:val="079B914F"/>
    <w:rsid w:val="079CC73D"/>
    <w:rsid w:val="07A2A042"/>
    <w:rsid w:val="07AC3879"/>
    <w:rsid w:val="07B57257"/>
    <w:rsid w:val="07B6AA51"/>
    <w:rsid w:val="07B9CFA1"/>
    <w:rsid w:val="07BAD8AC"/>
    <w:rsid w:val="07BBB370"/>
    <w:rsid w:val="07C59C2C"/>
    <w:rsid w:val="07DE4D98"/>
    <w:rsid w:val="07E4EED5"/>
    <w:rsid w:val="07E7ED85"/>
    <w:rsid w:val="07FA8BD0"/>
    <w:rsid w:val="08015F45"/>
    <w:rsid w:val="0815CBC0"/>
    <w:rsid w:val="081FC010"/>
    <w:rsid w:val="084CDBC8"/>
    <w:rsid w:val="085510CB"/>
    <w:rsid w:val="0867F48F"/>
    <w:rsid w:val="08694BE4"/>
    <w:rsid w:val="08735524"/>
    <w:rsid w:val="08AE6695"/>
    <w:rsid w:val="08B00CEA"/>
    <w:rsid w:val="08CE0C2B"/>
    <w:rsid w:val="08D5731A"/>
    <w:rsid w:val="08DFF58B"/>
    <w:rsid w:val="08EA9C0E"/>
    <w:rsid w:val="08EB2066"/>
    <w:rsid w:val="08F41378"/>
    <w:rsid w:val="08FD5304"/>
    <w:rsid w:val="0906CE67"/>
    <w:rsid w:val="090C76BE"/>
    <w:rsid w:val="091A0C87"/>
    <w:rsid w:val="091A3747"/>
    <w:rsid w:val="092C3582"/>
    <w:rsid w:val="092D5605"/>
    <w:rsid w:val="093496B2"/>
    <w:rsid w:val="093C64EC"/>
    <w:rsid w:val="093F7529"/>
    <w:rsid w:val="094A4F23"/>
    <w:rsid w:val="0968E7F1"/>
    <w:rsid w:val="098309EB"/>
    <w:rsid w:val="09887206"/>
    <w:rsid w:val="098A3AA1"/>
    <w:rsid w:val="098B6D0D"/>
    <w:rsid w:val="098C9CA2"/>
    <w:rsid w:val="09916640"/>
    <w:rsid w:val="099C7852"/>
    <w:rsid w:val="099DC0A9"/>
    <w:rsid w:val="09A3DE0B"/>
    <w:rsid w:val="09B7DEF1"/>
    <w:rsid w:val="09D765E7"/>
    <w:rsid w:val="09D9C7A0"/>
    <w:rsid w:val="09EA0675"/>
    <w:rsid w:val="09EAE4DA"/>
    <w:rsid w:val="09F9D4FE"/>
    <w:rsid w:val="0A17F725"/>
    <w:rsid w:val="0A197F04"/>
    <w:rsid w:val="0A19C926"/>
    <w:rsid w:val="0A1A4E72"/>
    <w:rsid w:val="0A270241"/>
    <w:rsid w:val="0A329B50"/>
    <w:rsid w:val="0A378130"/>
    <w:rsid w:val="0A39CBAB"/>
    <w:rsid w:val="0A3DD9EB"/>
    <w:rsid w:val="0A444BE1"/>
    <w:rsid w:val="0A4EABE3"/>
    <w:rsid w:val="0A4FE0F3"/>
    <w:rsid w:val="0A52751B"/>
    <w:rsid w:val="0A616CE7"/>
    <w:rsid w:val="0A64DDF2"/>
    <w:rsid w:val="0A67A9DC"/>
    <w:rsid w:val="0A694A06"/>
    <w:rsid w:val="0A7A3D2C"/>
    <w:rsid w:val="0A893B87"/>
    <w:rsid w:val="0A98FAEA"/>
    <w:rsid w:val="0AA10B83"/>
    <w:rsid w:val="0AA6332F"/>
    <w:rsid w:val="0AAF83EB"/>
    <w:rsid w:val="0AC17E37"/>
    <w:rsid w:val="0AC33FEC"/>
    <w:rsid w:val="0AC3A218"/>
    <w:rsid w:val="0ACEC320"/>
    <w:rsid w:val="0AD57650"/>
    <w:rsid w:val="0AD7C167"/>
    <w:rsid w:val="0ADA7839"/>
    <w:rsid w:val="0AEBD936"/>
    <w:rsid w:val="0AF2B8A8"/>
    <w:rsid w:val="0AFCE6BF"/>
    <w:rsid w:val="0B0EBCFF"/>
    <w:rsid w:val="0B102664"/>
    <w:rsid w:val="0B27B8BE"/>
    <w:rsid w:val="0B309783"/>
    <w:rsid w:val="0B47C552"/>
    <w:rsid w:val="0B497BEA"/>
    <w:rsid w:val="0B4B2E89"/>
    <w:rsid w:val="0B61CC9C"/>
    <w:rsid w:val="0B76597C"/>
    <w:rsid w:val="0B7A616C"/>
    <w:rsid w:val="0B7EA5E0"/>
    <w:rsid w:val="0B7F9421"/>
    <w:rsid w:val="0B845C29"/>
    <w:rsid w:val="0B8FE8CC"/>
    <w:rsid w:val="0B96358A"/>
    <w:rsid w:val="0B98C692"/>
    <w:rsid w:val="0BAA42D6"/>
    <w:rsid w:val="0BB0B52A"/>
    <w:rsid w:val="0BC4DAC8"/>
    <w:rsid w:val="0BC9E36F"/>
    <w:rsid w:val="0BCCC275"/>
    <w:rsid w:val="0BDA4F1A"/>
    <w:rsid w:val="0BDB4396"/>
    <w:rsid w:val="0BE02E23"/>
    <w:rsid w:val="0BECE7EA"/>
    <w:rsid w:val="0BED8936"/>
    <w:rsid w:val="0BF4AE98"/>
    <w:rsid w:val="0BFBD13F"/>
    <w:rsid w:val="0C03CC31"/>
    <w:rsid w:val="0C07BCD7"/>
    <w:rsid w:val="0C15EE29"/>
    <w:rsid w:val="0C3552D1"/>
    <w:rsid w:val="0C38004D"/>
    <w:rsid w:val="0C3FA94C"/>
    <w:rsid w:val="0C44AA95"/>
    <w:rsid w:val="0C477EC3"/>
    <w:rsid w:val="0C490EB7"/>
    <w:rsid w:val="0C559E5B"/>
    <w:rsid w:val="0C5917BD"/>
    <w:rsid w:val="0C641A75"/>
    <w:rsid w:val="0C6C9401"/>
    <w:rsid w:val="0C6FCEB1"/>
    <w:rsid w:val="0C75C5D4"/>
    <w:rsid w:val="0C773C3C"/>
    <w:rsid w:val="0C7CDFFA"/>
    <w:rsid w:val="0C8409C1"/>
    <w:rsid w:val="0C86960F"/>
    <w:rsid w:val="0C8C5421"/>
    <w:rsid w:val="0C9234E3"/>
    <w:rsid w:val="0C9C0789"/>
    <w:rsid w:val="0CA1F8DD"/>
    <w:rsid w:val="0CB6A357"/>
    <w:rsid w:val="0CCB484C"/>
    <w:rsid w:val="0CDFBBC5"/>
    <w:rsid w:val="0CEA95DA"/>
    <w:rsid w:val="0CEDA9C0"/>
    <w:rsid w:val="0CEE78F5"/>
    <w:rsid w:val="0CF1DC0A"/>
    <w:rsid w:val="0CF1F893"/>
    <w:rsid w:val="0CFE6DA6"/>
    <w:rsid w:val="0D01F18C"/>
    <w:rsid w:val="0D088342"/>
    <w:rsid w:val="0D1CEAE7"/>
    <w:rsid w:val="0D1EA2B7"/>
    <w:rsid w:val="0D2DE911"/>
    <w:rsid w:val="0D3D378E"/>
    <w:rsid w:val="0D3F813E"/>
    <w:rsid w:val="0D5DA38E"/>
    <w:rsid w:val="0D660E5F"/>
    <w:rsid w:val="0D6668EF"/>
    <w:rsid w:val="0D74CCC9"/>
    <w:rsid w:val="0D74F477"/>
    <w:rsid w:val="0D77AE22"/>
    <w:rsid w:val="0D91AC72"/>
    <w:rsid w:val="0D939FC9"/>
    <w:rsid w:val="0D9F5DE0"/>
    <w:rsid w:val="0DA27E34"/>
    <w:rsid w:val="0DA4210E"/>
    <w:rsid w:val="0DBF4EA9"/>
    <w:rsid w:val="0DC8BF64"/>
    <w:rsid w:val="0DD49D3C"/>
    <w:rsid w:val="0DEC3CD3"/>
    <w:rsid w:val="0E0A01C1"/>
    <w:rsid w:val="0E0E4AD5"/>
    <w:rsid w:val="0E1710A2"/>
    <w:rsid w:val="0E19911B"/>
    <w:rsid w:val="0E1F7EF5"/>
    <w:rsid w:val="0E345497"/>
    <w:rsid w:val="0E49A491"/>
    <w:rsid w:val="0E4A9600"/>
    <w:rsid w:val="0E4B9AB6"/>
    <w:rsid w:val="0E57329E"/>
    <w:rsid w:val="0E60C181"/>
    <w:rsid w:val="0E62793C"/>
    <w:rsid w:val="0E6F7E5E"/>
    <w:rsid w:val="0E72F2E6"/>
    <w:rsid w:val="0E79982D"/>
    <w:rsid w:val="0E79E4E6"/>
    <w:rsid w:val="0E88F0D5"/>
    <w:rsid w:val="0E8C2AFC"/>
    <w:rsid w:val="0E8CA4F1"/>
    <w:rsid w:val="0E991F99"/>
    <w:rsid w:val="0E9AAD88"/>
    <w:rsid w:val="0E9BCC8B"/>
    <w:rsid w:val="0EAC4003"/>
    <w:rsid w:val="0EAF1CCF"/>
    <w:rsid w:val="0EAFB247"/>
    <w:rsid w:val="0EB0971D"/>
    <w:rsid w:val="0EB80DCA"/>
    <w:rsid w:val="0EC42D7F"/>
    <w:rsid w:val="0EC698D7"/>
    <w:rsid w:val="0EDBB4D4"/>
    <w:rsid w:val="0EDFC143"/>
    <w:rsid w:val="0EE2B08D"/>
    <w:rsid w:val="0EE73281"/>
    <w:rsid w:val="0EEC6A4F"/>
    <w:rsid w:val="0EEC6A5F"/>
    <w:rsid w:val="0EF28AD2"/>
    <w:rsid w:val="0EF51A11"/>
    <w:rsid w:val="0EF68066"/>
    <w:rsid w:val="0EFCF5E1"/>
    <w:rsid w:val="0EFE0FF4"/>
    <w:rsid w:val="0F0C1ADC"/>
    <w:rsid w:val="0F144CB5"/>
    <w:rsid w:val="0F1F3D97"/>
    <w:rsid w:val="0F22B189"/>
    <w:rsid w:val="0F2B1B53"/>
    <w:rsid w:val="0F341981"/>
    <w:rsid w:val="0F38C5B6"/>
    <w:rsid w:val="0F520585"/>
    <w:rsid w:val="0F547211"/>
    <w:rsid w:val="0F5FDD12"/>
    <w:rsid w:val="0F67CB9F"/>
    <w:rsid w:val="0F6F010F"/>
    <w:rsid w:val="0F7AC1AB"/>
    <w:rsid w:val="0F8D38C2"/>
    <w:rsid w:val="0F8D940D"/>
    <w:rsid w:val="0F942965"/>
    <w:rsid w:val="0F96FD79"/>
    <w:rsid w:val="0FBD205F"/>
    <w:rsid w:val="0FD24119"/>
    <w:rsid w:val="0FDAEA29"/>
    <w:rsid w:val="0FDBA7C9"/>
    <w:rsid w:val="0FDEDF0A"/>
    <w:rsid w:val="0FE41EB5"/>
    <w:rsid w:val="0FEB9174"/>
    <w:rsid w:val="0FF47731"/>
    <w:rsid w:val="0FF52F76"/>
    <w:rsid w:val="10006341"/>
    <w:rsid w:val="10115631"/>
    <w:rsid w:val="1013A2DF"/>
    <w:rsid w:val="101960FE"/>
    <w:rsid w:val="101D51D6"/>
    <w:rsid w:val="10334A43"/>
    <w:rsid w:val="10345CEF"/>
    <w:rsid w:val="1036F7BC"/>
    <w:rsid w:val="1039EB7D"/>
    <w:rsid w:val="104075FF"/>
    <w:rsid w:val="104788A0"/>
    <w:rsid w:val="10596E31"/>
    <w:rsid w:val="105E516F"/>
    <w:rsid w:val="105EF5E4"/>
    <w:rsid w:val="1066549F"/>
    <w:rsid w:val="1066B8E5"/>
    <w:rsid w:val="1068542F"/>
    <w:rsid w:val="107370ED"/>
    <w:rsid w:val="1075AC83"/>
    <w:rsid w:val="1078693B"/>
    <w:rsid w:val="107CF54E"/>
    <w:rsid w:val="108545F6"/>
    <w:rsid w:val="108E005E"/>
    <w:rsid w:val="109A87C5"/>
    <w:rsid w:val="10BDE386"/>
    <w:rsid w:val="10C0F1D7"/>
    <w:rsid w:val="10E65F0D"/>
    <w:rsid w:val="10E871DC"/>
    <w:rsid w:val="10F01C1E"/>
    <w:rsid w:val="10F087F7"/>
    <w:rsid w:val="10F6F3DB"/>
    <w:rsid w:val="10F71332"/>
    <w:rsid w:val="10F8B1E9"/>
    <w:rsid w:val="10FBCA8A"/>
    <w:rsid w:val="110C50E3"/>
    <w:rsid w:val="111B1C7C"/>
    <w:rsid w:val="1128CB22"/>
    <w:rsid w:val="112AE653"/>
    <w:rsid w:val="114C223E"/>
    <w:rsid w:val="114E8C65"/>
    <w:rsid w:val="115854D1"/>
    <w:rsid w:val="11657034"/>
    <w:rsid w:val="1166E71A"/>
    <w:rsid w:val="1171FFAE"/>
    <w:rsid w:val="1179D698"/>
    <w:rsid w:val="1185D860"/>
    <w:rsid w:val="118BCD4B"/>
    <w:rsid w:val="118E10A2"/>
    <w:rsid w:val="118E64CE"/>
    <w:rsid w:val="11A38321"/>
    <w:rsid w:val="11B0C517"/>
    <w:rsid w:val="11BE14B1"/>
    <w:rsid w:val="11C6F7D4"/>
    <w:rsid w:val="11C7F5F6"/>
    <w:rsid w:val="11C827ED"/>
    <w:rsid w:val="11CC786F"/>
    <w:rsid w:val="11CF5E32"/>
    <w:rsid w:val="11D5DDB5"/>
    <w:rsid w:val="11DC49CF"/>
    <w:rsid w:val="11DEDAE3"/>
    <w:rsid w:val="11E5DEC5"/>
    <w:rsid w:val="11ED5DAD"/>
    <w:rsid w:val="11EF4B91"/>
    <w:rsid w:val="11F7EAEE"/>
    <w:rsid w:val="11F857DE"/>
    <w:rsid w:val="1216C478"/>
    <w:rsid w:val="121DC561"/>
    <w:rsid w:val="121FA3FD"/>
    <w:rsid w:val="12219D12"/>
    <w:rsid w:val="122ABAEC"/>
    <w:rsid w:val="123C2217"/>
    <w:rsid w:val="125E87E9"/>
    <w:rsid w:val="12608992"/>
    <w:rsid w:val="1261FA09"/>
    <w:rsid w:val="126340DA"/>
    <w:rsid w:val="1264BA9E"/>
    <w:rsid w:val="126ED1BC"/>
    <w:rsid w:val="12708796"/>
    <w:rsid w:val="12723B98"/>
    <w:rsid w:val="1272BFB4"/>
    <w:rsid w:val="1273124D"/>
    <w:rsid w:val="127CFBE7"/>
    <w:rsid w:val="1286AA46"/>
    <w:rsid w:val="1297CD04"/>
    <w:rsid w:val="12990CBE"/>
    <w:rsid w:val="12B0C6C9"/>
    <w:rsid w:val="12C2B9F7"/>
    <w:rsid w:val="12CFBD01"/>
    <w:rsid w:val="12D21526"/>
    <w:rsid w:val="12DC21AD"/>
    <w:rsid w:val="12E66A25"/>
    <w:rsid w:val="12E7F63C"/>
    <w:rsid w:val="12F081C2"/>
    <w:rsid w:val="13036E1B"/>
    <w:rsid w:val="1313C74E"/>
    <w:rsid w:val="1316878F"/>
    <w:rsid w:val="132220A5"/>
    <w:rsid w:val="133367F2"/>
    <w:rsid w:val="1336040E"/>
    <w:rsid w:val="133FC041"/>
    <w:rsid w:val="13617356"/>
    <w:rsid w:val="1386570D"/>
    <w:rsid w:val="13952369"/>
    <w:rsid w:val="13970154"/>
    <w:rsid w:val="13984916"/>
    <w:rsid w:val="139E3F5F"/>
    <w:rsid w:val="13A11F6E"/>
    <w:rsid w:val="13BC8388"/>
    <w:rsid w:val="13C15472"/>
    <w:rsid w:val="13C28341"/>
    <w:rsid w:val="13CC22AE"/>
    <w:rsid w:val="13CD8F4F"/>
    <w:rsid w:val="13D8C4FF"/>
    <w:rsid w:val="13E0F7AE"/>
    <w:rsid w:val="13E8072F"/>
    <w:rsid w:val="140FB79F"/>
    <w:rsid w:val="140FF425"/>
    <w:rsid w:val="142B0AC7"/>
    <w:rsid w:val="14303304"/>
    <w:rsid w:val="143339F9"/>
    <w:rsid w:val="143E37C8"/>
    <w:rsid w:val="14414A4D"/>
    <w:rsid w:val="14451F0F"/>
    <w:rsid w:val="144702A6"/>
    <w:rsid w:val="1448BDD6"/>
    <w:rsid w:val="145361DB"/>
    <w:rsid w:val="145FBDFF"/>
    <w:rsid w:val="1461710D"/>
    <w:rsid w:val="1465C0D0"/>
    <w:rsid w:val="1476D1D2"/>
    <w:rsid w:val="148B2194"/>
    <w:rsid w:val="14A5FB43"/>
    <w:rsid w:val="14B5E6C0"/>
    <w:rsid w:val="14BA2566"/>
    <w:rsid w:val="14D7A2E6"/>
    <w:rsid w:val="14F8E937"/>
    <w:rsid w:val="14FD7A78"/>
    <w:rsid w:val="1502085A"/>
    <w:rsid w:val="150D5C38"/>
    <w:rsid w:val="151A58F0"/>
    <w:rsid w:val="1538AFFB"/>
    <w:rsid w:val="154DB7E4"/>
    <w:rsid w:val="1555D0DE"/>
    <w:rsid w:val="155EA657"/>
    <w:rsid w:val="156CBC7B"/>
    <w:rsid w:val="156CDCB0"/>
    <w:rsid w:val="156E265C"/>
    <w:rsid w:val="15716540"/>
    <w:rsid w:val="15889748"/>
    <w:rsid w:val="15894085"/>
    <w:rsid w:val="158E96C9"/>
    <w:rsid w:val="15970118"/>
    <w:rsid w:val="159BDFA0"/>
    <w:rsid w:val="159C5A6C"/>
    <w:rsid w:val="15A0C50E"/>
    <w:rsid w:val="15A478FD"/>
    <w:rsid w:val="15B32ECB"/>
    <w:rsid w:val="15B3E4A0"/>
    <w:rsid w:val="15B4B607"/>
    <w:rsid w:val="15BA1A8E"/>
    <w:rsid w:val="15D7B673"/>
    <w:rsid w:val="15E45D2E"/>
    <w:rsid w:val="15E4C56E"/>
    <w:rsid w:val="15E897BF"/>
    <w:rsid w:val="15F7092E"/>
    <w:rsid w:val="15FFC47E"/>
    <w:rsid w:val="160410A0"/>
    <w:rsid w:val="160BE39D"/>
    <w:rsid w:val="162B040B"/>
    <w:rsid w:val="163F4C82"/>
    <w:rsid w:val="164738AC"/>
    <w:rsid w:val="1653C0F5"/>
    <w:rsid w:val="165AB2AC"/>
    <w:rsid w:val="1667FA05"/>
    <w:rsid w:val="166D8F5A"/>
    <w:rsid w:val="16701E86"/>
    <w:rsid w:val="1671B32F"/>
    <w:rsid w:val="167813A6"/>
    <w:rsid w:val="167FE730"/>
    <w:rsid w:val="1694ED73"/>
    <w:rsid w:val="169C539C"/>
    <w:rsid w:val="16A97F80"/>
    <w:rsid w:val="16ACAA27"/>
    <w:rsid w:val="16B00EDC"/>
    <w:rsid w:val="16B44CD3"/>
    <w:rsid w:val="16BA77B3"/>
    <w:rsid w:val="16BE4E24"/>
    <w:rsid w:val="16C2099D"/>
    <w:rsid w:val="16CBE388"/>
    <w:rsid w:val="16CD84FE"/>
    <w:rsid w:val="16CEB203"/>
    <w:rsid w:val="16CFF7CB"/>
    <w:rsid w:val="16D93FB5"/>
    <w:rsid w:val="16DE993D"/>
    <w:rsid w:val="16DFF794"/>
    <w:rsid w:val="16FA6BD1"/>
    <w:rsid w:val="171EDDE0"/>
    <w:rsid w:val="171FB541"/>
    <w:rsid w:val="172B138F"/>
    <w:rsid w:val="172BBD94"/>
    <w:rsid w:val="172ECAB9"/>
    <w:rsid w:val="17307967"/>
    <w:rsid w:val="1731B607"/>
    <w:rsid w:val="173EC75B"/>
    <w:rsid w:val="174D9B4E"/>
    <w:rsid w:val="174E3CC9"/>
    <w:rsid w:val="1759B7F2"/>
    <w:rsid w:val="176A3238"/>
    <w:rsid w:val="177041D1"/>
    <w:rsid w:val="177E926A"/>
    <w:rsid w:val="1792823C"/>
    <w:rsid w:val="17933B84"/>
    <w:rsid w:val="17A878B5"/>
    <w:rsid w:val="17AA37FB"/>
    <w:rsid w:val="17B72A35"/>
    <w:rsid w:val="17C0C1BE"/>
    <w:rsid w:val="17DE45F3"/>
    <w:rsid w:val="17E060CB"/>
    <w:rsid w:val="17E9BE82"/>
    <w:rsid w:val="17EF5AA1"/>
    <w:rsid w:val="17FC7C15"/>
    <w:rsid w:val="180E86F6"/>
    <w:rsid w:val="18111BC5"/>
    <w:rsid w:val="182E80B3"/>
    <w:rsid w:val="18380D96"/>
    <w:rsid w:val="183B08F5"/>
    <w:rsid w:val="184E4607"/>
    <w:rsid w:val="18634D4C"/>
    <w:rsid w:val="1867C793"/>
    <w:rsid w:val="18682C16"/>
    <w:rsid w:val="1869CA3A"/>
    <w:rsid w:val="186EB4B1"/>
    <w:rsid w:val="1873199F"/>
    <w:rsid w:val="18905B7C"/>
    <w:rsid w:val="18910988"/>
    <w:rsid w:val="189D1FD5"/>
    <w:rsid w:val="18A002B4"/>
    <w:rsid w:val="18A66F19"/>
    <w:rsid w:val="18AC2351"/>
    <w:rsid w:val="18BF7B97"/>
    <w:rsid w:val="18C35269"/>
    <w:rsid w:val="18CD7F31"/>
    <w:rsid w:val="18D1A7FC"/>
    <w:rsid w:val="18D1AE83"/>
    <w:rsid w:val="18D69781"/>
    <w:rsid w:val="18DE93EC"/>
    <w:rsid w:val="18F43787"/>
    <w:rsid w:val="18F9BCDA"/>
    <w:rsid w:val="18FEF247"/>
    <w:rsid w:val="190C6CCD"/>
    <w:rsid w:val="1914A8E6"/>
    <w:rsid w:val="19169152"/>
    <w:rsid w:val="1925C113"/>
    <w:rsid w:val="19271051"/>
    <w:rsid w:val="19393E92"/>
    <w:rsid w:val="19399A16"/>
    <w:rsid w:val="194379B7"/>
    <w:rsid w:val="1958893E"/>
    <w:rsid w:val="195CF45C"/>
    <w:rsid w:val="195D7848"/>
    <w:rsid w:val="196FA47C"/>
    <w:rsid w:val="1972C0EA"/>
    <w:rsid w:val="1980D6A0"/>
    <w:rsid w:val="1982337A"/>
    <w:rsid w:val="198A29C3"/>
    <w:rsid w:val="199044A4"/>
    <w:rsid w:val="1998EEB5"/>
    <w:rsid w:val="19997EC7"/>
    <w:rsid w:val="199ACEE4"/>
    <w:rsid w:val="199C039D"/>
    <w:rsid w:val="19A29A75"/>
    <w:rsid w:val="19A9164B"/>
    <w:rsid w:val="19C0AAC2"/>
    <w:rsid w:val="19C4B5F6"/>
    <w:rsid w:val="19D3777A"/>
    <w:rsid w:val="19F5446A"/>
    <w:rsid w:val="19F74D67"/>
    <w:rsid w:val="19F8AA37"/>
    <w:rsid w:val="19F8F60E"/>
    <w:rsid w:val="19FD232E"/>
    <w:rsid w:val="1A079C45"/>
    <w:rsid w:val="1A0DC2CB"/>
    <w:rsid w:val="1A0F32B4"/>
    <w:rsid w:val="1A194DCC"/>
    <w:rsid w:val="1A1B1DAA"/>
    <w:rsid w:val="1A1FEF1C"/>
    <w:rsid w:val="1A367557"/>
    <w:rsid w:val="1A3B1B67"/>
    <w:rsid w:val="1A4815E0"/>
    <w:rsid w:val="1A4B86FF"/>
    <w:rsid w:val="1A4D2EBF"/>
    <w:rsid w:val="1A58CF19"/>
    <w:rsid w:val="1A5DF004"/>
    <w:rsid w:val="1A61F245"/>
    <w:rsid w:val="1A620280"/>
    <w:rsid w:val="1A626C3C"/>
    <w:rsid w:val="1A679D1F"/>
    <w:rsid w:val="1A6990A3"/>
    <w:rsid w:val="1A72E308"/>
    <w:rsid w:val="1A8224EA"/>
    <w:rsid w:val="1A835C0C"/>
    <w:rsid w:val="1A83F75A"/>
    <w:rsid w:val="1A85FCD2"/>
    <w:rsid w:val="1A870F7A"/>
    <w:rsid w:val="1A8C350E"/>
    <w:rsid w:val="1A993E64"/>
    <w:rsid w:val="1ACC0E65"/>
    <w:rsid w:val="1ADB33CE"/>
    <w:rsid w:val="1AED1D5C"/>
    <w:rsid w:val="1AEDD94C"/>
    <w:rsid w:val="1B2B50EC"/>
    <w:rsid w:val="1B2D06E5"/>
    <w:rsid w:val="1B41BE61"/>
    <w:rsid w:val="1B4A6FD9"/>
    <w:rsid w:val="1B5F7FAF"/>
    <w:rsid w:val="1B6C28A0"/>
    <w:rsid w:val="1B82C4BB"/>
    <w:rsid w:val="1B850923"/>
    <w:rsid w:val="1B9BD549"/>
    <w:rsid w:val="1B9CC833"/>
    <w:rsid w:val="1B9D713F"/>
    <w:rsid w:val="1BA82AB0"/>
    <w:rsid w:val="1BB39348"/>
    <w:rsid w:val="1BBEB961"/>
    <w:rsid w:val="1BC55D11"/>
    <w:rsid w:val="1BC5EC35"/>
    <w:rsid w:val="1BCE48BC"/>
    <w:rsid w:val="1BFD9E21"/>
    <w:rsid w:val="1C09E34F"/>
    <w:rsid w:val="1C0A38DD"/>
    <w:rsid w:val="1C0DC1E2"/>
    <w:rsid w:val="1C0FD4C2"/>
    <w:rsid w:val="1C10123E"/>
    <w:rsid w:val="1C352037"/>
    <w:rsid w:val="1C3B5651"/>
    <w:rsid w:val="1C45F676"/>
    <w:rsid w:val="1C48310D"/>
    <w:rsid w:val="1C613C39"/>
    <w:rsid w:val="1C628E32"/>
    <w:rsid w:val="1C63A7E8"/>
    <w:rsid w:val="1C69B4CA"/>
    <w:rsid w:val="1C760837"/>
    <w:rsid w:val="1C7D9A41"/>
    <w:rsid w:val="1C7FCD58"/>
    <w:rsid w:val="1C8D5262"/>
    <w:rsid w:val="1C927916"/>
    <w:rsid w:val="1C927C39"/>
    <w:rsid w:val="1C994344"/>
    <w:rsid w:val="1C9A16C5"/>
    <w:rsid w:val="1CAFEC96"/>
    <w:rsid w:val="1CB6D35F"/>
    <w:rsid w:val="1CC861FF"/>
    <w:rsid w:val="1CE31A18"/>
    <w:rsid w:val="1CE6E393"/>
    <w:rsid w:val="1CF0FC1B"/>
    <w:rsid w:val="1CF28C7D"/>
    <w:rsid w:val="1CFD544C"/>
    <w:rsid w:val="1D04D1A8"/>
    <w:rsid w:val="1D0514C0"/>
    <w:rsid w:val="1D065377"/>
    <w:rsid w:val="1D10354F"/>
    <w:rsid w:val="1D19C3B2"/>
    <w:rsid w:val="1D27DDBC"/>
    <w:rsid w:val="1D40960A"/>
    <w:rsid w:val="1D43FA55"/>
    <w:rsid w:val="1D580B35"/>
    <w:rsid w:val="1D5A3001"/>
    <w:rsid w:val="1D5CD23B"/>
    <w:rsid w:val="1D5E074B"/>
    <w:rsid w:val="1D640D47"/>
    <w:rsid w:val="1D6473F9"/>
    <w:rsid w:val="1D67C483"/>
    <w:rsid w:val="1D70A3CA"/>
    <w:rsid w:val="1D7ED033"/>
    <w:rsid w:val="1D80FA48"/>
    <w:rsid w:val="1D991E82"/>
    <w:rsid w:val="1D9E0DDE"/>
    <w:rsid w:val="1DB27D84"/>
    <w:rsid w:val="1DC507C3"/>
    <w:rsid w:val="1DD1B3AE"/>
    <w:rsid w:val="1DD78218"/>
    <w:rsid w:val="1DD9DB7F"/>
    <w:rsid w:val="1DE00C7E"/>
    <w:rsid w:val="1DEA0BA8"/>
    <w:rsid w:val="1DF06B5A"/>
    <w:rsid w:val="1DF4AD3A"/>
    <w:rsid w:val="1E1BA98B"/>
    <w:rsid w:val="1E28CB1F"/>
    <w:rsid w:val="1E332F93"/>
    <w:rsid w:val="1E365B35"/>
    <w:rsid w:val="1E503F2B"/>
    <w:rsid w:val="1E558BDD"/>
    <w:rsid w:val="1E5DB02E"/>
    <w:rsid w:val="1E69EECE"/>
    <w:rsid w:val="1E83AE4E"/>
    <w:rsid w:val="1E83FCA4"/>
    <w:rsid w:val="1E852060"/>
    <w:rsid w:val="1E871CFF"/>
    <w:rsid w:val="1E8DE38A"/>
    <w:rsid w:val="1E8F855C"/>
    <w:rsid w:val="1E96F33E"/>
    <w:rsid w:val="1E991A5D"/>
    <w:rsid w:val="1EB7A1B4"/>
    <w:rsid w:val="1ED1984A"/>
    <w:rsid w:val="1ED905D0"/>
    <w:rsid w:val="1EE470EC"/>
    <w:rsid w:val="1EF727DE"/>
    <w:rsid w:val="1EF803FC"/>
    <w:rsid w:val="1EF944CF"/>
    <w:rsid w:val="1EFAC901"/>
    <w:rsid w:val="1EFD8E00"/>
    <w:rsid w:val="1EFFD942"/>
    <w:rsid w:val="1F035AE4"/>
    <w:rsid w:val="1F092049"/>
    <w:rsid w:val="1F0B3CEC"/>
    <w:rsid w:val="1F0C862E"/>
    <w:rsid w:val="1F0D128C"/>
    <w:rsid w:val="1F0DCA0E"/>
    <w:rsid w:val="1F116FB6"/>
    <w:rsid w:val="1F1240C9"/>
    <w:rsid w:val="1F12D269"/>
    <w:rsid w:val="1F161B6D"/>
    <w:rsid w:val="1F17FE38"/>
    <w:rsid w:val="1F2F85B3"/>
    <w:rsid w:val="1F325162"/>
    <w:rsid w:val="1F3781FC"/>
    <w:rsid w:val="1F42D0CD"/>
    <w:rsid w:val="1F487C24"/>
    <w:rsid w:val="1F5C0118"/>
    <w:rsid w:val="1F6976E2"/>
    <w:rsid w:val="1F6CE1D0"/>
    <w:rsid w:val="1F704FBF"/>
    <w:rsid w:val="1F9E8E18"/>
    <w:rsid w:val="1FA60B8B"/>
    <w:rsid w:val="1FAA3203"/>
    <w:rsid w:val="1FAE96D7"/>
    <w:rsid w:val="1FB73340"/>
    <w:rsid w:val="1FC253AE"/>
    <w:rsid w:val="1FC3D7C5"/>
    <w:rsid w:val="1FCB8254"/>
    <w:rsid w:val="1FCBA48C"/>
    <w:rsid w:val="1FD5EB95"/>
    <w:rsid w:val="1FDBD60C"/>
    <w:rsid w:val="1FE98228"/>
    <w:rsid w:val="201B5B99"/>
    <w:rsid w:val="202427D3"/>
    <w:rsid w:val="2024D255"/>
    <w:rsid w:val="203A4F37"/>
    <w:rsid w:val="203DFBD3"/>
    <w:rsid w:val="2047347B"/>
    <w:rsid w:val="204E0231"/>
    <w:rsid w:val="204E57F2"/>
    <w:rsid w:val="205DF6B8"/>
    <w:rsid w:val="2077D53F"/>
    <w:rsid w:val="207CB142"/>
    <w:rsid w:val="207FB120"/>
    <w:rsid w:val="208D78C0"/>
    <w:rsid w:val="20AD7CD0"/>
    <w:rsid w:val="20C08C37"/>
    <w:rsid w:val="20CB79FD"/>
    <w:rsid w:val="20D20358"/>
    <w:rsid w:val="20D8802D"/>
    <w:rsid w:val="20DFE8F6"/>
    <w:rsid w:val="20F4C218"/>
    <w:rsid w:val="2102888D"/>
    <w:rsid w:val="210AB37E"/>
    <w:rsid w:val="212DEFBE"/>
    <w:rsid w:val="2148ACCB"/>
    <w:rsid w:val="2150C96E"/>
    <w:rsid w:val="21591AC9"/>
    <w:rsid w:val="216074F8"/>
    <w:rsid w:val="21807AE2"/>
    <w:rsid w:val="218D608E"/>
    <w:rsid w:val="218F8044"/>
    <w:rsid w:val="21907AE5"/>
    <w:rsid w:val="21A1AEA4"/>
    <w:rsid w:val="21A8A6FB"/>
    <w:rsid w:val="21B599BE"/>
    <w:rsid w:val="21B72EA1"/>
    <w:rsid w:val="21C1545E"/>
    <w:rsid w:val="21CD1D7E"/>
    <w:rsid w:val="21D1F46B"/>
    <w:rsid w:val="21DEEEAF"/>
    <w:rsid w:val="21DF7977"/>
    <w:rsid w:val="21E86251"/>
    <w:rsid w:val="21FC9778"/>
    <w:rsid w:val="2204A542"/>
    <w:rsid w:val="222054FB"/>
    <w:rsid w:val="2227A913"/>
    <w:rsid w:val="222F0C33"/>
    <w:rsid w:val="224712DA"/>
    <w:rsid w:val="228280F4"/>
    <w:rsid w:val="22853C4C"/>
    <w:rsid w:val="22861274"/>
    <w:rsid w:val="22954000"/>
    <w:rsid w:val="22ABACAF"/>
    <w:rsid w:val="22BFCC94"/>
    <w:rsid w:val="22C0FD7A"/>
    <w:rsid w:val="22C61C20"/>
    <w:rsid w:val="22CBA79B"/>
    <w:rsid w:val="22CFDBF1"/>
    <w:rsid w:val="22D6920D"/>
    <w:rsid w:val="22DBA5A3"/>
    <w:rsid w:val="22DDE266"/>
    <w:rsid w:val="22DFF5D4"/>
    <w:rsid w:val="22E0A505"/>
    <w:rsid w:val="22E3E490"/>
    <w:rsid w:val="22F2537C"/>
    <w:rsid w:val="22F36F97"/>
    <w:rsid w:val="22F66DC9"/>
    <w:rsid w:val="22FAFC49"/>
    <w:rsid w:val="22FC7983"/>
    <w:rsid w:val="22FDE1EC"/>
    <w:rsid w:val="230350A1"/>
    <w:rsid w:val="2306DEF9"/>
    <w:rsid w:val="23082E1B"/>
    <w:rsid w:val="2308533B"/>
    <w:rsid w:val="2322A7E5"/>
    <w:rsid w:val="232994B9"/>
    <w:rsid w:val="233E13EB"/>
    <w:rsid w:val="23498D79"/>
    <w:rsid w:val="234A0AEC"/>
    <w:rsid w:val="2356A1F9"/>
    <w:rsid w:val="236032F6"/>
    <w:rsid w:val="2369F2FB"/>
    <w:rsid w:val="23703254"/>
    <w:rsid w:val="2378781F"/>
    <w:rsid w:val="23896089"/>
    <w:rsid w:val="238D3E54"/>
    <w:rsid w:val="239A4438"/>
    <w:rsid w:val="239A5B3F"/>
    <w:rsid w:val="23BD7EE0"/>
    <w:rsid w:val="23C1E213"/>
    <w:rsid w:val="23C280A1"/>
    <w:rsid w:val="23C37802"/>
    <w:rsid w:val="23C533AC"/>
    <w:rsid w:val="23CAD3D5"/>
    <w:rsid w:val="23E763B2"/>
    <w:rsid w:val="23EA3292"/>
    <w:rsid w:val="23ECA95F"/>
    <w:rsid w:val="23F84A91"/>
    <w:rsid w:val="2400C14A"/>
    <w:rsid w:val="24027CC4"/>
    <w:rsid w:val="2407F21F"/>
    <w:rsid w:val="240CA1C5"/>
    <w:rsid w:val="241306ED"/>
    <w:rsid w:val="24164AEB"/>
    <w:rsid w:val="2417E142"/>
    <w:rsid w:val="24185444"/>
    <w:rsid w:val="24186D58"/>
    <w:rsid w:val="242AF286"/>
    <w:rsid w:val="242FA390"/>
    <w:rsid w:val="24312D52"/>
    <w:rsid w:val="2434ED43"/>
    <w:rsid w:val="2435B610"/>
    <w:rsid w:val="244E5DA3"/>
    <w:rsid w:val="2473AB0F"/>
    <w:rsid w:val="247EF542"/>
    <w:rsid w:val="2495F725"/>
    <w:rsid w:val="249C0CEE"/>
    <w:rsid w:val="24A9F8DE"/>
    <w:rsid w:val="24AEF22A"/>
    <w:rsid w:val="24B1D644"/>
    <w:rsid w:val="24B93E76"/>
    <w:rsid w:val="24BA1399"/>
    <w:rsid w:val="24C269AF"/>
    <w:rsid w:val="24C6397E"/>
    <w:rsid w:val="24C71847"/>
    <w:rsid w:val="24C7CFA1"/>
    <w:rsid w:val="24CEAE54"/>
    <w:rsid w:val="24DC9939"/>
    <w:rsid w:val="24DD3D0A"/>
    <w:rsid w:val="24DFF59A"/>
    <w:rsid w:val="24EDAAB5"/>
    <w:rsid w:val="2506D01E"/>
    <w:rsid w:val="25145688"/>
    <w:rsid w:val="251E5D79"/>
    <w:rsid w:val="2524687F"/>
    <w:rsid w:val="252504EC"/>
    <w:rsid w:val="25498E51"/>
    <w:rsid w:val="254D40BE"/>
    <w:rsid w:val="2558D211"/>
    <w:rsid w:val="256229AA"/>
    <w:rsid w:val="25737569"/>
    <w:rsid w:val="2585A910"/>
    <w:rsid w:val="25A57FA5"/>
    <w:rsid w:val="25AFC8E3"/>
    <w:rsid w:val="25BD3A72"/>
    <w:rsid w:val="25CFA314"/>
    <w:rsid w:val="25D2AE5A"/>
    <w:rsid w:val="25DE482A"/>
    <w:rsid w:val="25DF6081"/>
    <w:rsid w:val="25E321B6"/>
    <w:rsid w:val="25EA247C"/>
    <w:rsid w:val="25F93442"/>
    <w:rsid w:val="25F98869"/>
    <w:rsid w:val="25FB8F68"/>
    <w:rsid w:val="261CB8FF"/>
    <w:rsid w:val="261EF398"/>
    <w:rsid w:val="26248D23"/>
    <w:rsid w:val="263C3604"/>
    <w:rsid w:val="263E7122"/>
    <w:rsid w:val="2646693F"/>
    <w:rsid w:val="264CE1D3"/>
    <w:rsid w:val="264D2BA0"/>
    <w:rsid w:val="264EF431"/>
    <w:rsid w:val="265AF8EC"/>
    <w:rsid w:val="265DD4F8"/>
    <w:rsid w:val="266B71CF"/>
    <w:rsid w:val="26715B2D"/>
    <w:rsid w:val="2674F4C9"/>
    <w:rsid w:val="2678F449"/>
    <w:rsid w:val="26800EB6"/>
    <w:rsid w:val="268F0768"/>
    <w:rsid w:val="26A1B56B"/>
    <w:rsid w:val="26B33127"/>
    <w:rsid w:val="26B345C5"/>
    <w:rsid w:val="26B65717"/>
    <w:rsid w:val="26B8A2F3"/>
    <w:rsid w:val="26B981DD"/>
    <w:rsid w:val="26BA8B1F"/>
    <w:rsid w:val="26BB671A"/>
    <w:rsid w:val="26BD28C6"/>
    <w:rsid w:val="26C145B0"/>
    <w:rsid w:val="26FDC0C8"/>
    <w:rsid w:val="26FFDE61"/>
    <w:rsid w:val="2702BC31"/>
    <w:rsid w:val="270E5A94"/>
    <w:rsid w:val="27127D78"/>
    <w:rsid w:val="27154A4D"/>
    <w:rsid w:val="271F3729"/>
    <w:rsid w:val="2729E25F"/>
    <w:rsid w:val="273D00C0"/>
    <w:rsid w:val="27427355"/>
    <w:rsid w:val="276AE6D6"/>
    <w:rsid w:val="276FD3EA"/>
    <w:rsid w:val="277ADD90"/>
    <w:rsid w:val="277E8ACB"/>
    <w:rsid w:val="277FFAE0"/>
    <w:rsid w:val="2784A84E"/>
    <w:rsid w:val="278824A1"/>
    <w:rsid w:val="278BE35C"/>
    <w:rsid w:val="278CF395"/>
    <w:rsid w:val="27953E53"/>
    <w:rsid w:val="279C9997"/>
    <w:rsid w:val="279ECE08"/>
    <w:rsid w:val="279EF3FE"/>
    <w:rsid w:val="27AA97D1"/>
    <w:rsid w:val="27AF7912"/>
    <w:rsid w:val="27B1FE51"/>
    <w:rsid w:val="27B24A11"/>
    <w:rsid w:val="27B2DABA"/>
    <w:rsid w:val="27F87B2F"/>
    <w:rsid w:val="280C8639"/>
    <w:rsid w:val="2814B4FE"/>
    <w:rsid w:val="2815C746"/>
    <w:rsid w:val="281D9139"/>
    <w:rsid w:val="281E72BF"/>
    <w:rsid w:val="28210C85"/>
    <w:rsid w:val="2821BE91"/>
    <w:rsid w:val="2827F0E3"/>
    <w:rsid w:val="2833E6D0"/>
    <w:rsid w:val="2837510A"/>
    <w:rsid w:val="283A2A07"/>
    <w:rsid w:val="283BBBA0"/>
    <w:rsid w:val="283BF612"/>
    <w:rsid w:val="283E1DFD"/>
    <w:rsid w:val="283F1823"/>
    <w:rsid w:val="284514F1"/>
    <w:rsid w:val="28538755"/>
    <w:rsid w:val="285B07F8"/>
    <w:rsid w:val="285D8E2A"/>
    <w:rsid w:val="286080EF"/>
    <w:rsid w:val="286643B4"/>
    <w:rsid w:val="2867A10A"/>
    <w:rsid w:val="286A014D"/>
    <w:rsid w:val="286B17FA"/>
    <w:rsid w:val="287BCF8F"/>
    <w:rsid w:val="2880205B"/>
    <w:rsid w:val="288094CE"/>
    <w:rsid w:val="28A62953"/>
    <w:rsid w:val="28B74BC8"/>
    <w:rsid w:val="28B98AE0"/>
    <w:rsid w:val="28BC3191"/>
    <w:rsid w:val="28BDC8ED"/>
    <w:rsid w:val="28D3528E"/>
    <w:rsid w:val="28E2D80F"/>
    <w:rsid w:val="28E5C8C9"/>
    <w:rsid w:val="28E986FA"/>
    <w:rsid w:val="28F80329"/>
    <w:rsid w:val="28FC0208"/>
    <w:rsid w:val="290D473E"/>
    <w:rsid w:val="291D1F7B"/>
    <w:rsid w:val="2920431D"/>
    <w:rsid w:val="2925F233"/>
    <w:rsid w:val="2926B68F"/>
    <w:rsid w:val="293255AE"/>
    <w:rsid w:val="293A72E9"/>
    <w:rsid w:val="2944BB57"/>
    <w:rsid w:val="2946EF7B"/>
    <w:rsid w:val="29509FFA"/>
    <w:rsid w:val="2950F4D7"/>
    <w:rsid w:val="29530427"/>
    <w:rsid w:val="2954B83D"/>
    <w:rsid w:val="2961AE41"/>
    <w:rsid w:val="29663024"/>
    <w:rsid w:val="296DCA34"/>
    <w:rsid w:val="2976AC1A"/>
    <w:rsid w:val="29779721"/>
    <w:rsid w:val="297801D0"/>
    <w:rsid w:val="297C03D3"/>
    <w:rsid w:val="2983A328"/>
    <w:rsid w:val="29856B04"/>
    <w:rsid w:val="29899F92"/>
    <w:rsid w:val="299368DE"/>
    <w:rsid w:val="2993A291"/>
    <w:rsid w:val="29A241E5"/>
    <w:rsid w:val="29AA41E7"/>
    <w:rsid w:val="29ABE9D0"/>
    <w:rsid w:val="29C5BDA2"/>
    <w:rsid w:val="29D24CD8"/>
    <w:rsid w:val="29DE2BD4"/>
    <w:rsid w:val="29EA5845"/>
    <w:rsid w:val="29EE8B5E"/>
    <w:rsid w:val="29F23CA3"/>
    <w:rsid w:val="2A0AE6DC"/>
    <w:rsid w:val="2A0CCE95"/>
    <w:rsid w:val="2A0E0104"/>
    <w:rsid w:val="2A336FA2"/>
    <w:rsid w:val="2A3E4014"/>
    <w:rsid w:val="2A3FF621"/>
    <w:rsid w:val="2A42031C"/>
    <w:rsid w:val="2A497A93"/>
    <w:rsid w:val="2A4AC260"/>
    <w:rsid w:val="2A5913A2"/>
    <w:rsid w:val="2A679285"/>
    <w:rsid w:val="2A6D16BE"/>
    <w:rsid w:val="2A7179D0"/>
    <w:rsid w:val="2A794154"/>
    <w:rsid w:val="2A95A8ED"/>
    <w:rsid w:val="2A9E7B9B"/>
    <w:rsid w:val="2AA7F05D"/>
    <w:rsid w:val="2AB167F2"/>
    <w:rsid w:val="2AB7927B"/>
    <w:rsid w:val="2AC77605"/>
    <w:rsid w:val="2ACEAE13"/>
    <w:rsid w:val="2AD5AE55"/>
    <w:rsid w:val="2ADD6D2C"/>
    <w:rsid w:val="2AE1FA2E"/>
    <w:rsid w:val="2AEF48B0"/>
    <w:rsid w:val="2AF39649"/>
    <w:rsid w:val="2AFB70ED"/>
    <w:rsid w:val="2B01BB34"/>
    <w:rsid w:val="2B0BEE50"/>
    <w:rsid w:val="2B122F00"/>
    <w:rsid w:val="2B132767"/>
    <w:rsid w:val="2B1D96EE"/>
    <w:rsid w:val="2B1F5ADF"/>
    <w:rsid w:val="2B20546E"/>
    <w:rsid w:val="2B4E26BB"/>
    <w:rsid w:val="2B5C9692"/>
    <w:rsid w:val="2B5DE92B"/>
    <w:rsid w:val="2B617A33"/>
    <w:rsid w:val="2B6834C1"/>
    <w:rsid w:val="2B695DAA"/>
    <w:rsid w:val="2B715EB8"/>
    <w:rsid w:val="2B736A19"/>
    <w:rsid w:val="2B806D18"/>
    <w:rsid w:val="2B8321B4"/>
    <w:rsid w:val="2B882C01"/>
    <w:rsid w:val="2B88CCEB"/>
    <w:rsid w:val="2B8D8C86"/>
    <w:rsid w:val="2B94C32B"/>
    <w:rsid w:val="2BA4F35F"/>
    <w:rsid w:val="2BA5004B"/>
    <w:rsid w:val="2BB782D6"/>
    <w:rsid w:val="2BCFD3DB"/>
    <w:rsid w:val="2BD2D5D6"/>
    <w:rsid w:val="2BD57013"/>
    <w:rsid w:val="2BE39B40"/>
    <w:rsid w:val="2BE3A7C3"/>
    <w:rsid w:val="2BF1CFF8"/>
    <w:rsid w:val="2BFE70F0"/>
    <w:rsid w:val="2C196B5F"/>
    <w:rsid w:val="2C20190E"/>
    <w:rsid w:val="2C36CF92"/>
    <w:rsid w:val="2C4257A1"/>
    <w:rsid w:val="2C55A2F4"/>
    <w:rsid w:val="2C58C10D"/>
    <w:rsid w:val="2C6450AA"/>
    <w:rsid w:val="2C64BAB2"/>
    <w:rsid w:val="2C6762FF"/>
    <w:rsid w:val="2C74BF1A"/>
    <w:rsid w:val="2C898484"/>
    <w:rsid w:val="2C8AFC97"/>
    <w:rsid w:val="2C8C07C0"/>
    <w:rsid w:val="2C8CBA1E"/>
    <w:rsid w:val="2C9BF52F"/>
    <w:rsid w:val="2CA4027A"/>
    <w:rsid w:val="2CA4CD34"/>
    <w:rsid w:val="2CC248CE"/>
    <w:rsid w:val="2CC58C5A"/>
    <w:rsid w:val="2CCAA8FC"/>
    <w:rsid w:val="2CD4A1B1"/>
    <w:rsid w:val="2CEA3BFB"/>
    <w:rsid w:val="2CEF5A99"/>
    <w:rsid w:val="2D032AAA"/>
    <w:rsid w:val="2D1102FF"/>
    <w:rsid w:val="2D25B00B"/>
    <w:rsid w:val="2D2BD0AB"/>
    <w:rsid w:val="2D338A06"/>
    <w:rsid w:val="2D45DB97"/>
    <w:rsid w:val="2D4684C2"/>
    <w:rsid w:val="2D50D3EA"/>
    <w:rsid w:val="2D57C299"/>
    <w:rsid w:val="2D6BCD54"/>
    <w:rsid w:val="2D70B386"/>
    <w:rsid w:val="2D7301EB"/>
    <w:rsid w:val="2D787502"/>
    <w:rsid w:val="2D81E1B1"/>
    <w:rsid w:val="2D8417A8"/>
    <w:rsid w:val="2D852F0B"/>
    <w:rsid w:val="2D8CD17B"/>
    <w:rsid w:val="2D92E808"/>
    <w:rsid w:val="2D9CF508"/>
    <w:rsid w:val="2DB3AA21"/>
    <w:rsid w:val="2DB7A0B3"/>
    <w:rsid w:val="2DB9B806"/>
    <w:rsid w:val="2DBE7BF4"/>
    <w:rsid w:val="2DBE7FD9"/>
    <w:rsid w:val="2DC693B5"/>
    <w:rsid w:val="2DC86DE9"/>
    <w:rsid w:val="2DCDBE8C"/>
    <w:rsid w:val="2DDAFBA2"/>
    <w:rsid w:val="2DE05BE3"/>
    <w:rsid w:val="2DF9A6F9"/>
    <w:rsid w:val="2DFB033E"/>
    <w:rsid w:val="2E03CBDE"/>
    <w:rsid w:val="2E097F9E"/>
    <w:rsid w:val="2E110253"/>
    <w:rsid w:val="2E20E1DE"/>
    <w:rsid w:val="2E3A6B97"/>
    <w:rsid w:val="2E417F18"/>
    <w:rsid w:val="2E4315A4"/>
    <w:rsid w:val="2E4B0756"/>
    <w:rsid w:val="2E4BF76D"/>
    <w:rsid w:val="2E4F9686"/>
    <w:rsid w:val="2E50E280"/>
    <w:rsid w:val="2E527F67"/>
    <w:rsid w:val="2E5E22B3"/>
    <w:rsid w:val="2E6396D6"/>
    <w:rsid w:val="2E652782"/>
    <w:rsid w:val="2E6FBE97"/>
    <w:rsid w:val="2E727540"/>
    <w:rsid w:val="2E7AF5DE"/>
    <w:rsid w:val="2E7F4910"/>
    <w:rsid w:val="2E859B8E"/>
    <w:rsid w:val="2E96323A"/>
    <w:rsid w:val="2E981EBA"/>
    <w:rsid w:val="2EC33AC5"/>
    <w:rsid w:val="2EC4FB29"/>
    <w:rsid w:val="2ED9E93E"/>
    <w:rsid w:val="2EDF887A"/>
    <w:rsid w:val="2EE834BD"/>
    <w:rsid w:val="2EF82986"/>
    <w:rsid w:val="2F027E73"/>
    <w:rsid w:val="2F04F059"/>
    <w:rsid w:val="2F09CB90"/>
    <w:rsid w:val="2F0BCCFC"/>
    <w:rsid w:val="2F0F028C"/>
    <w:rsid w:val="2F34E382"/>
    <w:rsid w:val="2F3EC3CA"/>
    <w:rsid w:val="2F410219"/>
    <w:rsid w:val="2F51C018"/>
    <w:rsid w:val="2F53D07F"/>
    <w:rsid w:val="2F6BA25D"/>
    <w:rsid w:val="2F6DE1D3"/>
    <w:rsid w:val="2F7087FF"/>
    <w:rsid w:val="2F7BE7B2"/>
    <w:rsid w:val="2F810628"/>
    <w:rsid w:val="2F854149"/>
    <w:rsid w:val="2F9032FC"/>
    <w:rsid w:val="2F9EB998"/>
    <w:rsid w:val="2FA06F10"/>
    <w:rsid w:val="2FA0F96C"/>
    <w:rsid w:val="2FABAF3A"/>
    <w:rsid w:val="2FAD2A87"/>
    <w:rsid w:val="2FB63643"/>
    <w:rsid w:val="2FB934B1"/>
    <w:rsid w:val="2FBB0C2A"/>
    <w:rsid w:val="2FC2A464"/>
    <w:rsid w:val="2FCF15C7"/>
    <w:rsid w:val="2FD5E136"/>
    <w:rsid w:val="2FE0E5C4"/>
    <w:rsid w:val="2FE0E7E5"/>
    <w:rsid w:val="2FEC3E49"/>
    <w:rsid w:val="2FFABB70"/>
    <w:rsid w:val="30033083"/>
    <w:rsid w:val="300E6751"/>
    <w:rsid w:val="3015A742"/>
    <w:rsid w:val="301BA9DE"/>
    <w:rsid w:val="303374A3"/>
    <w:rsid w:val="3036A36C"/>
    <w:rsid w:val="30374046"/>
    <w:rsid w:val="3039C8AF"/>
    <w:rsid w:val="303D00A9"/>
    <w:rsid w:val="3049B9EF"/>
    <w:rsid w:val="3056FDEF"/>
    <w:rsid w:val="305ACFC1"/>
    <w:rsid w:val="306BFBFE"/>
    <w:rsid w:val="306F31A5"/>
    <w:rsid w:val="3071153A"/>
    <w:rsid w:val="3079D0ED"/>
    <w:rsid w:val="3082730C"/>
    <w:rsid w:val="30839840"/>
    <w:rsid w:val="3093916E"/>
    <w:rsid w:val="3099604E"/>
    <w:rsid w:val="309CE99E"/>
    <w:rsid w:val="30A53C64"/>
    <w:rsid w:val="30AAA07C"/>
    <w:rsid w:val="30AAAF2E"/>
    <w:rsid w:val="30B5AD6E"/>
    <w:rsid w:val="30B9D2A9"/>
    <w:rsid w:val="30C30E4B"/>
    <w:rsid w:val="30C8454D"/>
    <w:rsid w:val="30CBD6FF"/>
    <w:rsid w:val="30D9D305"/>
    <w:rsid w:val="30E1D08F"/>
    <w:rsid w:val="30EB9F52"/>
    <w:rsid w:val="30F62A01"/>
    <w:rsid w:val="30F94FD2"/>
    <w:rsid w:val="30FD803A"/>
    <w:rsid w:val="3107DB0A"/>
    <w:rsid w:val="31091BBE"/>
    <w:rsid w:val="310F789A"/>
    <w:rsid w:val="3117F663"/>
    <w:rsid w:val="31220C3B"/>
    <w:rsid w:val="312EBAF1"/>
    <w:rsid w:val="313404C7"/>
    <w:rsid w:val="31349504"/>
    <w:rsid w:val="313CA9D9"/>
    <w:rsid w:val="3147703C"/>
    <w:rsid w:val="31477B0C"/>
    <w:rsid w:val="314E991D"/>
    <w:rsid w:val="316536AD"/>
    <w:rsid w:val="316DF34E"/>
    <w:rsid w:val="31741426"/>
    <w:rsid w:val="31800EBC"/>
    <w:rsid w:val="3183E7D2"/>
    <w:rsid w:val="31995645"/>
    <w:rsid w:val="31A3FF69"/>
    <w:rsid w:val="31AB2B08"/>
    <w:rsid w:val="31AC3898"/>
    <w:rsid w:val="31B353FB"/>
    <w:rsid w:val="31BB27B4"/>
    <w:rsid w:val="31BDFECC"/>
    <w:rsid w:val="31BE32E3"/>
    <w:rsid w:val="31CCA183"/>
    <w:rsid w:val="31D1C96E"/>
    <w:rsid w:val="31E02C63"/>
    <w:rsid w:val="31E246E0"/>
    <w:rsid w:val="31EC9999"/>
    <w:rsid w:val="3203BE10"/>
    <w:rsid w:val="320FD5B9"/>
    <w:rsid w:val="321D19AB"/>
    <w:rsid w:val="3228E017"/>
    <w:rsid w:val="3231EF9B"/>
    <w:rsid w:val="323334EE"/>
    <w:rsid w:val="323D7710"/>
    <w:rsid w:val="32417C48"/>
    <w:rsid w:val="324CA1F2"/>
    <w:rsid w:val="324CA8A8"/>
    <w:rsid w:val="325D6D1B"/>
    <w:rsid w:val="325FF2CC"/>
    <w:rsid w:val="326F41BC"/>
    <w:rsid w:val="327A7D88"/>
    <w:rsid w:val="327B791C"/>
    <w:rsid w:val="32889E67"/>
    <w:rsid w:val="328A8F33"/>
    <w:rsid w:val="3290A555"/>
    <w:rsid w:val="32942B9D"/>
    <w:rsid w:val="329802A5"/>
    <w:rsid w:val="32A02F61"/>
    <w:rsid w:val="32B5A08B"/>
    <w:rsid w:val="32BB3B99"/>
    <w:rsid w:val="32C4D098"/>
    <w:rsid w:val="32C4EFB0"/>
    <w:rsid w:val="32C61408"/>
    <w:rsid w:val="32D0AA39"/>
    <w:rsid w:val="32D28C1C"/>
    <w:rsid w:val="32D555B8"/>
    <w:rsid w:val="32EBEF63"/>
    <w:rsid w:val="3333A6B0"/>
    <w:rsid w:val="3334C617"/>
    <w:rsid w:val="3338A029"/>
    <w:rsid w:val="333A9A84"/>
    <w:rsid w:val="334FF791"/>
    <w:rsid w:val="337D899C"/>
    <w:rsid w:val="3395800B"/>
    <w:rsid w:val="339D26A7"/>
    <w:rsid w:val="33AB11D6"/>
    <w:rsid w:val="33B20710"/>
    <w:rsid w:val="33C97D13"/>
    <w:rsid w:val="33D04A2C"/>
    <w:rsid w:val="33D9B5D4"/>
    <w:rsid w:val="33DC75FD"/>
    <w:rsid w:val="33E18053"/>
    <w:rsid w:val="3402FC16"/>
    <w:rsid w:val="34184ADE"/>
    <w:rsid w:val="3427A3C4"/>
    <w:rsid w:val="342E37BC"/>
    <w:rsid w:val="343CD4CB"/>
    <w:rsid w:val="343D4E9F"/>
    <w:rsid w:val="345042BD"/>
    <w:rsid w:val="3451F4A2"/>
    <w:rsid w:val="3464A538"/>
    <w:rsid w:val="3474F91A"/>
    <w:rsid w:val="3480E313"/>
    <w:rsid w:val="34825B10"/>
    <w:rsid w:val="34825DD9"/>
    <w:rsid w:val="3484D4F9"/>
    <w:rsid w:val="348666C4"/>
    <w:rsid w:val="3490FD97"/>
    <w:rsid w:val="34A71645"/>
    <w:rsid w:val="34AAA300"/>
    <w:rsid w:val="34AEDFCB"/>
    <w:rsid w:val="34B0D1BB"/>
    <w:rsid w:val="34B9AC3F"/>
    <w:rsid w:val="34BCB802"/>
    <w:rsid w:val="34C196CE"/>
    <w:rsid w:val="34C7718D"/>
    <w:rsid w:val="34C984EA"/>
    <w:rsid w:val="34D3E6C8"/>
    <w:rsid w:val="34F2629C"/>
    <w:rsid w:val="34F5B738"/>
    <w:rsid w:val="350BB882"/>
    <w:rsid w:val="3511486E"/>
    <w:rsid w:val="352086B0"/>
    <w:rsid w:val="35220FD4"/>
    <w:rsid w:val="3523C8B7"/>
    <w:rsid w:val="3542EFB1"/>
    <w:rsid w:val="354D419C"/>
    <w:rsid w:val="3559C765"/>
    <w:rsid w:val="355FADCA"/>
    <w:rsid w:val="355FC2D2"/>
    <w:rsid w:val="35644DA3"/>
    <w:rsid w:val="357A52C6"/>
    <w:rsid w:val="3586E28C"/>
    <w:rsid w:val="35939564"/>
    <w:rsid w:val="359FB1A9"/>
    <w:rsid w:val="35A1DA72"/>
    <w:rsid w:val="35D3B426"/>
    <w:rsid w:val="35D3F9CD"/>
    <w:rsid w:val="35EA8E63"/>
    <w:rsid w:val="35F987FE"/>
    <w:rsid w:val="3616DFB9"/>
    <w:rsid w:val="36183E70"/>
    <w:rsid w:val="361AE1EB"/>
    <w:rsid w:val="362086B3"/>
    <w:rsid w:val="3620E889"/>
    <w:rsid w:val="362AB6D9"/>
    <w:rsid w:val="362B6BD8"/>
    <w:rsid w:val="362D7A34"/>
    <w:rsid w:val="36522AFD"/>
    <w:rsid w:val="3654B3BD"/>
    <w:rsid w:val="36579082"/>
    <w:rsid w:val="3661972C"/>
    <w:rsid w:val="3666D763"/>
    <w:rsid w:val="366CC335"/>
    <w:rsid w:val="36771355"/>
    <w:rsid w:val="367EF04C"/>
    <w:rsid w:val="367F4591"/>
    <w:rsid w:val="36855320"/>
    <w:rsid w:val="36886533"/>
    <w:rsid w:val="368BC582"/>
    <w:rsid w:val="368C314D"/>
    <w:rsid w:val="369665BD"/>
    <w:rsid w:val="369B2B0B"/>
    <w:rsid w:val="36A38A78"/>
    <w:rsid w:val="36B7E0DB"/>
    <w:rsid w:val="36B93C15"/>
    <w:rsid w:val="36D2FA1C"/>
    <w:rsid w:val="36D712AC"/>
    <w:rsid w:val="36D989BE"/>
    <w:rsid w:val="36E725BC"/>
    <w:rsid w:val="36E9B37E"/>
    <w:rsid w:val="36EC0CAA"/>
    <w:rsid w:val="36F1C786"/>
    <w:rsid w:val="36F94235"/>
    <w:rsid w:val="36FCD6A4"/>
    <w:rsid w:val="36FE0F41"/>
    <w:rsid w:val="36FF16EF"/>
    <w:rsid w:val="37078743"/>
    <w:rsid w:val="370AE1F0"/>
    <w:rsid w:val="37133D8E"/>
    <w:rsid w:val="37216803"/>
    <w:rsid w:val="37250EAF"/>
    <w:rsid w:val="37380155"/>
    <w:rsid w:val="3739294F"/>
    <w:rsid w:val="373A7784"/>
    <w:rsid w:val="373B2D50"/>
    <w:rsid w:val="3748A8D9"/>
    <w:rsid w:val="3749A398"/>
    <w:rsid w:val="375384F6"/>
    <w:rsid w:val="3755B7E8"/>
    <w:rsid w:val="375776EA"/>
    <w:rsid w:val="375B3C44"/>
    <w:rsid w:val="375CCE47"/>
    <w:rsid w:val="3769B034"/>
    <w:rsid w:val="37798E06"/>
    <w:rsid w:val="377BE3B6"/>
    <w:rsid w:val="37816344"/>
    <w:rsid w:val="37950174"/>
    <w:rsid w:val="379ED05B"/>
    <w:rsid w:val="37A2798E"/>
    <w:rsid w:val="37BAC7E3"/>
    <w:rsid w:val="37BB7A11"/>
    <w:rsid w:val="37C191EB"/>
    <w:rsid w:val="37D76B8D"/>
    <w:rsid w:val="37E2996F"/>
    <w:rsid w:val="37F2DE94"/>
    <w:rsid w:val="37F8E375"/>
    <w:rsid w:val="38027C13"/>
    <w:rsid w:val="3803D1EC"/>
    <w:rsid w:val="380E424D"/>
    <w:rsid w:val="380F95B6"/>
    <w:rsid w:val="3811372F"/>
    <w:rsid w:val="3815523C"/>
    <w:rsid w:val="3826493F"/>
    <w:rsid w:val="38322FF6"/>
    <w:rsid w:val="383BC964"/>
    <w:rsid w:val="383E8C44"/>
    <w:rsid w:val="384001D5"/>
    <w:rsid w:val="3844BDEC"/>
    <w:rsid w:val="384500F6"/>
    <w:rsid w:val="384F9C8D"/>
    <w:rsid w:val="385087E2"/>
    <w:rsid w:val="38614E5C"/>
    <w:rsid w:val="3862DA09"/>
    <w:rsid w:val="38635B7B"/>
    <w:rsid w:val="386C522E"/>
    <w:rsid w:val="387BAFF5"/>
    <w:rsid w:val="388340BF"/>
    <w:rsid w:val="3884F8B7"/>
    <w:rsid w:val="389B8297"/>
    <w:rsid w:val="38B50E48"/>
    <w:rsid w:val="38C41988"/>
    <w:rsid w:val="38C7FB05"/>
    <w:rsid w:val="38D9F850"/>
    <w:rsid w:val="38E286FA"/>
    <w:rsid w:val="38E52D7E"/>
    <w:rsid w:val="38FC9B2D"/>
    <w:rsid w:val="3901700B"/>
    <w:rsid w:val="3907B9D9"/>
    <w:rsid w:val="390E2BEB"/>
    <w:rsid w:val="39151B3C"/>
    <w:rsid w:val="39161382"/>
    <w:rsid w:val="39206727"/>
    <w:rsid w:val="3920DA01"/>
    <w:rsid w:val="3922BA77"/>
    <w:rsid w:val="3930D3C1"/>
    <w:rsid w:val="394D9A70"/>
    <w:rsid w:val="39527BF8"/>
    <w:rsid w:val="396267B5"/>
    <w:rsid w:val="39673432"/>
    <w:rsid w:val="39690F4E"/>
    <w:rsid w:val="396AFABD"/>
    <w:rsid w:val="397394F4"/>
    <w:rsid w:val="398001DF"/>
    <w:rsid w:val="398337DA"/>
    <w:rsid w:val="398A9972"/>
    <w:rsid w:val="39B9DFC2"/>
    <w:rsid w:val="39D37FC8"/>
    <w:rsid w:val="39D72974"/>
    <w:rsid w:val="39DB3893"/>
    <w:rsid w:val="39E7E7C0"/>
    <w:rsid w:val="39EBD126"/>
    <w:rsid w:val="3A04DA59"/>
    <w:rsid w:val="3A059E2F"/>
    <w:rsid w:val="3A2B47F8"/>
    <w:rsid w:val="3A37C223"/>
    <w:rsid w:val="3A3C2DCB"/>
    <w:rsid w:val="3A41AB36"/>
    <w:rsid w:val="3A456277"/>
    <w:rsid w:val="3A45B462"/>
    <w:rsid w:val="3A477AB6"/>
    <w:rsid w:val="3A4D9EBE"/>
    <w:rsid w:val="3A5D530C"/>
    <w:rsid w:val="3A5ECBEB"/>
    <w:rsid w:val="3A5FF296"/>
    <w:rsid w:val="3A637B87"/>
    <w:rsid w:val="3A680D02"/>
    <w:rsid w:val="3A68CD81"/>
    <w:rsid w:val="3A6F4759"/>
    <w:rsid w:val="3A6FFF35"/>
    <w:rsid w:val="3A77735F"/>
    <w:rsid w:val="3A799F96"/>
    <w:rsid w:val="3A831DE5"/>
    <w:rsid w:val="3AAE9493"/>
    <w:rsid w:val="3AB802AA"/>
    <w:rsid w:val="3ABE4F2F"/>
    <w:rsid w:val="3AC3B4D0"/>
    <w:rsid w:val="3AC7B6E8"/>
    <w:rsid w:val="3AC89BF7"/>
    <w:rsid w:val="3ACAB079"/>
    <w:rsid w:val="3ACE2270"/>
    <w:rsid w:val="3AD12FD1"/>
    <w:rsid w:val="3AD7ED8B"/>
    <w:rsid w:val="3B084EE9"/>
    <w:rsid w:val="3B0C2D58"/>
    <w:rsid w:val="3B0E077A"/>
    <w:rsid w:val="3B109E2A"/>
    <w:rsid w:val="3B1789C7"/>
    <w:rsid w:val="3B1AA27C"/>
    <w:rsid w:val="3B212D77"/>
    <w:rsid w:val="3B25B983"/>
    <w:rsid w:val="3B31C399"/>
    <w:rsid w:val="3B39014B"/>
    <w:rsid w:val="3B46A1A1"/>
    <w:rsid w:val="3B48D856"/>
    <w:rsid w:val="3B4C32DA"/>
    <w:rsid w:val="3B5C3098"/>
    <w:rsid w:val="3B66D521"/>
    <w:rsid w:val="3B6E6C1C"/>
    <w:rsid w:val="3B7A168F"/>
    <w:rsid w:val="3B84F8D6"/>
    <w:rsid w:val="3B99B353"/>
    <w:rsid w:val="3B9C4787"/>
    <w:rsid w:val="3BA07149"/>
    <w:rsid w:val="3BA891BD"/>
    <w:rsid w:val="3BC263BB"/>
    <w:rsid w:val="3BDF2360"/>
    <w:rsid w:val="3BE591A4"/>
    <w:rsid w:val="3BEE4A82"/>
    <w:rsid w:val="3BF22940"/>
    <w:rsid w:val="3BF256C6"/>
    <w:rsid w:val="3BFF36B5"/>
    <w:rsid w:val="3C041341"/>
    <w:rsid w:val="3C05E18D"/>
    <w:rsid w:val="3C20078A"/>
    <w:rsid w:val="3C214DA8"/>
    <w:rsid w:val="3C294D55"/>
    <w:rsid w:val="3C394493"/>
    <w:rsid w:val="3C3F109F"/>
    <w:rsid w:val="3C3F89C7"/>
    <w:rsid w:val="3C40E9A3"/>
    <w:rsid w:val="3C43CA6D"/>
    <w:rsid w:val="3C6545AB"/>
    <w:rsid w:val="3C6D188B"/>
    <w:rsid w:val="3C720DD5"/>
    <w:rsid w:val="3C79C20E"/>
    <w:rsid w:val="3C93C286"/>
    <w:rsid w:val="3C9F0365"/>
    <w:rsid w:val="3CA4BED2"/>
    <w:rsid w:val="3CA6DE35"/>
    <w:rsid w:val="3CA6F2C7"/>
    <w:rsid w:val="3CA9063A"/>
    <w:rsid w:val="3CAC9B12"/>
    <w:rsid w:val="3CBEAF67"/>
    <w:rsid w:val="3CC4965B"/>
    <w:rsid w:val="3CD3A46F"/>
    <w:rsid w:val="3CEA856E"/>
    <w:rsid w:val="3D0FDA7E"/>
    <w:rsid w:val="3D1037E3"/>
    <w:rsid w:val="3D141E89"/>
    <w:rsid w:val="3D21AC42"/>
    <w:rsid w:val="3D22A46C"/>
    <w:rsid w:val="3D28C0A5"/>
    <w:rsid w:val="3D299594"/>
    <w:rsid w:val="3D3B03B6"/>
    <w:rsid w:val="3D3E80B2"/>
    <w:rsid w:val="3D5674D9"/>
    <w:rsid w:val="3D5EBD75"/>
    <w:rsid w:val="3D7678B4"/>
    <w:rsid w:val="3D7A3368"/>
    <w:rsid w:val="3D7BD172"/>
    <w:rsid w:val="3D874343"/>
    <w:rsid w:val="3D9E0835"/>
    <w:rsid w:val="3DA92FAE"/>
    <w:rsid w:val="3DAE66DC"/>
    <w:rsid w:val="3DC5BA87"/>
    <w:rsid w:val="3DD1F03D"/>
    <w:rsid w:val="3DD5E50D"/>
    <w:rsid w:val="3DDA9DF1"/>
    <w:rsid w:val="3DDDAB0A"/>
    <w:rsid w:val="3DEA572D"/>
    <w:rsid w:val="3DF969DD"/>
    <w:rsid w:val="3DF96F4A"/>
    <w:rsid w:val="3DFB925D"/>
    <w:rsid w:val="3DFD3D45"/>
    <w:rsid w:val="3E08336C"/>
    <w:rsid w:val="3E09F687"/>
    <w:rsid w:val="3E153F65"/>
    <w:rsid w:val="3E1C57DA"/>
    <w:rsid w:val="3E299BB2"/>
    <w:rsid w:val="3E38A002"/>
    <w:rsid w:val="3E39A711"/>
    <w:rsid w:val="3E63969F"/>
    <w:rsid w:val="3E6F2CA2"/>
    <w:rsid w:val="3E78CF92"/>
    <w:rsid w:val="3E83E50C"/>
    <w:rsid w:val="3E85E2AE"/>
    <w:rsid w:val="3E95F5C3"/>
    <w:rsid w:val="3EA10F0F"/>
    <w:rsid w:val="3EA13F66"/>
    <w:rsid w:val="3EB11E43"/>
    <w:rsid w:val="3EB4C219"/>
    <w:rsid w:val="3EC2243B"/>
    <w:rsid w:val="3ED2B2C2"/>
    <w:rsid w:val="3EDCE2D9"/>
    <w:rsid w:val="3EEC52D6"/>
    <w:rsid w:val="3EFC3167"/>
    <w:rsid w:val="3F0E99E4"/>
    <w:rsid w:val="3F2A8529"/>
    <w:rsid w:val="3F442A66"/>
    <w:rsid w:val="3F502CCE"/>
    <w:rsid w:val="3F5B264A"/>
    <w:rsid w:val="3F6FF273"/>
    <w:rsid w:val="3F76BF7B"/>
    <w:rsid w:val="3F795FBF"/>
    <w:rsid w:val="3F79A968"/>
    <w:rsid w:val="3F7C5F12"/>
    <w:rsid w:val="3F803766"/>
    <w:rsid w:val="3F8A53B9"/>
    <w:rsid w:val="3F937E6F"/>
    <w:rsid w:val="3F945FA6"/>
    <w:rsid w:val="3F9CE698"/>
    <w:rsid w:val="3F9EDB96"/>
    <w:rsid w:val="3F9FBAE5"/>
    <w:rsid w:val="3FA09502"/>
    <w:rsid w:val="3FB091C8"/>
    <w:rsid w:val="3FC73F14"/>
    <w:rsid w:val="3FD371A0"/>
    <w:rsid w:val="3FD398D3"/>
    <w:rsid w:val="3FF442EF"/>
    <w:rsid w:val="3FFF4BAB"/>
    <w:rsid w:val="40062ED0"/>
    <w:rsid w:val="40077454"/>
    <w:rsid w:val="400BEAC8"/>
    <w:rsid w:val="40167C86"/>
    <w:rsid w:val="4016EF0F"/>
    <w:rsid w:val="401B94A4"/>
    <w:rsid w:val="402D4745"/>
    <w:rsid w:val="4039B60C"/>
    <w:rsid w:val="40426408"/>
    <w:rsid w:val="404A0A5B"/>
    <w:rsid w:val="404F65DB"/>
    <w:rsid w:val="405939B8"/>
    <w:rsid w:val="4070644A"/>
    <w:rsid w:val="4085964E"/>
    <w:rsid w:val="4085BE89"/>
    <w:rsid w:val="4085D3DE"/>
    <w:rsid w:val="4089D9D1"/>
    <w:rsid w:val="408FE8BF"/>
    <w:rsid w:val="40AE35BA"/>
    <w:rsid w:val="40AF4624"/>
    <w:rsid w:val="40B097D2"/>
    <w:rsid w:val="40B20C84"/>
    <w:rsid w:val="40B8E4DA"/>
    <w:rsid w:val="40C45DD7"/>
    <w:rsid w:val="40CFEEC9"/>
    <w:rsid w:val="40D91AE9"/>
    <w:rsid w:val="40E26156"/>
    <w:rsid w:val="40E6ECFA"/>
    <w:rsid w:val="40E85781"/>
    <w:rsid w:val="40E9CB33"/>
    <w:rsid w:val="40EB04AD"/>
    <w:rsid w:val="40EDF82F"/>
    <w:rsid w:val="40F3BFA9"/>
    <w:rsid w:val="410AB76D"/>
    <w:rsid w:val="411B5B38"/>
    <w:rsid w:val="413565AD"/>
    <w:rsid w:val="413CFCBD"/>
    <w:rsid w:val="414CACF9"/>
    <w:rsid w:val="4163541A"/>
    <w:rsid w:val="4167E277"/>
    <w:rsid w:val="417151F7"/>
    <w:rsid w:val="41784BC6"/>
    <w:rsid w:val="41825A6D"/>
    <w:rsid w:val="418D035E"/>
    <w:rsid w:val="419416C1"/>
    <w:rsid w:val="4198E801"/>
    <w:rsid w:val="419B09DF"/>
    <w:rsid w:val="419F29A3"/>
    <w:rsid w:val="41A633F7"/>
    <w:rsid w:val="41A96EAA"/>
    <w:rsid w:val="41AC3F33"/>
    <w:rsid w:val="41BE5584"/>
    <w:rsid w:val="41BF3A23"/>
    <w:rsid w:val="41C40B7F"/>
    <w:rsid w:val="41C73EC5"/>
    <w:rsid w:val="41CFDA83"/>
    <w:rsid w:val="41D25C14"/>
    <w:rsid w:val="41D9F9FA"/>
    <w:rsid w:val="41DAF071"/>
    <w:rsid w:val="41DF86A3"/>
    <w:rsid w:val="41ECA217"/>
    <w:rsid w:val="41EFB3E6"/>
    <w:rsid w:val="41F346E4"/>
    <w:rsid w:val="4208754C"/>
    <w:rsid w:val="42122CB2"/>
    <w:rsid w:val="421F3445"/>
    <w:rsid w:val="422067F6"/>
    <w:rsid w:val="42310A4F"/>
    <w:rsid w:val="4233B4AF"/>
    <w:rsid w:val="423E4EE7"/>
    <w:rsid w:val="42443B6D"/>
    <w:rsid w:val="424861CE"/>
    <w:rsid w:val="424BF009"/>
    <w:rsid w:val="424E16F3"/>
    <w:rsid w:val="4271581C"/>
    <w:rsid w:val="4285554D"/>
    <w:rsid w:val="428BEF2E"/>
    <w:rsid w:val="429CDC34"/>
    <w:rsid w:val="42BE77FC"/>
    <w:rsid w:val="42CEBFE2"/>
    <w:rsid w:val="42E665AB"/>
    <w:rsid w:val="42F6D329"/>
    <w:rsid w:val="42F7A840"/>
    <w:rsid w:val="42F9748E"/>
    <w:rsid w:val="4315C06F"/>
    <w:rsid w:val="431D0EFA"/>
    <w:rsid w:val="4321A0F2"/>
    <w:rsid w:val="4328E458"/>
    <w:rsid w:val="433BBB3A"/>
    <w:rsid w:val="43404F4F"/>
    <w:rsid w:val="4363DD01"/>
    <w:rsid w:val="4364B65E"/>
    <w:rsid w:val="436A6CA1"/>
    <w:rsid w:val="43803873"/>
    <w:rsid w:val="4388EDF0"/>
    <w:rsid w:val="438E4F13"/>
    <w:rsid w:val="43924118"/>
    <w:rsid w:val="439E861B"/>
    <w:rsid w:val="43B4A94C"/>
    <w:rsid w:val="43BB4216"/>
    <w:rsid w:val="43BB4528"/>
    <w:rsid w:val="43BE5DB0"/>
    <w:rsid w:val="43CB304D"/>
    <w:rsid w:val="43DD07AB"/>
    <w:rsid w:val="43E25F78"/>
    <w:rsid w:val="43FD6502"/>
    <w:rsid w:val="43FFA4C3"/>
    <w:rsid w:val="4400E04E"/>
    <w:rsid w:val="440D073F"/>
    <w:rsid w:val="4412EE2B"/>
    <w:rsid w:val="4413E693"/>
    <w:rsid w:val="441F18E5"/>
    <w:rsid w:val="44222CBF"/>
    <w:rsid w:val="44229BA4"/>
    <w:rsid w:val="442A17EE"/>
    <w:rsid w:val="443DD8D4"/>
    <w:rsid w:val="4440C28C"/>
    <w:rsid w:val="444A342B"/>
    <w:rsid w:val="444CB1F1"/>
    <w:rsid w:val="44558193"/>
    <w:rsid w:val="4467E574"/>
    <w:rsid w:val="44798E97"/>
    <w:rsid w:val="4494B568"/>
    <w:rsid w:val="449D76F1"/>
    <w:rsid w:val="449FC9B9"/>
    <w:rsid w:val="44A0CDB7"/>
    <w:rsid w:val="44A5C387"/>
    <w:rsid w:val="44B13922"/>
    <w:rsid w:val="44B5428B"/>
    <w:rsid w:val="44B5E5C3"/>
    <w:rsid w:val="44BDB7D3"/>
    <w:rsid w:val="44C8C31D"/>
    <w:rsid w:val="44CB6E87"/>
    <w:rsid w:val="44D027A0"/>
    <w:rsid w:val="44D2116F"/>
    <w:rsid w:val="44D8A199"/>
    <w:rsid w:val="44DBE904"/>
    <w:rsid w:val="44DF0216"/>
    <w:rsid w:val="44E145D3"/>
    <w:rsid w:val="44E27E84"/>
    <w:rsid w:val="44E60E2C"/>
    <w:rsid w:val="44F13D92"/>
    <w:rsid w:val="44F6C4EC"/>
    <w:rsid w:val="44FC9B5C"/>
    <w:rsid w:val="44FE7617"/>
    <w:rsid w:val="44FEE4EC"/>
    <w:rsid w:val="45017D01"/>
    <w:rsid w:val="4505591A"/>
    <w:rsid w:val="450BC4EA"/>
    <w:rsid w:val="45109951"/>
    <w:rsid w:val="451787D0"/>
    <w:rsid w:val="451A810C"/>
    <w:rsid w:val="45367B09"/>
    <w:rsid w:val="454A6AFC"/>
    <w:rsid w:val="454AD9C6"/>
    <w:rsid w:val="455F6011"/>
    <w:rsid w:val="45669771"/>
    <w:rsid w:val="456FFB2B"/>
    <w:rsid w:val="4574B43E"/>
    <w:rsid w:val="457C4E27"/>
    <w:rsid w:val="458A6957"/>
    <w:rsid w:val="459643CC"/>
    <w:rsid w:val="459F56F4"/>
    <w:rsid w:val="45A31728"/>
    <w:rsid w:val="45AC76BD"/>
    <w:rsid w:val="45AEF944"/>
    <w:rsid w:val="45B79377"/>
    <w:rsid w:val="45D975DF"/>
    <w:rsid w:val="45E32EF6"/>
    <w:rsid w:val="45F029E6"/>
    <w:rsid w:val="45F30B1F"/>
    <w:rsid w:val="460A002C"/>
    <w:rsid w:val="4610DD34"/>
    <w:rsid w:val="461AD9D3"/>
    <w:rsid w:val="4620FB24"/>
    <w:rsid w:val="46277714"/>
    <w:rsid w:val="462D7474"/>
    <w:rsid w:val="4631348C"/>
    <w:rsid w:val="463DB71A"/>
    <w:rsid w:val="4652C3C3"/>
    <w:rsid w:val="465F60A0"/>
    <w:rsid w:val="4660151E"/>
    <w:rsid w:val="46700865"/>
    <w:rsid w:val="467437F1"/>
    <w:rsid w:val="46792EC1"/>
    <w:rsid w:val="467ABE04"/>
    <w:rsid w:val="467B4C62"/>
    <w:rsid w:val="468294E2"/>
    <w:rsid w:val="4696CE49"/>
    <w:rsid w:val="46A46667"/>
    <w:rsid w:val="46A82EA5"/>
    <w:rsid w:val="46ADFCFC"/>
    <w:rsid w:val="46B3FE9A"/>
    <w:rsid w:val="46B8B071"/>
    <w:rsid w:val="46C3FE53"/>
    <w:rsid w:val="46CE7FBF"/>
    <w:rsid w:val="46EA1527"/>
    <w:rsid w:val="46EE84E7"/>
    <w:rsid w:val="46F043FD"/>
    <w:rsid w:val="46FD5D88"/>
    <w:rsid w:val="46FF3AFC"/>
    <w:rsid w:val="47037566"/>
    <w:rsid w:val="47058344"/>
    <w:rsid w:val="47137C14"/>
    <w:rsid w:val="47151D7F"/>
    <w:rsid w:val="4717644F"/>
    <w:rsid w:val="471D1B14"/>
    <w:rsid w:val="47235378"/>
    <w:rsid w:val="47298270"/>
    <w:rsid w:val="473161CF"/>
    <w:rsid w:val="47353DA1"/>
    <w:rsid w:val="47434E00"/>
    <w:rsid w:val="4752B431"/>
    <w:rsid w:val="476A0B26"/>
    <w:rsid w:val="476D6D34"/>
    <w:rsid w:val="4779C2C3"/>
    <w:rsid w:val="477EEF53"/>
    <w:rsid w:val="47805784"/>
    <w:rsid w:val="4786FE63"/>
    <w:rsid w:val="4798F47F"/>
    <w:rsid w:val="47996859"/>
    <w:rsid w:val="47A9398E"/>
    <w:rsid w:val="47AB2359"/>
    <w:rsid w:val="47B1423A"/>
    <w:rsid w:val="47B54282"/>
    <w:rsid w:val="47B67651"/>
    <w:rsid w:val="47B93914"/>
    <w:rsid w:val="47CE5CC3"/>
    <w:rsid w:val="47CEDAB5"/>
    <w:rsid w:val="47E1660C"/>
    <w:rsid w:val="47E6E8C5"/>
    <w:rsid w:val="47F64808"/>
    <w:rsid w:val="4801C3D8"/>
    <w:rsid w:val="4806A7C0"/>
    <w:rsid w:val="480F7371"/>
    <w:rsid w:val="4824326F"/>
    <w:rsid w:val="48261D92"/>
    <w:rsid w:val="4828B19A"/>
    <w:rsid w:val="482B4E0B"/>
    <w:rsid w:val="4840AACC"/>
    <w:rsid w:val="485917C0"/>
    <w:rsid w:val="486AA16B"/>
    <w:rsid w:val="486B56C7"/>
    <w:rsid w:val="4885692F"/>
    <w:rsid w:val="488ACF96"/>
    <w:rsid w:val="488BDA99"/>
    <w:rsid w:val="489C9A99"/>
    <w:rsid w:val="48A7A747"/>
    <w:rsid w:val="48B5F90D"/>
    <w:rsid w:val="48B66FDB"/>
    <w:rsid w:val="48B76EA3"/>
    <w:rsid w:val="48C2A3B9"/>
    <w:rsid w:val="48C3EE74"/>
    <w:rsid w:val="48CFA9FC"/>
    <w:rsid w:val="48D05110"/>
    <w:rsid w:val="48DE14F9"/>
    <w:rsid w:val="48E74967"/>
    <w:rsid w:val="49027D9B"/>
    <w:rsid w:val="4911AFBC"/>
    <w:rsid w:val="4918E955"/>
    <w:rsid w:val="491B3972"/>
    <w:rsid w:val="492B3655"/>
    <w:rsid w:val="493430C5"/>
    <w:rsid w:val="49351D6D"/>
    <w:rsid w:val="49357F38"/>
    <w:rsid w:val="49397874"/>
    <w:rsid w:val="49476D34"/>
    <w:rsid w:val="494FBC3B"/>
    <w:rsid w:val="49621B2E"/>
    <w:rsid w:val="4965A4D4"/>
    <w:rsid w:val="4968CE8C"/>
    <w:rsid w:val="4971BD1D"/>
    <w:rsid w:val="4986A8B2"/>
    <w:rsid w:val="4987E11D"/>
    <w:rsid w:val="498AB034"/>
    <w:rsid w:val="499CAAC9"/>
    <w:rsid w:val="49A7C1F1"/>
    <w:rsid w:val="49A7E921"/>
    <w:rsid w:val="49CCE7B7"/>
    <w:rsid w:val="49CED6DB"/>
    <w:rsid w:val="49D9F055"/>
    <w:rsid w:val="49DD9456"/>
    <w:rsid w:val="49E35B31"/>
    <w:rsid w:val="49E5FD38"/>
    <w:rsid w:val="49E9685C"/>
    <w:rsid w:val="49F39AF1"/>
    <w:rsid w:val="49F96F92"/>
    <w:rsid w:val="49FEBCDE"/>
    <w:rsid w:val="4A16A226"/>
    <w:rsid w:val="4A252E2C"/>
    <w:rsid w:val="4A2B1D17"/>
    <w:rsid w:val="4A33B3F5"/>
    <w:rsid w:val="4A34350A"/>
    <w:rsid w:val="4A3F7779"/>
    <w:rsid w:val="4A40F7AE"/>
    <w:rsid w:val="4A4B4E1E"/>
    <w:rsid w:val="4A5A957C"/>
    <w:rsid w:val="4A61ADC2"/>
    <w:rsid w:val="4A61E782"/>
    <w:rsid w:val="4A6219DE"/>
    <w:rsid w:val="4A6BD56B"/>
    <w:rsid w:val="4A7C0000"/>
    <w:rsid w:val="4A7DC63B"/>
    <w:rsid w:val="4A86DE29"/>
    <w:rsid w:val="4A86F554"/>
    <w:rsid w:val="4A8FC8A4"/>
    <w:rsid w:val="4A95C7BB"/>
    <w:rsid w:val="4ACC8C46"/>
    <w:rsid w:val="4ADC3022"/>
    <w:rsid w:val="4AEBC7CA"/>
    <w:rsid w:val="4AF41480"/>
    <w:rsid w:val="4B0B3762"/>
    <w:rsid w:val="4B11D50B"/>
    <w:rsid w:val="4B28A9BD"/>
    <w:rsid w:val="4B2FC6EF"/>
    <w:rsid w:val="4B3AA281"/>
    <w:rsid w:val="4B3BC011"/>
    <w:rsid w:val="4B432D5B"/>
    <w:rsid w:val="4B44A4FB"/>
    <w:rsid w:val="4B737C85"/>
    <w:rsid w:val="4B7755AD"/>
    <w:rsid w:val="4B78CFCC"/>
    <w:rsid w:val="4B7C283D"/>
    <w:rsid w:val="4B9BFBA3"/>
    <w:rsid w:val="4BAE4CB3"/>
    <w:rsid w:val="4BB05E56"/>
    <w:rsid w:val="4BB870E1"/>
    <w:rsid w:val="4BC6DB75"/>
    <w:rsid w:val="4BC7734D"/>
    <w:rsid w:val="4BF48D48"/>
    <w:rsid w:val="4BF8EB9B"/>
    <w:rsid w:val="4C005293"/>
    <w:rsid w:val="4C0109DA"/>
    <w:rsid w:val="4C183D19"/>
    <w:rsid w:val="4C19D826"/>
    <w:rsid w:val="4C28BB33"/>
    <w:rsid w:val="4C2D8FFE"/>
    <w:rsid w:val="4C3145C6"/>
    <w:rsid w:val="4C36935A"/>
    <w:rsid w:val="4C3FA6CB"/>
    <w:rsid w:val="4C41B597"/>
    <w:rsid w:val="4C4777E7"/>
    <w:rsid w:val="4C64C1FD"/>
    <w:rsid w:val="4C6A55FB"/>
    <w:rsid w:val="4C960292"/>
    <w:rsid w:val="4C983500"/>
    <w:rsid w:val="4C9B147D"/>
    <w:rsid w:val="4CA1A929"/>
    <w:rsid w:val="4CB52A57"/>
    <w:rsid w:val="4CBD6D8E"/>
    <w:rsid w:val="4CC4C3C7"/>
    <w:rsid w:val="4CC50342"/>
    <w:rsid w:val="4CC6830B"/>
    <w:rsid w:val="4CD5DB64"/>
    <w:rsid w:val="4CD74FFC"/>
    <w:rsid w:val="4CD8219B"/>
    <w:rsid w:val="4CD8DEB2"/>
    <w:rsid w:val="4CE06BA6"/>
    <w:rsid w:val="4CE3EE97"/>
    <w:rsid w:val="4CEC0A2E"/>
    <w:rsid w:val="4CF408E9"/>
    <w:rsid w:val="4CF4EA43"/>
    <w:rsid w:val="4CFBCE99"/>
    <w:rsid w:val="4CFBEDD9"/>
    <w:rsid w:val="4CFCF434"/>
    <w:rsid w:val="4CFE87F8"/>
    <w:rsid w:val="4D0AE680"/>
    <w:rsid w:val="4D0CD790"/>
    <w:rsid w:val="4D11A5F1"/>
    <w:rsid w:val="4D148EB7"/>
    <w:rsid w:val="4D18BA22"/>
    <w:rsid w:val="4D1A8057"/>
    <w:rsid w:val="4D1F759E"/>
    <w:rsid w:val="4D2E5FEC"/>
    <w:rsid w:val="4D33F516"/>
    <w:rsid w:val="4D3D0E09"/>
    <w:rsid w:val="4D4EE665"/>
    <w:rsid w:val="4D64C2A5"/>
    <w:rsid w:val="4D84A9B4"/>
    <w:rsid w:val="4D857AB8"/>
    <w:rsid w:val="4D9CD3DB"/>
    <w:rsid w:val="4DA58D4B"/>
    <w:rsid w:val="4DAD5445"/>
    <w:rsid w:val="4DB4248C"/>
    <w:rsid w:val="4DB917FE"/>
    <w:rsid w:val="4DBC1BAD"/>
    <w:rsid w:val="4DBE2508"/>
    <w:rsid w:val="4DD1385B"/>
    <w:rsid w:val="4DD23CDD"/>
    <w:rsid w:val="4DD31D4C"/>
    <w:rsid w:val="4DDBEF73"/>
    <w:rsid w:val="4DDCA822"/>
    <w:rsid w:val="4DE18F39"/>
    <w:rsid w:val="4DE6579F"/>
    <w:rsid w:val="4DE8FA24"/>
    <w:rsid w:val="4DEEC5BA"/>
    <w:rsid w:val="4DEEDCF7"/>
    <w:rsid w:val="4DF1BFD9"/>
    <w:rsid w:val="4DF26F82"/>
    <w:rsid w:val="4E042ED8"/>
    <w:rsid w:val="4E1CAB57"/>
    <w:rsid w:val="4E1D8EFE"/>
    <w:rsid w:val="4E270183"/>
    <w:rsid w:val="4E295152"/>
    <w:rsid w:val="4E302E66"/>
    <w:rsid w:val="4E35CBF9"/>
    <w:rsid w:val="4E41827B"/>
    <w:rsid w:val="4E54F377"/>
    <w:rsid w:val="4E60D266"/>
    <w:rsid w:val="4E6DBEF5"/>
    <w:rsid w:val="4E6FD71C"/>
    <w:rsid w:val="4E73D3F4"/>
    <w:rsid w:val="4E7BCD7F"/>
    <w:rsid w:val="4E7F10C6"/>
    <w:rsid w:val="4E80D189"/>
    <w:rsid w:val="4E9E4A65"/>
    <w:rsid w:val="4EA1A83E"/>
    <w:rsid w:val="4EA2A715"/>
    <w:rsid w:val="4EAFB59D"/>
    <w:rsid w:val="4EB20F10"/>
    <w:rsid w:val="4EC08739"/>
    <w:rsid w:val="4EC0F941"/>
    <w:rsid w:val="4EC4458B"/>
    <w:rsid w:val="4EC518ED"/>
    <w:rsid w:val="4EC7315E"/>
    <w:rsid w:val="4EC742E1"/>
    <w:rsid w:val="4ED1ACA9"/>
    <w:rsid w:val="4ED96B56"/>
    <w:rsid w:val="4EF284C8"/>
    <w:rsid w:val="4F02FB58"/>
    <w:rsid w:val="4F055532"/>
    <w:rsid w:val="4F10DB16"/>
    <w:rsid w:val="4F111883"/>
    <w:rsid w:val="4F1F0EC7"/>
    <w:rsid w:val="4F2AE513"/>
    <w:rsid w:val="4F314B4E"/>
    <w:rsid w:val="4F47F638"/>
    <w:rsid w:val="4F51FCBC"/>
    <w:rsid w:val="4F58906F"/>
    <w:rsid w:val="4F72BE49"/>
    <w:rsid w:val="4F79981D"/>
    <w:rsid w:val="4F8513C1"/>
    <w:rsid w:val="4F85D111"/>
    <w:rsid w:val="4F8D0C92"/>
    <w:rsid w:val="4F8EE6FB"/>
    <w:rsid w:val="4FA541AB"/>
    <w:rsid w:val="4FABE801"/>
    <w:rsid w:val="4FB65AB1"/>
    <w:rsid w:val="4FB9FE36"/>
    <w:rsid w:val="4FC7C004"/>
    <w:rsid w:val="4FD1C51E"/>
    <w:rsid w:val="4FD8B72F"/>
    <w:rsid w:val="4FDFA092"/>
    <w:rsid w:val="4FEF22B7"/>
    <w:rsid w:val="4FF2ADC1"/>
    <w:rsid w:val="4FF3BAA7"/>
    <w:rsid w:val="5002651E"/>
    <w:rsid w:val="50046252"/>
    <w:rsid w:val="50091F1D"/>
    <w:rsid w:val="503EA855"/>
    <w:rsid w:val="504019CC"/>
    <w:rsid w:val="504826C0"/>
    <w:rsid w:val="505E68AE"/>
    <w:rsid w:val="5060FA3D"/>
    <w:rsid w:val="5072FA19"/>
    <w:rsid w:val="508B1CC8"/>
    <w:rsid w:val="50A3CB77"/>
    <w:rsid w:val="50A879E2"/>
    <w:rsid w:val="50C263F0"/>
    <w:rsid w:val="50C9F857"/>
    <w:rsid w:val="50D3968D"/>
    <w:rsid w:val="50E5CF76"/>
    <w:rsid w:val="50F679AB"/>
    <w:rsid w:val="50FA12C4"/>
    <w:rsid w:val="50FBA259"/>
    <w:rsid w:val="50FCD94F"/>
    <w:rsid w:val="5103B13A"/>
    <w:rsid w:val="5104348F"/>
    <w:rsid w:val="510A0BC6"/>
    <w:rsid w:val="510A3B70"/>
    <w:rsid w:val="510A7B88"/>
    <w:rsid w:val="51108FB0"/>
    <w:rsid w:val="511572B9"/>
    <w:rsid w:val="5117ECA5"/>
    <w:rsid w:val="511A8533"/>
    <w:rsid w:val="511DCE7C"/>
    <w:rsid w:val="511E7394"/>
    <w:rsid w:val="51222371"/>
    <w:rsid w:val="512376AB"/>
    <w:rsid w:val="51297C8D"/>
    <w:rsid w:val="512F96FF"/>
    <w:rsid w:val="51316527"/>
    <w:rsid w:val="51324D8A"/>
    <w:rsid w:val="51395800"/>
    <w:rsid w:val="51398A9B"/>
    <w:rsid w:val="51664A1E"/>
    <w:rsid w:val="51727DD1"/>
    <w:rsid w:val="517425B7"/>
    <w:rsid w:val="517FF815"/>
    <w:rsid w:val="5199115C"/>
    <w:rsid w:val="519ED00F"/>
    <w:rsid w:val="51AA33A1"/>
    <w:rsid w:val="51B0F2E2"/>
    <w:rsid w:val="51B3FBC4"/>
    <w:rsid w:val="51BEF1B0"/>
    <w:rsid w:val="51CAACC6"/>
    <w:rsid w:val="51CE7122"/>
    <w:rsid w:val="51E19B29"/>
    <w:rsid w:val="51E2B42A"/>
    <w:rsid w:val="51EAE11A"/>
    <w:rsid w:val="51F4E387"/>
    <w:rsid w:val="51F7B70E"/>
    <w:rsid w:val="51F8D2C1"/>
    <w:rsid w:val="51FAF8C7"/>
    <w:rsid w:val="51FCD9A0"/>
    <w:rsid w:val="520D10C9"/>
    <w:rsid w:val="521262F1"/>
    <w:rsid w:val="52177D02"/>
    <w:rsid w:val="5223FC0B"/>
    <w:rsid w:val="52251E09"/>
    <w:rsid w:val="5238DB6E"/>
    <w:rsid w:val="523AFB54"/>
    <w:rsid w:val="5240DA1B"/>
    <w:rsid w:val="524AD7EF"/>
    <w:rsid w:val="525F0670"/>
    <w:rsid w:val="52604AAB"/>
    <w:rsid w:val="52631F21"/>
    <w:rsid w:val="5265FD39"/>
    <w:rsid w:val="526889B3"/>
    <w:rsid w:val="527A979F"/>
    <w:rsid w:val="527BB963"/>
    <w:rsid w:val="5285D21B"/>
    <w:rsid w:val="52957B03"/>
    <w:rsid w:val="52963895"/>
    <w:rsid w:val="52983E7A"/>
    <w:rsid w:val="529D040C"/>
    <w:rsid w:val="52A4101A"/>
    <w:rsid w:val="52AD9566"/>
    <w:rsid w:val="52B93181"/>
    <w:rsid w:val="52C0CE4E"/>
    <w:rsid w:val="52C4D4E4"/>
    <w:rsid w:val="52C76197"/>
    <w:rsid w:val="52CC2125"/>
    <w:rsid w:val="52D2525C"/>
    <w:rsid w:val="52D2E2CD"/>
    <w:rsid w:val="52DDC6FA"/>
    <w:rsid w:val="52E46ACE"/>
    <w:rsid w:val="52ECFF6B"/>
    <w:rsid w:val="52F31F7D"/>
    <w:rsid w:val="52F8DE11"/>
    <w:rsid w:val="53001BB3"/>
    <w:rsid w:val="5304BDAB"/>
    <w:rsid w:val="53083FA8"/>
    <w:rsid w:val="530BCFA0"/>
    <w:rsid w:val="5310B5A6"/>
    <w:rsid w:val="53193E5A"/>
    <w:rsid w:val="5325C6D6"/>
    <w:rsid w:val="5329B399"/>
    <w:rsid w:val="532F99C9"/>
    <w:rsid w:val="533004E6"/>
    <w:rsid w:val="5331B5AD"/>
    <w:rsid w:val="533ADD7F"/>
    <w:rsid w:val="533FD1EF"/>
    <w:rsid w:val="53420CFC"/>
    <w:rsid w:val="5351BD26"/>
    <w:rsid w:val="535B7646"/>
    <w:rsid w:val="53645742"/>
    <w:rsid w:val="5365F50D"/>
    <w:rsid w:val="5369DEA0"/>
    <w:rsid w:val="53824FA5"/>
    <w:rsid w:val="538C9F9B"/>
    <w:rsid w:val="538D172F"/>
    <w:rsid w:val="538EF342"/>
    <w:rsid w:val="53990748"/>
    <w:rsid w:val="53A692FE"/>
    <w:rsid w:val="53B10673"/>
    <w:rsid w:val="53BD02F6"/>
    <w:rsid w:val="53BFB0BC"/>
    <w:rsid w:val="53C60166"/>
    <w:rsid w:val="53D14BFF"/>
    <w:rsid w:val="53D58548"/>
    <w:rsid w:val="53DEF1FF"/>
    <w:rsid w:val="53E532B8"/>
    <w:rsid w:val="53EAF0CB"/>
    <w:rsid w:val="53F22E35"/>
    <w:rsid w:val="54045058"/>
    <w:rsid w:val="540C7676"/>
    <w:rsid w:val="540F3002"/>
    <w:rsid w:val="54127191"/>
    <w:rsid w:val="54136E77"/>
    <w:rsid w:val="541FC628"/>
    <w:rsid w:val="5427A2D2"/>
    <w:rsid w:val="542C5BD2"/>
    <w:rsid w:val="542CEA95"/>
    <w:rsid w:val="5439C53E"/>
    <w:rsid w:val="543C1BFE"/>
    <w:rsid w:val="54518D3C"/>
    <w:rsid w:val="5463A70B"/>
    <w:rsid w:val="546AA878"/>
    <w:rsid w:val="54A14186"/>
    <w:rsid w:val="54B12CCA"/>
    <w:rsid w:val="5502609F"/>
    <w:rsid w:val="5516BD1B"/>
    <w:rsid w:val="55233934"/>
    <w:rsid w:val="5525A189"/>
    <w:rsid w:val="55286368"/>
    <w:rsid w:val="5529EB7D"/>
    <w:rsid w:val="552E32AB"/>
    <w:rsid w:val="55345E5A"/>
    <w:rsid w:val="5545E92C"/>
    <w:rsid w:val="556A958A"/>
    <w:rsid w:val="556E4179"/>
    <w:rsid w:val="558304C4"/>
    <w:rsid w:val="5583DADC"/>
    <w:rsid w:val="5589D22C"/>
    <w:rsid w:val="558B6C41"/>
    <w:rsid w:val="558C8856"/>
    <w:rsid w:val="559FE34B"/>
    <w:rsid w:val="55AA12C7"/>
    <w:rsid w:val="55BFA2E2"/>
    <w:rsid w:val="55C9644D"/>
    <w:rsid w:val="55D2FC78"/>
    <w:rsid w:val="55E26303"/>
    <w:rsid w:val="55EB0FF9"/>
    <w:rsid w:val="55ED5CF5"/>
    <w:rsid w:val="55F69886"/>
    <w:rsid w:val="55FB093A"/>
    <w:rsid w:val="55FB98C0"/>
    <w:rsid w:val="5601A688"/>
    <w:rsid w:val="56120834"/>
    <w:rsid w:val="56158E3B"/>
    <w:rsid w:val="561DF1A3"/>
    <w:rsid w:val="562F1EB5"/>
    <w:rsid w:val="563234E5"/>
    <w:rsid w:val="563E2F23"/>
    <w:rsid w:val="56413631"/>
    <w:rsid w:val="56523AD3"/>
    <w:rsid w:val="5658CE52"/>
    <w:rsid w:val="566144C7"/>
    <w:rsid w:val="56739C9E"/>
    <w:rsid w:val="5694C2B9"/>
    <w:rsid w:val="5699C0ED"/>
    <w:rsid w:val="56B2BA09"/>
    <w:rsid w:val="56B6579D"/>
    <w:rsid w:val="56B6EA9D"/>
    <w:rsid w:val="56BBABE5"/>
    <w:rsid w:val="56BD628B"/>
    <w:rsid w:val="56D2F290"/>
    <w:rsid w:val="56D3CE83"/>
    <w:rsid w:val="56D5FEFF"/>
    <w:rsid w:val="56EACA66"/>
    <w:rsid w:val="56F68351"/>
    <w:rsid w:val="57128AB5"/>
    <w:rsid w:val="571C972A"/>
    <w:rsid w:val="571DCA5E"/>
    <w:rsid w:val="57259B39"/>
    <w:rsid w:val="5739507B"/>
    <w:rsid w:val="573D2FDA"/>
    <w:rsid w:val="574BAA10"/>
    <w:rsid w:val="5756B437"/>
    <w:rsid w:val="575736AC"/>
    <w:rsid w:val="575ADEF0"/>
    <w:rsid w:val="575F2479"/>
    <w:rsid w:val="576240D1"/>
    <w:rsid w:val="5762B5EA"/>
    <w:rsid w:val="5766048F"/>
    <w:rsid w:val="57782257"/>
    <w:rsid w:val="57889C90"/>
    <w:rsid w:val="578F52BA"/>
    <w:rsid w:val="5790FD59"/>
    <w:rsid w:val="579721AE"/>
    <w:rsid w:val="579FB899"/>
    <w:rsid w:val="57A3B005"/>
    <w:rsid w:val="57A9431A"/>
    <w:rsid w:val="57B72214"/>
    <w:rsid w:val="57BE96CA"/>
    <w:rsid w:val="57C79750"/>
    <w:rsid w:val="57E5256D"/>
    <w:rsid w:val="57ED98F8"/>
    <w:rsid w:val="57EF3677"/>
    <w:rsid w:val="57F12EE6"/>
    <w:rsid w:val="57FF69BD"/>
    <w:rsid w:val="580426CD"/>
    <w:rsid w:val="58128DD3"/>
    <w:rsid w:val="58169D2E"/>
    <w:rsid w:val="58218849"/>
    <w:rsid w:val="58244C84"/>
    <w:rsid w:val="5828A760"/>
    <w:rsid w:val="582D59D8"/>
    <w:rsid w:val="583B4948"/>
    <w:rsid w:val="583C5CE3"/>
    <w:rsid w:val="584CB374"/>
    <w:rsid w:val="584F3D26"/>
    <w:rsid w:val="5852D419"/>
    <w:rsid w:val="585D7E14"/>
    <w:rsid w:val="585DAC63"/>
    <w:rsid w:val="5873A392"/>
    <w:rsid w:val="58741817"/>
    <w:rsid w:val="5878CE6F"/>
    <w:rsid w:val="58796BF0"/>
    <w:rsid w:val="587FD8B2"/>
    <w:rsid w:val="588A3390"/>
    <w:rsid w:val="58921D45"/>
    <w:rsid w:val="58A2B229"/>
    <w:rsid w:val="58B3107F"/>
    <w:rsid w:val="58BB52EF"/>
    <w:rsid w:val="58BDD362"/>
    <w:rsid w:val="58D0A409"/>
    <w:rsid w:val="58E4301A"/>
    <w:rsid w:val="58EB8D8C"/>
    <w:rsid w:val="58F2AFB0"/>
    <w:rsid w:val="58F5F2E1"/>
    <w:rsid w:val="58FF032C"/>
    <w:rsid w:val="590D4422"/>
    <w:rsid w:val="5924C2DD"/>
    <w:rsid w:val="5925842E"/>
    <w:rsid w:val="5929A1ED"/>
    <w:rsid w:val="592CAC88"/>
    <w:rsid w:val="592F3E8A"/>
    <w:rsid w:val="593FF152"/>
    <w:rsid w:val="59481D64"/>
    <w:rsid w:val="594A48E6"/>
    <w:rsid w:val="594D5761"/>
    <w:rsid w:val="595CABBC"/>
    <w:rsid w:val="596FD30C"/>
    <w:rsid w:val="597C132C"/>
    <w:rsid w:val="5980F795"/>
    <w:rsid w:val="598CBA20"/>
    <w:rsid w:val="599262B0"/>
    <w:rsid w:val="59996E50"/>
    <w:rsid w:val="599BDBBF"/>
    <w:rsid w:val="59A19C92"/>
    <w:rsid w:val="59AAD5E9"/>
    <w:rsid w:val="59BB080A"/>
    <w:rsid w:val="59C42069"/>
    <w:rsid w:val="59C4982C"/>
    <w:rsid w:val="59C91385"/>
    <w:rsid w:val="59D4E4CB"/>
    <w:rsid w:val="59DE8CB1"/>
    <w:rsid w:val="59DF082B"/>
    <w:rsid w:val="59F4C64B"/>
    <w:rsid w:val="59F8A462"/>
    <w:rsid w:val="59FDEBC7"/>
    <w:rsid w:val="5A05755D"/>
    <w:rsid w:val="5A176B96"/>
    <w:rsid w:val="5A192536"/>
    <w:rsid w:val="5A1E0C27"/>
    <w:rsid w:val="5A204103"/>
    <w:rsid w:val="5A21E42C"/>
    <w:rsid w:val="5A26B85E"/>
    <w:rsid w:val="5A2986DD"/>
    <w:rsid w:val="5A2F9AFA"/>
    <w:rsid w:val="5A34AD95"/>
    <w:rsid w:val="5A5A5E51"/>
    <w:rsid w:val="5A5B3F9C"/>
    <w:rsid w:val="5A616226"/>
    <w:rsid w:val="5A6B8627"/>
    <w:rsid w:val="5A6F66D5"/>
    <w:rsid w:val="5A73DD71"/>
    <w:rsid w:val="5A7518E6"/>
    <w:rsid w:val="5A75DEAF"/>
    <w:rsid w:val="5A87D1DF"/>
    <w:rsid w:val="5AAB33EA"/>
    <w:rsid w:val="5AB79FB4"/>
    <w:rsid w:val="5ABA8436"/>
    <w:rsid w:val="5ABE215B"/>
    <w:rsid w:val="5ACB9C3F"/>
    <w:rsid w:val="5ACC449F"/>
    <w:rsid w:val="5AD389C1"/>
    <w:rsid w:val="5ADDEB7B"/>
    <w:rsid w:val="5AE0C23C"/>
    <w:rsid w:val="5AE28CF3"/>
    <w:rsid w:val="5AF0718F"/>
    <w:rsid w:val="5AF40F39"/>
    <w:rsid w:val="5AFCCE36"/>
    <w:rsid w:val="5AFE441A"/>
    <w:rsid w:val="5AFFAB1C"/>
    <w:rsid w:val="5B018022"/>
    <w:rsid w:val="5B1B4541"/>
    <w:rsid w:val="5B1B6AAB"/>
    <w:rsid w:val="5B1CB515"/>
    <w:rsid w:val="5B207577"/>
    <w:rsid w:val="5B3B8FDF"/>
    <w:rsid w:val="5B3E6E2C"/>
    <w:rsid w:val="5B3F1BD2"/>
    <w:rsid w:val="5B47635A"/>
    <w:rsid w:val="5B50A335"/>
    <w:rsid w:val="5B53AF81"/>
    <w:rsid w:val="5B5A386E"/>
    <w:rsid w:val="5B5E9E2F"/>
    <w:rsid w:val="5B6FF04F"/>
    <w:rsid w:val="5B735BCF"/>
    <w:rsid w:val="5B76418C"/>
    <w:rsid w:val="5B813AD9"/>
    <w:rsid w:val="5B8BAE3E"/>
    <w:rsid w:val="5B9918AE"/>
    <w:rsid w:val="5B99BC70"/>
    <w:rsid w:val="5BA2E7EC"/>
    <w:rsid w:val="5BA644B1"/>
    <w:rsid w:val="5BB229CD"/>
    <w:rsid w:val="5BBA5B84"/>
    <w:rsid w:val="5BBDEAFD"/>
    <w:rsid w:val="5BC45F8B"/>
    <w:rsid w:val="5BD64FDA"/>
    <w:rsid w:val="5BD972DC"/>
    <w:rsid w:val="5BDF86E6"/>
    <w:rsid w:val="5BE4823F"/>
    <w:rsid w:val="5BEE6725"/>
    <w:rsid w:val="5C0227A4"/>
    <w:rsid w:val="5C06A6B7"/>
    <w:rsid w:val="5C11398C"/>
    <w:rsid w:val="5C129341"/>
    <w:rsid w:val="5C14CCAA"/>
    <w:rsid w:val="5C1EE718"/>
    <w:rsid w:val="5C26BC5B"/>
    <w:rsid w:val="5C28B0EC"/>
    <w:rsid w:val="5C2F2758"/>
    <w:rsid w:val="5C3005C8"/>
    <w:rsid w:val="5C53A7E3"/>
    <w:rsid w:val="5C5BE144"/>
    <w:rsid w:val="5C5D4EBF"/>
    <w:rsid w:val="5C5F866C"/>
    <w:rsid w:val="5C642693"/>
    <w:rsid w:val="5C671E76"/>
    <w:rsid w:val="5C68429D"/>
    <w:rsid w:val="5C794FBD"/>
    <w:rsid w:val="5C850336"/>
    <w:rsid w:val="5CA284AC"/>
    <w:rsid w:val="5CA28E65"/>
    <w:rsid w:val="5CA53993"/>
    <w:rsid w:val="5CA78479"/>
    <w:rsid w:val="5CB13544"/>
    <w:rsid w:val="5CBFCC70"/>
    <w:rsid w:val="5CC05C92"/>
    <w:rsid w:val="5CC598B4"/>
    <w:rsid w:val="5CCA6D5A"/>
    <w:rsid w:val="5CD05C48"/>
    <w:rsid w:val="5CD0F7B2"/>
    <w:rsid w:val="5CD51D87"/>
    <w:rsid w:val="5CD81053"/>
    <w:rsid w:val="5CD8ABEB"/>
    <w:rsid w:val="5CF32C51"/>
    <w:rsid w:val="5CF3783C"/>
    <w:rsid w:val="5CF6A657"/>
    <w:rsid w:val="5D0C24F9"/>
    <w:rsid w:val="5D256D97"/>
    <w:rsid w:val="5D25FB7D"/>
    <w:rsid w:val="5D27181D"/>
    <w:rsid w:val="5D2C544B"/>
    <w:rsid w:val="5D356A09"/>
    <w:rsid w:val="5D3AD03B"/>
    <w:rsid w:val="5D41E10B"/>
    <w:rsid w:val="5D4500E8"/>
    <w:rsid w:val="5D565459"/>
    <w:rsid w:val="5D60CF61"/>
    <w:rsid w:val="5D745321"/>
    <w:rsid w:val="5D78A1A6"/>
    <w:rsid w:val="5D7D0EEE"/>
    <w:rsid w:val="5D8133A9"/>
    <w:rsid w:val="5D97C1D8"/>
    <w:rsid w:val="5D9A6FFD"/>
    <w:rsid w:val="5D9ABB3E"/>
    <w:rsid w:val="5D9C57AA"/>
    <w:rsid w:val="5DA42CF6"/>
    <w:rsid w:val="5DA76AA7"/>
    <w:rsid w:val="5DB06B7D"/>
    <w:rsid w:val="5DBC4075"/>
    <w:rsid w:val="5DCB8F3A"/>
    <w:rsid w:val="5DCD1B00"/>
    <w:rsid w:val="5DDAB08E"/>
    <w:rsid w:val="5DDADC23"/>
    <w:rsid w:val="5DE5E00F"/>
    <w:rsid w:val="5DEAE7D0"/>
    <w:rsid w:val="5DF5406B"/>
    <w:rsid w:val="5E0D4647"/>
    <w:rsid w:val="5E47F597"/>
    <w:rsid w:val="5E543FF1"/>
    <w:rsid w:val="5E625450"/>
    <w:rsid w:val="5E703BD1"/>
    <w:rsid w:val="5E719FB0"/>
    <w:rsid w:val="5E799F6C"/>
    <w:rsid w:val="5E7DAE36"/>
    <w:rsid w:val="5E832001"/>
    <w:rsid w:val="5E980D96"/>
    <w:rsid w:val="5EA097BD"/>
    <w:rsid w:val="5EB29CB9"/>
    <w:rsid w:val="5EBDDE8B"/>
    <w:rsid w:val="5EC58119"/>
    <w:rsid w:val="5EE30673"/>
    <w:rsid w:val="5EE50419"/>
    <w:rsid w:val="5F131BB1"/>
    <w:rsid w:val="5F156083"/>
    <w:rsid w:val="5F1B6013"/>
    <w:rsid w:val="5F1C7973"/>
    <w:rsid w:val="5F261A36"/>
    <w:rsid w:val="5F26744A"/>
    <w:rsid w:val="5F2AF614"/>
    <w:rsid w:val="5F3B5612"/>
    <w:rsid w:val="5F409043"/>
    <w:rsid w:val="5F70B0FE"/>
    <w:rsid w:val="5F75E8CC"/>
    <w:rsid w:val="5F7702EF"/>
    <w:rsid w:val="5F7B3A02"/>
    <w:rsid w:val="5F9DC385"/>
    <w:rsid w:val="5F9F28C5"/>
    <w:rsid w:val="5FA72A2B"/>
    <w:rsid w:val="5FAC737C"/>
    <w:rsid w:val="5FB18D32"/>
    <w:rsid w:val="5FB79882"/>
    <w:rsid w:val="5FD91A0C"/>
    <w:rsid w:val="5FD9A9A3"/>
    <w:rsid w:val="5FDD0F83"/>
    <w:rsid w:val="5FEE51D3"/>
    <w:rsid w:val="5FF3FD65"/>
    <w:rsid w:val="5FF8E778"/>
    <w:rsid w:val="5FFFD6D7"/>
    <w:rsid w:val="601054A6"/>
    <w:rsid w:val="60142207"/>
    <w:rsid w:val="601586E7"/>
    <w:rsid w:val="60360E42"/>
    <w:rsid w:val="6054BCD6"/>
    <w:rsid w:val="605F0266"/>
    <w:rsid w:val="606698D5"/>
    <w:rsid w:val="60710D41"/>
    <w:rsid w:val="6074AC99"/>
    <w:rsid w:val="607CF1CF"/>
    <w:rsid w:val="6080F7CF"/>
    <w:rsid w:val="608737E3"/>
    <w:rsid w:val="608DD23E"/>
    <w:rsid w:val="60A517E9"/>
    <w:rsid w:val="60A759B9"/>
    <w:rsid w:val="60B09EDC"/>
    <w:rsid w:val="60B64DB9"/>
    <w:rsid w:val="60BCDADC"/>
    <w:rsid w:val="60BE2EC9"/>
    <w:rsid w:val="60BFDE46"/>
    <w:rsid w:val="60C0B111"/>
    <w:rsid w:val="60C450EB"/>
    <w:rsid w:val="60CD7F56"/>
    <w:rsid w:val="60D5B143"/>
    <w:rsid w:val="60D5C997"/>
    <w:rsid w:val="60F442C4"/>
    <w:rsid w:val="60FD46CD"/>
    <w:rsid w:val="6106D9C4"/>
    <w:rsid w:val="610DCD1A"/>
    <w:rsid w:val="61100BCF"/>
    <w:rsid w:val="611624EE"/>
    <w:rsid w:val="6143391C"/>
    <w:rsid w:val="61466938"/>
    <w:rsid w:val="61479D17"/>
    <w:rsid w:val="6153273A"/>
    <w:rsid w:val="615C0FCD"/>
    <w:rsid w:val="615F021E"/>
    <w:rsid w:val="615F570F"/>
    <w:rsid w:val="61624F85"/>
    <w:rsid w:val="61689205"/>
    <w:rsid w:val="616C050C"/>
    <w:rsid w:val="616C3808"/>
    <w:rsid w:val="617B8CD2"/>
    <w:rsid w:val="6181BBF1"/>
    <w:rsid w:val="61823DD9"/>
    <w:rsid w:val="6196FF07"/>
    <w:rsid w:val="61AF1E28"/>
    <w:rsid w:val="61CCEA94"/>
    <w:rsid w:val="61CE7538"/>
    <w:rsid w:val="61D8F70A"/>
    <w:rsid w:val="61E10C71"/>
    <w:rsid w:val="61E63994"/>
    <w:rsid w:val="62039315"/>
    <w:rsid w:val="6220E877"/>
    <w:rsid w:val="62277F01"/>
    <w:rsid w:val="622B617F"/>
    <w:rsid w:val="62302142"/>
    <w:rsid w:val="623A3BF0"/>
    <w:rsid w:val="6253D907"/>
    <w:rsid w:val="625D608A"/>
    <w:rsid w:val="625E48C2"/>
    <w:rsid w:val="626286AE"/>
    <w:rsid w:val="62649D8E"/>
    <w:rsid w:val="6268C808"/>
    <w:rsid w:val="6276A854"/>
    <w:rsid w:val="6281AC88"/>
    <w:rsid w:val="629EF5CE"/>
    <w:rsid w:val="62BAA58C"/>
    <w:rsid w:val="62BBCCDC"/>
    <w:rsid w:val="62C8374E"/>
    <w:rsid w:val="62DA142F"/>
    <w:rsid w:val="62ED3E62"/>
    <w:rsid w:val="62EEB621"/>
    <w:rsid w:val="62F90B5B"/>
    <w:rsid w:val="62FF9CCC"/>
    <w:rsid w:val="630F4F11"/>
    <w:rsid w:val="63112FF7"/>
    <w:rsid w:val="63168793"/>
    <w:rsid w:val="63416296"/>
    <w:rsid w:val="6348E4A6"/>
    <w:rsid w:val="634A1F06"/>
    <w:rsid w:val="634DC342"/>
    <w:rsid w:val="635C42B6"/>
    <w:rsid w:val="6361252A"/>
    <w:rsid w:val="63624B97"/>
    <w:rsid w:val="63632CA4"/>
    <w:rsid w:val="636618AA"/>
    <w:rsid w:val="63666261"/>
    <w:rsid w:val="636DA368"/>
    <w:rsid w:val="637A14FE"/>
    <w:rsid w:val="637C80EF"/>
    <w:rsid w:val="6396A5AD"/>
    <w:rsid w:val="63BBDB65"/>
    <w:rsid w:val="63C0666C"/>
    <w:rsid w:val="63C30E1A"/>
    <w:rsid w:val="63C9C369"/>
    <w:rsid w:val="63CEB45C"/>
    <w:rsid w:val="63D2881F"/>
    <w:rsid w:val="64000391"/>
    <w:rsid w:val="640DA52B"/>
    <w:rsid w:val="640F2263"/>
    <w:rsid w:val="641236FF"/>
    <w:rsid w:val="641269B0"/>
    <w:rsid w:val="64156E4E"/>
    <w:rsid w:val="64224F89"/>
    <w:rsid w:val="6433FBCE"/>
    <w:rsid w:val="6445665B"/>
    <w:rsid w:val="6446914E"/>
    <w:rsid w:val="644A4233"/>
    <w:rsid w:val="64583203"/>
    <w:rsid w:val="646ADFFF"/>
    <w:rsid w:val="64703C54"/>
    <w:rsid w:val="64723AB1"/>
    <w:rsid w:val="647D3A04"/>
    <w:rsid w:val="6480F906"/>
    <w:rsid w:val="64820076"/>
    <w:rsid w:val="6482F123"/>
    <w:rsid w:val="64847663"/>
    <w:rsid w:val="6486E72D"/>
    <w:rsid w:val="648F0B96"/>
    <w:rsid w:val="6492E73F"/>
    <w:rsid w:val="6492F4B3"/>
    <w:rsid w:val="6494133B"/>
    <w:rsid w:val="649C9BA9"/>
    <w:rsid w:val="64A5FD0E"/>
    <w:rsid w:val="64B20C26"/>
    <w:rsid w:val="64B5B452"/>
    <w:rsid w:val="64BBA0EA"/>
    <w:rsid w:val="64C006D9"/>
    <w:rsid w:val="64D186CD"/>
    <w:rsid w:val="64E19811"/>
    <w:rsid w:val="64E2E9CB"/>
    <w:rsid w:val="64E3354A"/>
    <w:rsid w:val="64E3C28F"/>
    <w:rsid w:val="64F1E532"/>
    <w:rsid w:val="64F3B74E"/>
    <w:rsid w:val="64F930BD"/>
    <w:rsid w:val="64FAC323"/>
    <w:rsid w:val="64FC4900"/>
    <w:rsid w:val="64FF1918"/>
    <w:rsid w:val="651290BC"/>
    <w:rsid w:val="65145297"/>
    <w:rsid w:val="6515C23F"/>
    <w:rsid w:val="65213193"/>
    <w:rsid w:val="6534F09C"/>
    <w:rsid w:val="65360B99"/>
    <w:rsid w:val="653BE6C6"/>
    <w:rsid w:val="6543FF55"/>
    <w:rsid w:val="654A6CF9"/>
    <w:rsid w:val="654F9D12"/>
    <w:rsid w:val="6560F581"/>
    <w:rsid w:val="6560FF9B"/>
    <w:rsid w:val="656418F9"/>
    <w:rsid w:val="65664497"/>
    <w:rsid w:val="656706A3"/>
    <w:rsid w:val="6575B12D"/>
    <w:rsid w:val="6580DAFE"/>
    <w:rsid w:val="65857A0B"/>
    <w:rsid w:val="658C5DBB"/>
    <w:rsid w:val="6591B505"/>
    <w:rsid w:val="65A21A93"/>
    <w:rsid w:val="65A617DB"/>
    <w:rsid w:val="65AEAB61"/>
    <w:rsid w:val="65BC25F6"/>
    <w:rsid w:val="65C1B205"/>
    <w:rsid w:val="65C3B953"/>
    <w:rsid w:val="65C41634"/>
    <w:rsid w:val="65C705C3"/>
    <w:rsid w:val="65CBE13D"/>
    <w:rsid w:val="65CD6080"/>
    <w:rsid w:val="65D8B630"/>
    <w:rsid w:val="65E0DE99"/>
    <w:rsid w:val="65E34EF5"/>
    <w:rsid w:val="65EE6857"/>
    <w:rsid w:val="65F2FB9D"/>
    <w:rsid w:val="65F9AEC4"/>
    <w:rsid w:val="6612154D"/>
    <w:rsid w:val="6612DA6B"/>
    <w:rsid w:val="661A2D76"/>
    <w:rsid w:val="6621ADEE"/>
    <w:rsid w:val="66224831"/>
    <w:rsid w:val="66363B44"/>
    <w:rsid w:val="66405F33"/>
    <w:rsid w:val="66493207"/>
    <w:rsid w:val="664BB47A"/>
    <w:rsid w:val="6655B8A0"/>
    <w:rsid w:val="666474BD"/>
    <w:rsid w:val="666E2348"/>
    <w:rsid w:val="667E1F17"/>
    <w:rsid w:val="667F22E4"/>
    <w:rsid w:val="667FCDA2"/>
    <w:rsid w:val="667FD46E"/>
    <w:rsid w:val="66905729"/>
    <w:rsid w:val="6692B8DE"/>
    <w:rsid w:val="6694DF47"/>
    <w:rsid w:val="66A1848D"/>
    <w:rsid w:val="66A3F667"/>
    <w:rsid w:val="66B3E2CC"/>
    <w:rsid w:val="66B4D90B"/>
    <w:rsid w:val="66B9BD5E"/>
    <w:rsid w:val="66C04340"/>
    <w:rsid w:val="66D73046"/>
    <w:rsid w:val="66EA798F"/>
    <w:rsid w:val="66FC4797"/>
    <w:rsid w:val="671DEB0B"/>
    <w:rsid w:val="67213C6C"/>
    <w:rsid w:val="672248D3"/>
    <w:rsid w:val="6726E94B"/>
    <w:rsid w:val="6737DD5F"/>
    <w:rsid w:val="6739D0B7"/>
    <w:rsid w:val="6757B042"/>
    <w:rsid w:val="675ACDDC"/>
    <w:rsid w:val="675D53D4"/>
    <w:rsid w:val="67605CE9"/>
    <w:rsid w:val="67719FD6"/>
    <w:rsid w:val="677F50F4"/>
    <w:rsid w:val="67847903"/>
    <w:rsid w:val="6788250B"/>
    <w:rsid w:val="678AD0B7"/>
    <w:rsid w:val="678C1746"/>
    <w:rsid w:val="67994C1E"/>
    <w:rsid w:val="67A774F0"/>
    <w:rsid w:val="67AFB7D8"/>
    <w:rsid w:val="67C4D719"/>
    <w:rsid w:val="67C6B900"/>
    <w:rsid w:val="67CCFBC7"/>
    <w:rsid w:val="67CE60A2"/>
    <w:rsid w:val="67E04EA3"/>
    <w:rsid w:val="67E0AD6C"/>
    <w:rsid w:val="67E3B22B"/>
    <w:rsid w:val="67EB4765"/>
    <w:rsid w:val="67EC75BC"/>
    <w:rsid w:val="67F177D9"/>
    <w:rsid w:val="67F2BC0A"/>
    <w:rsid w:val="67F9EE3A"/>
    <w:rsid w:val="67FF6766"/>
    <w:rsid w:val="6811639B"/>
    <w:rsid w:val="681C7B2D"/>
    <w:rsid w:val="682DF5A1"/>
    <w:rsid w:val="683B5D33"/>
    <w:rsid w:val="68421C0B"/>
    <w:rsid w:val="6842BE9B"/>
    <w:rsid w:val="68477AE6"/>
    <w:rsid w:val="6849342C"/>
    <w:rsid w:val="68503099"/>
    <w:rsid w:val="685CB89E"/>
    <w:rsid w:val="686F4C92"/>
    <w:rsid w:val="687440B3"/>
    <w:rsid w:val="687AAAB8"/>
    <w:rsid w:val="6884EA07"/>
    <w:rsid w:val="689907F0"/>
    <w:rsid w:val="689BD04D"/>
    <w:rsid w:val="689ECA65"/>
    <w:rsid w:val="689F396A"/>
    <w:rsid w:val="68A33ADC"/>
    <w:rsid w:val="68A748C9"/>
    <w:rsid w:val="68A861DA"/>
    <w:rsid w:val="68A9AC24"/>
    <w:rsid w:val="68B87B94"/>
    <w:rsid w:val="68C15754"/>
    <w:rsid w:val="68C2A77E"/>
    <w:rsid w:val="68C43755"/>
    <w:rsid w:val="68C68E10"/>
    <w:rsid w:val="68D849F3"/>
    <w:rsid w:val="68D904A7"/>
    <w:rsid w:val="68E976BE"/>
    <w:rsid w:val="69097090"/>
    <w:rsid w:val="69132F12"/>
    <w:rsid w:val="692F257D"/>
    <w:rsid w:val="6944CFC7"/>
    <w:rsid w:val="69479776"/>
    <w:rsid w:val="69515D49"/>
    <w:rsid w:val="69562AF9"/>
    <w:rsid w:val="695E8A15"/>
    <w:rsid w:val="695FA056"/>
    <w:rsid w:val="698096FC"/>
    <w:rsid w:val="698456A5"/>
    <w:rsid w:val="698A4EEB"/>
    <w:rsid w:val="6993D710"/>
    <w:rsid w:val="699993FB"/>
    <w:rsid w:val="69A12D57"/>
    <w:rsid w:val="69B256B5"/>
    <w:rsid w:val="69B8D0D1"/>
    <w:rsid w:val="69C0E609"/>
    <w:rsid w:val="69C32540"/>
    <w:rsid w:val="69C9EA47"/>
    <w:rsid w:val="69D7D23E"/>
    <w:rsid w:val="69DFCD1E"/>
    <w:rsid w:val="69EB561E"/>
    <w:rsid w:val="6A01AB88"/>
    <w:rsid w:val="6A09BCA1"/>
    <w:rsid w:val="6A0C9F1E"/>
    <w:rsid w:val="6A1A3632"/>
    <w:rsid w:val="6A318506"/>
    <w:rsid w:val="6A31BA18"/>
    <w:rsid w:val="6A35DE1E"/>
    <w:rsid w:val="6A505F91"/>
    <w:rsid w:val="6A75D572"/>
    <w:rsid w:val="6A76593B"/>
    <w:rsid w:val="6A7732DD"/>
    <w:rsid w:val="6A8509CC"/>
    <w:rsid w:val="6A8B3611"/>
    <w:rsid w:val="6A91A887"/>
    <w:rsid w:val="6AA00B34"/>
    <w:rsid w:val="6AA4F8DB"/>
    <w:rsid w:val="6AA9C95D"/>
    <w:rsid w:val="6AB009F5"/>
    <w:rsid w:val="6AB5CD12"/>
    <w:rsid w:val="6AC3B1EB"/>
    <w:rsid w:val="6AD57D2B"/>
    <w:rsid w:val="6ADBF8F9"/>
    <w:rsid w:val="6ADDCB7C"/>
    <w:rsid w:val="6AE5AC3A"/>
    <w:rsid w:val="6AF04F49"/>
    <w:rsid w:val="6AF324CA"/>
    <w:rsid w:val="6B13BA28"/>
    <w:rsid w:val="6B1B5211"/>
    <w:rsid w:val="6B1E067A"/>
    <w:rsid w:val="6B24FCBC"/>
    <w:rsid w:val="6B39BF1A"/>
    <w:rsid w:val="6B5967BA"/>
    <w:rsid w:val="6B6033E2"/>
    <w:rsid w:val="6B644133"/>
    <w:rsid w:val="6B66E73E"/>
    <w:rsid w:val="6B67FE47"/>
    <w:rsid w:val="6B72F24E"/>
    <w:rsid w:val="6B756A85"/>
    <w:rsid w:val="6B8BA946"/>
    <w:rsid w:val="6B92DA4E"/>
    <w:rsid w:val="6BA10194"/>
    <w:rsid w:val="6BA4F4ED"/>
    <w:rsid w:val="6BAFEC5A"/>
    <w:rsid w:val="6BC0EC4C"/>
    <w:rsid w:val="6BC8717C"/>
    <w:rsid w:val="6BC893A4"/>
    <w:rsid w:val="6BCEFE02"/>
    <w:rsid w:val="6BD5BBAE"/>
    <w:rsid w:val="6BEEA7E4"/>
    <w:rsid w:val="6C06B562"/>
    <w:rsid w:val="6C11AE31"/>
    <w:rsid w:val="6C1793A8"/>
    <w:rsid w:val="6C1D8DC5"/>
    <w:rsid w:val="6C1F7606"/>
    <w:rsid w:val="6C2AFCA4"/>
    <w:rsid w:val="6C309386"/>
    <w:rsid w:val="6C30E5E9"/>
    <w:rsid w:val="6C3182B6"/>
    <w:rsid w:val="6C39C724"/>
    <w:rsid w:val="6C3A206B"/>
    <w:rsid w:val="6C4774DE"/>
    <w:rsid w:val="6C54DFBF"/>
    <w:rsid w:val="6C5A2688"/>
    <w:rsid w:val="6C6BCC6E"/>
    <w:rsid w:val="6C791EA0"/>
    <w:rsid w:val="6C870228"/>
    <w:rsid w:val="6C8875EB"/>
    <w:rsid w:val="6C89E357"/>
    <w:rsid w:val="6C8D5255"/>
    <w:rsid w:val="6CAB4D05"/>
    <w:rsid w:val="6CADBE05"/>
    <w:rsid w:val="6CC796D8"/>
    <w:rsid w:val="6CCCB422"/>
    <w:rsid w:val="6CD1BAED"/>
    <w:rsid w:val="6CDECA3B"/>
    <w:rsid w:val="6CE49495"/>
    <w:rsid w:val="6CE98859"/>
    <w:rsid w:val="6CEA9011"/>
    <w:rsid w:val="6CFC1E2E"/>
    <w:rsid w:val="6D2B56AE"/>
    <w:rsid w:val="6D30955E"/>
    <w:rsid w:val="6D30BDD5"/>
    <w:rsid w:val="6D30C14B"/>
    <w:rsid w:val="6D318501"/>
    <w:rsid w:val="6D3DA113"/>
    <w:rsid w:val="6D401C6F"/>
    <w:rsid w:val="6D40C70C"/>
    <w:rsid w:val="6D43327D"/>
    <w:rsid w:val="6D5B7C82"/>
    <w:rsid w:val="6D630B38"/>
    <w:rsid w:val="6D6D6673"/>
    <w:rsid w:val="6D7B45A6"/>
    <w:rsid w:val="6D92C14B"/>
    <w:rsid w:val="6D9EF297"/>
    <w:rsid w:val="6DB21FE2"/>
    <w:rsid w:val="6DB71CDC"/>
    <w:rsid w:val="6DB82179"/>
    <w:rsid w:val="6DBB359F"/>
    <w:rsid w:val="6DC0D75B"/>
    <w:rsid w:val="6DD475F6"/>
    <w:rsid w:val="6DDBCC0B"/>
    <w:rsid w:val="6DDCC688"/>
    <w:rsid w:val="6DDE0A15"/>
    <w:rsid w:val="6DE36CE0"/>
    <w:rsid w:val="6DE84780"/>
    <w:rsid w:val="6DEF894F"/>
    <w:rsid w:val="6DF64E47"/>
    <w:rsid w:val="6DF74DCA"/>
    <w:rsid w:val="6DF9E9D9"/>
    <w:rsid w:val="6DFC9FE4"/>
    <w:rsid w:val="6DFFCBA5"/>
    <w:rsid w:val="6E13C5BC"/>
    <w:rsid w:val="6E1A1855"/>
    <w:rsid w:val="6E23C983"/>
    <w:rsid w:val="6E30030E"/>
    <w:rsid w:val="6E350541"/>
    <w:rsid w:val="6E3787FF"/>
    <w:rsid w:val="6E4266E4"/>
    <w:rsid w:val="6E432E17"/>
    <w:rsid w:val="6E45837D"/>
    <w:rsid w:val="6E47D7C1"/>
    <w:rsid w:val="6E587A09"/>
    <w:rsid w:val="6E58C8C9"/>
    <w:rsid w:val="6E601783"/>
    <w:rsid w:val="6E8CD9C6"/>
    <w:rsid w:val="6E8F1090"/>
    <w:rsid w:val="6E950547"/>
    <w:rsid w:val="6E9635FC"/>
    <w:rsid w:val="6E97AB65"/>
    <w:rsid w:val="6EA42F5B"/>
    <w:rsid w:val="6EB035AE"/>
    <w:rsid w:val="6EC9A9F4"/>
    <w:rsid w:val="6ECF4C41"/>
    <w:rsid w:val="6ED098AC"/>
    <w:rsid w:val="6ED5A822"/>
    <w:rsid w:val="6EEA1606"/>
    <w:rsid w:val="6EEF56B6"/>
    <w:rsid w:val="6EF0EDEB"/>
    <w:rsid w:val="6EF1A467"/>
    <w:rsid w:val="6EF24CEC"/>
    <w:rsid w:val="6EF848BC"/>
    <w:rsid w:val="6F020342"/>
    <w:rsid w:val="6F031BD9"/>
    <w:rsid w:val="6F0E6152"/>
    <w:rsid w:val="6F1E69CE"/>
    <w:rsid w:val="6F205CAC"/>
    <w:rsid w:val="6F220B1A"/>
    <w:rsid w:val="6F2B3632"/>
    <w:rsid w:val="6F32AD04"/>
    <w:rsid w:val="6F3F3149"/>
    <w:rsid w:val="6F42BDF0"/>
    <w:rsid w:val="6F48767E"/>
    <w:rsid w:val="6F696CC9"/>
    <w:rsid w:val="6F6EC6C7"/>
    <w:rsid w:val="6F713FB9"/>
    <w:rsid w:val="6F7B4B7A"/>
    <w:rsid w:val="6F7E1CA2"/>
    <w:rsid w:val="6F8CFAD6"/>
    <w:rsid w:val="6F8DEF50"/>
    <w:rsid w:val="6FA0921D"/>
    <w:rsid w:val="6FA1C45D"/>
    <w:rsid w:val="6FA22FE0"/>
    <w:rsid w:val="6FA6140F"/>
    <w:rsid w:val="6FAA9667"/>
    <w:rsid w:val="6FB0722A"/>
    <w:rsid w:val="6FB1FFE2"/>
    <w:rsid w:val="6FB25C26"/>
    <w:rsid w:val="6FC1C69F"/>
    <w:rsid w:val="6FC4B77E"/>
    <w:rsid w:val="6FC5191A"/>
    <w:rsid w:val="6FC764D7"/>
    <w:rsid w:val="6FC8C820"/>
    <w:rsid w:val="6FC95621"/>
    <w:rsid w:val="6FD7D864"/>
    <w:rsid w:val="6FDF625F"/>
    <w:rsid w:val="6FE3CE2B"/>
    <w:rsid w:val="6FEEDD3E"/>
    <w:rsid w:val="6FF27CCC"/>
    <w:rsid w:val="6FF77BF7"/>
    <w:rsid w:val="6FFD1510"/>
    <w:rsid w:val="7007EFBD"/>
    <w:rsid w:val="70189F2F"/>
    <w:rsid w:val="7023777B"/>
    <w:rsid w:val="702A4DB1"/>
    <w:rsid w:val="702ABA58"/>
    <w:rsid w:val="702BF59A"/>
    <w:rsid w:val="702CC21C"/>
    <w:rsid w:val="70330123"/>
    <w:rsid w:val="70354FDE"/>
    <w:rsid w:val="70499EC9"/>
    <w:rsid w:val="706759DE"/>
    <w:rsid w:val="70696784"/>
    <w:rsid w:val="706CD325"/>
    <w:rsid w:val="707E3C3F"/>
    <w:rsid w:val="708EB8F8"/>
    <w:rsid w:val="7090609E"/>
    <w:rsid w:val="709A0470"/>
    <w:rsid w:val="70BD8DE3"/>
    <w:rsid w:val="70CC89D9"/>
    <w:rsid w:val="70DE19A6"/>
    <w:rsid w:val="70FC849B"/>
    <w:rsid w:val="70FF83DA"/>
    <w:rsid w:val="710A3B9B"/>
    <w:rsid w:val="711FFCD4"/>
    <w:rsid w:val="7131AE45"/>
    <w:rsid w:val="713210CC"/>
    <w:rsid w:val="71351EE4"/>
    <w:rsid w:val="7137A983"/>
    <w:rsid w:val="714557D8"/>
    <w:rsid w:val="715499F4"/>
    <w:rsid w:val="7156FDED"/>
    <w:rsid w:val="715FF35D"/>
    <w:rsid w:val="7165FC87"/>
    <w:rsid w:val="71693FB9"/>
    <w:rsid w:val="71776CAA"/>
    <w:rsid w:val="717EF8D3"/>
    <w:rsid w:val="717F7F07"/>
    <w:rsid w:val="71810188"/>
    <w:rsid w:val="7188B624"/>
    <w:rsid w:val="71943D9E"/>
    <w:rsid w:val="7196714C"/>
    <w:rsid w:val="71A8DAA5"/>
    <w:rsid w:val="71AC3EBC"/>
    <w:rsid w:val="71BB4026"/>
    <w:rsid w:val="71C9934C"/>
    <w:rsid w:val="71CD6D64"/>
    <w:rsid w:val="71CF6A37"/>
    <w:rsid w:val="71DC4D2E"/>
    <w:rsid w:val="71E28920"/>
    <w:rsid w:val="71F2769C"/>
    <w:rsid w:val="7204B4D9"/>
    <w:rsid w:val="720707CB"/>
    <w:rsid w:val="720793EA"/>
    <w:rsid w:val="7222046D"/>
    <w:rsid w:val="722F1E76"/>
    <w:rsid w:val="7231E642"/>
    <w:rsid w:val="72399EB6"/>
    <w:rsid w:val="723BBDF6"/>
    <w:rsid w:val="723D574D"/>
    <w:rsid w:val="723E0EFF"/>
    <w:rsid w:val="723F7454"/>
    <w:rsid w:val="72434004"/>
    <w:rsid w:val="7249A62A"/>
    <w:rsid w:val="724E0A9A"/>
    <w:rsid w:val="72583D53"/>
    <w:rsid w:val="725FD9DB"/>
    <w:rsid w:val="7267DCFC"/>
    <w:rsid w:val="72696111"/>
    <w:rsid w:val="726A3B96"/>
    <w:rsid w:val="7279B66C"/>
    <w:rsid w:val="7281B7E9"/>
    <w:rsid w:val="7283B9C0"/>
    <w:rsid w:val="7290838F"/>
    <w:rsid w:val="72A411DE"/>
    <w:rsid w:val="72AA1199"/>
    <w:rsid w:val="72ADC70A"/>
    <w:rsid w:val="72B602E8"/>
    <w:rsid w:val="72BB4553"/>
    <w:rsid w:val="72C83EB0"/>
    <w:rsid w:val="72D2C64A"/>
    <w:rsid w:val="72DFD63A"/>
    <w:rsid w:val="72E4498E"/>
    <w:rsid w:val="72E5311D"/>
    <w:rsid w:val="72E9B438"/>
    <w:rsid w:val="72EEB84E"/>
    <w:rsid w:val="72FC40B1"/>
    <w:rsid w:val="72FD91C9"/>
    <w:rsid w:val="731BE4F9"/>
    <w:rsid w:val="73237B92"/>
    <w:rsid w:val="732D7D5B"/>
    <w:rsid w:val="7336E610"/>
    <w:rsid w:val="7339AE24"/>
    <w:rsid w:val="7347F02C"/>
    <w:rsid w:val="734C1CF0"/>
    <w:rsid w:val="736EE54F"/>
    <w:rsid w:val="7370D2CC"/>
    <w:rsid w:val="7379CC9A"/>
    <w:rsid w:val="737AE75F"/>
    <w:rsid w:val="7385A104"/>
    <w:rsid w:val="739CCB69"/>
    <w:rsid w:val="73ABF191"/>
    <w:rsid w:val="73AECC71"/>
    <w:rsid w:val="73CB2EE2"/>
    <w:rsid w:val="73D12DF9"/>
    <w:rsid w:val="73E62A0E"/>
    <w:rsid w:val="73E7E94E"/>
    <w:rsid w:val="7402371C"/>
    <w:rsid w:val="740E54A1"/>
    <w:rsid w:val="740EC739"/>
    <w:rsid w:val="74125AED"/>
    <w:rsid w:val="741777E7"/>
    <w:rsid w:val="7425AFAE"/>
    <w:rsid w:val="7428C3AC"/>
    <w:rsid w:val="744272FE"/>
    <w:rsid w:val="7445873B"/>
    <w:rsid w:val="744916BC"/>
    <w:rsid w:val="74495172"/>
    <w:rsid w:val="744EA0F9"/>
    <w:rsid w:val="745BA2F8"/>
    <w:rsid w:val="745E35A4"/>
    <w:rsid w:val="74630163"/>
    <w:rsid w:val="74653490"/>
    <w:rsid w:val="747C4B68"/>
    <w:rsid w:val="749442A9"/>
    <w:rsid w:val="74A03D8F"/>
    <w:rsid w:val="74A7E36C"/>
    <w:rsid w:val="74AD0499"/>
    <w:rsid w:val="74AF18E4"/>
    <w:rsid w:val="74AFE8FC"/>
    <w:rsid w:val="74BCBA64"/>
    <w:rsid w:val="74C1061C"/>
    <w:rsid w:val="74CE583B"/>
    <w:rsid w:val="74D799D6"/>
    <w:rsid w:val="74DBE756"/>
    <w:rsid w:val="74DD12C1"/>
    <w:rsid w:val="74F48BD9"/>
    <w:rsid w:val="74FE74BD"/>
    <w:rsid w:val="7505E54F"/>
    <w:rsid w:val="7508229D"/>
    <w:rsid w:val="750C8E33"/>
    <w:rsid w:val="751113B9"/>
    <w:rsid w:val="7512DB4A"/>
    <w:rsid w:val="75157B99"/>
    <w:rsid w:val="7519071A"/>
    <w:rsid w:val="751CF17C"/>
    <w:rsid w:val="7528AF1D"/>
    <w:rsid w:val="752942EF"/>
    <w:rsid w:val="752DF0D0"/>
    <w:rsid w:val="7541D98A"/>
    <w:rsid w:val="7544C54C"/>
    <w:rsid w:val="75592E41"/>
    <w:rsid w:val="7568429E"/>
    <w:rsid w:val="75754041"/>
    <w:rsid w:val="75890AD0"/>
    <w:rsid w:val="759625FB"/>
    <w:rsid w:val="759F9AC2"/>
    <w:rsid w:val="75AAA476"/>
    <w:rsid w:val="75B0DE30"/>
    <w:rsid w:val="75B7638A"/>
    <w:rsid w:val="75C35BC9"/>
    <w:rsid w:val="75D0396D"/>
    <w:rsid w:val="75DB29D4"/>
    <w:rsid w:val="75E6C650"/>
    <w:rsid w:val="75EE1C1B"/>
    <w:rsid w:val="75F2FC87"/>
    <w:rsid w:val="75F862F3"/>
    <w:rsid w:val="760157D2"/>
    <w:rsid w:val="760D4A57"/>
    <w:rsid w:val="76158215"/>
    <w:rsid w:val="761B0734"/>
    <w:rsid w:val="761D1C02"/>
    <w:rsid w:val="761F1CC9"/>
    <w:rsid w:val="7620085C"/>
    <w:rsid w:val="76446639"/>
    <w:rsid w:val="7646C00F"/>
    <w:rsid w:val="76492797"/>
    <w:rsid w:val="764C60A0"/>
    <w:rsid w:val="764CEF31"/>
    <w:rsid w:val="7654406F"/>
    <w:rsid w:val="7657D537"/>
    <w:rsid w:val="766F4299"/>
    <w:rsid w:val="76712131"/>
    <w:rsid w:val="7678DD5D"/>
    <w:rsid w:val="76813C54"/>
    <w:rsid w:val="7696108A"/>
    <w:rsid w:val="7696821A"/>
    <w:rsid w:val="76A35DBA"/>
    <w:rsid w:val="76B1D157"/>
    <w:rsid w:val="76BC6005"/>
    <w:rsid w:val="76C0F2D8"/>
    <w:rsid w:val="76C339AA"/>
    <w:rsid w:val="76C95A16"/>
    <w:rsid w:val="76D130B0"/>
    <w:rsid w:val="76D35314"/>
    <w:rsid w:val="76D90827"/>
    <w:rsid w:val="76E01BBE"/>
    <w:rsid w:val="76E7FD1B"/>
    <w:rsid w:val="76E923F6"/>
    <w:rsid w:val="76F77B01"/>
    <w:rsid w:val="76FCDE17"/>
    <w:rsid w:val="76FD9E23"/>
    <w:rsid w:val="7706C938"/>
    <w:rsid w:val="7710843B"/>
    <w:rsid w:val="7710D96D"/>
    <w:rsid w:val="771CBC01"/>
    <w:rsid w:val="772709FD"/>
    <w:rsid w:val="77300925"/>
    <w:rsid w:val="773517C3"/>
    <w:rsid w:val="773BC6D9"/>
    <w:rsid w:val="77465768"/>
    <w:rsid w:val="774B4283"/>
    <w:rsid w:val="7761C2F5"/>
    <w:rsid w:val="776AE234"/>
    <w:rsid w:val="776E6FF2"/>
    <w:rsid w:val="7773E689"/>
    <w:rsid w:val="7774F893"/>
    <w:rsid w:val="777F5500"/>
    <w:rsid w:val="77863EA7"/>
    <w:rsid w:val="778D3950"/>
    <w:rsid w:val="77904151"/>
    <w:rsid w:val="77926FBF"/>
    <w:rsid w:val="77A35D13"/>
    <w:rsid w:val="77C63C64"/>
    <w:rsid w:val="77C8751A"/>
    <w:rsid w:val="77D8F6B6"/>
    <w:rsid w:val="77D941A4"/>
    <w:rsid w:val="77D9B3DC"/>
    <w:rsid w:val="77E24EEF"/>
    <w:rsid w:val="77F1F19B"/>
    <w:rsid w:val="77F40101"/>
    <w:rsid w:val="77F77A33"/>
    <w:rsid w:val="7822A102"/>
    <w:rsid w:val="7824D478"/>
    <w:rsid w:val="782D444D"/>
    <w:rsid w:val="782ED91F"/>
    <w:rsid w:val="7836DB89"/>
    <w:rsid w:val="783A7076"/>
    <w:rsid w:val="78474BB3"/>
    <w:rsid w:val="78476E7A"/>
    <w:rsid w:val="785E51E3"/>
    <w:rsid w:val="7874DDDD"/>
    <w:rsid w:val="7887A8B5"/>
    <w:rsid w:val="78887FAD"/>
    <w:rsid w:val="78AA27FB"/>
    <w:rsid w:val="78B296D7"/>
    <w:rsid w:val="78B35146"/>
    <w:rsid w:val="78B60311"/>
    <w:rsid w:val="78C972AD"/>
    <w:rsid w:val="78C9E176"/>
    <w:rsid w:val="78CD25EA"/>
    <w:rsid w:val="78DBCF66"/>
    <w:rsid w:val="78DF884B"/>
    <w:rsid w:val="78E07431"/>
    <w:rsid w:val="78E72031"/>
    <w:rsid w:val="78E98AD6"/>
    <w:rsid w:val="78ED1F67"/>
    <w:rsid w:val="790B75FF"/>
    <w:rsid w:val="791B20FB"/>
    <w:rsid w:val="793A4EB2"/>
    <w:rsid w:val="793DF35A"/>
    <w:rsid w:val="79411134"/>
    <w:rsid w:val="7941EC8F"/>
    <w:rsid w:val="79595379"/>
    <w:rsid w:val="795A506E"/>
    <w:rsid w:val="79647EF9"/>
    <w:rsid w:val="7965525E"/>
    <w:rsid w:val="7966F2E3"/>
    <w:rsid w:val="796D8B0F"/>
    <w:rsid w:val="796EC886"/>
    <w:rsid w:val="796F4A69"/>
    <w:rsid w:val="7971792F"/>
    <w:rsid w:val="7974890F"/>
    <w:rsid w:val="79807CB6"/>
    <w:rsid w:val="79856E94"/>
    <w:rsid w:val="79874ADA"/>
    <w:rsid w:val="7987650B"/>
    <w:rsid w:val="798EFB07"/>
    <w:rsid w:val="799CAAD8"/>
    <w:rsid w:val="799ECF11"/>
    <w:rsid w:val="79BA1B99"/>
    <w:rsid w:val="79CD9232"/>
    <w:rsid w:val="79D75EEE"/>
    <w:rsid w:val="79D9F197"/>
    <w:rsid w:val="79EFA5D4"/>
    <w:rsid w:val="79F644B7"/>
    <w:rsid w:val="7A045DA6"/>
    <w:rsid w:val="7A259298"/>
    <w:rsid w:val="7A280DA8"/>
    <w:rsid w:val="7A336922"/>
    <w:rsid w:val="7A33C405"/>
    <w:rsid w:val="7A46B86E"/>
    <w:rsid w:val="7A4C2651"/>
    <w:rsid w:val="7A5513C6"/>
    <w:rsid w:val="7A5C9D75"/>
    <w:rsid w:val="7A5EF056"/>
    <w:rsid w:val="7A62914B"/>
    <w:rsid w:val="7A6CAB48"/>
    <w:rsid w:val="7A716818"/>
    <w:rsid w:val="7A7B0D31"/>
    <w:rsid w:val="7A8696D6"/>
    <w:rsid w:val="7A8B6D0F"/>
    <w:rsid w:val="7A8D02D7"/>
    <w:rsid w:val="7A91C679"/>
    <w:rsid w:val="7AB5A59F"/>
    <w:rsid w:val="7AB75E4D"/>
    <w:rsid w:val="7ABDF403"/>
    <w:rsid w:val="7ACE292F"/>
    <w:rsid w:val="7ACF16FC"/>
    <w:rsid w:val="7AD28CDD"/>
    <w:rsid w:val="7AD4E3A5"/>
    <w:rsid w:val="7AE4BEC7"/>
    <w:rsid w:val="7AE6A577"/>
    <w:rsid w:val="7AF10FAD"/>
    <w:rsid w:val="7AF7059B"/>
    <w:rsid w:val="7AF8B8CD"/>
    <w:rsid w:val="7B16714E"/>
    <w:rsid w:val="7B16DA61"/>
    <w:rsid w:val="7B199371"/>
    <w:rsid w:val="7B1F6A8E"/>
    <w:rsid w:val="7B23042A"/>
    <w:rsid w:val="7B28AE3B"/>
    <w:rsid w:val="7B29FAC0"/>
    <w:rsid w:val="7B2B1128"/>
    <w:rsid w:val="7B42121F"/>
    <w:rsid w:val="7B5A8254"/>
    <w:rsid w:val="7B5D0DA5"/>
    <w:rsid w:val="7B68CB49"/>
    <w:rsid w:val="7B7387D9"/>
    <w:rsid w:val="7B7697A1"/>
    <w:rsid w:val="7B828738"/>
    <w:rsid w:val="7B830212"/>
    <w:rsid w:val="7B9187FC"/>
    <w:rsid w:val="7B97762C"/>
    <w:rsid w:val="7BA500BA"/>
    <w:rsid w:val="7BAB309E"/>
    <w:rsid w:val="7BB19EEE"/>
    <w:rsid w:val="7BB6F80D"/>
    <w:rsid w:val="7BBB1487"/>
    <w:rsid w:val="7BC11806"/>
    <w:rsid w:val="7BC18ECD"/>
    <w:rsid w:val="7BD0C21A"/>
    <w:rsid w:val="7BD9AE07"/>
    <w:rsid w:val="7BDE403F"/>
    <w:rsid w:val="7BDFD5C3"/>
    <w:rsid w:val="7BE807E3"/>
    <w:rsid w:val="7BEA04F7"/>
    <w:rsid w:val="7BEFDF10"/>
    <w:rsid w:val="7C214C55"/>
    <w:rsid w:val="7C31214D"/>
    <w:rsid w:val="7C3635D3"/>
    <w:rsid w:val="7C415DD2"/>
    <w:rsid w:val="7C46F8A7"/>
    <w:rsid w:val="7C4C6BB5"/>
    <w:rsid w:val="7C509963"/>
    <w:rsid w:val="7C51C2AD"/>
    <w:rsid w:val="7C657157"/>
    <w:rsid w:val="7C666EA1"/>
    <w:rsid w:val="7C6CFCCA"/>
    <w:rsid w:val="7C74D3F5"/>
    <w:rsid w:val="7C769E3B"/>
    <w:rsid w:val="7C85386B"/>
    <w:rsid w:val="7C9AB828"/>
    <w:rsid w:val="7CA1EED3"/>
    <w:rsid w:val="7CA2585B"/>
    <w:rsid w:val="7CA7452D"/>
    <w:rsid w:val="7CA7FEC3"/>
    <w:rsid w:val="7CB6A1A0"/>
    <w:rsid w:val="7CC1F6C5"/>
    <w:rsid w:val="7CDAAF75"/>
    <w:rsid w:val="7D0099F9"/>
    <w:rsid w:val="7D051D25"/>
    <w:rsid w:val="7D0F7655"/>
    <w:rsid w:val="7D1E1DB3"/>
    <w:rsid w:val="7D2AA776"/>
    <w:rsid w:val="7D2B8DBB"/>
    <w:rsid w:val="7D2D7B5D"/>
    <w:rsid w:val="7D3BCC73"/>
    <w:rsid w:val="7D3E3B5F"/>
    <w:rsid w:val="7D4003DB"/>
    <w:rsid w:val="7D479423"/>
    <w:rsid w:val="7D57D486"/>
    <w:rsid w:val="7D67520D"/>
    <w:rsid w:val="7D70419D"/>
    <w:rsid w:val="7D73B79D"/>
    <w:rsid w:val="7D746187"/>
    <w:rsid w:val="7D74F774"/>
    <w:rsid w:val="7D78EA05"/>
    <w:rsid w:val="7D98FE0E"/>
    <w:rsid w:val="7D9E137C"/>
    <w:rsid w:val="7DB711EB"/>
    <w:rsid w:val="7DBB4A54"/>
    <w:rsid w:val="7DC8576A"/>
    <w:rsid w:val="7DCC61DA"/>
    <w:rsid w:val="7DE7ADBC"/>
    <w:rsid w:val="7DF0C1B6"/>
    <w:rsid w:val="7DF1633D"/>
    <w:rsid w:val="7DF3E9AD"/>
    <w:rsid w:val="7DF644B2"/>
    <w:rsid w:val="7DFD7A36"/>
    <w:rsid w:val="7E04ACA6"/>
    <w:rsid w:val="7E052AE2"/>
    <w:rsid w:val="7E06C6CB"/>
    <w:rsid w:val="7E11F2AF"/>
    <w:rsid w:val="7E4842B5"/>
    <w:rsid w:val="7E49E6B5"/>
    <w:rsid w:val="7E53058A"/>
    <w:rsid w:val="7E5424EB"/>
    <w:rsid w:val="7E574166"/>
    <w:rsid w:val="7E5C6F9B"/>
    <w:rsid w:val="7E5CFBC6"/>
    <w:rsid w:val="7E779375"/>
    <w:rsid w:val="7E88E285"/>
    <w:rsid w:val="7E8D58EB"/>
    <w:rsid w:val="7E8EC313"/>
    <w:rsid w:val="7E9FBD34"/>
    <w:rsid w:val="7EA791AD"/>
    <w:rsid w:val="7EB1D2F6"/>
    <w:rsid w:val="7EB58CE5"/>
    <w:rsid w:val="7EBD2344"/>
    <w:rsid w:val="7EC46778"/>
    <w:rsid w:val="7EC871E0"/>
    <w:rsid w:val="7EEB840E"/>
    <w:rsid w:val="7EF22BAF"/>
    <w:rsid w:val="7EF8AA60"/>
    <w:rsid w:val="7F064200"/>
    <w:rsid w:val="7F07702D"/>
    <w:rsid w:val="7F0A7772"/>
    <w:rsid w:val="7F0AC1B1"/>
    <w:rsid w:val="7F1A94D7"/>
    <w:rsid w:val="7F29FCDC"/>
    <w:rsid w:val="7F2C35BE"/>
    <w:rsid w:val="7F2E2640"/>
    <w:rsid w:val="7F301660"/>
    <w:rsid w:val="7F30ECCE"/>
    <w:rsid w:val="7F32953C"/>
    <w:rsid w:val="7F39F426"/>
    <w:rsid w:val="7F475ADD"/>
    <w:rsid w:val="7F4DA821"/>
    <w:rsid w:val="7F55A6C8"/>
    <w:rsid w:val="7F586CE9"/>
    <w:rsid w:val="7F916680"/>
    <w:rsid w:val="7F950ADB"/>
    <w:rsid w:val="7F9C1CD0"/>
    <w:rsid w:val="7FA93EF3"/>
    <w:rsid w:val="7FB6E7BB"/>
    <w:rsid w:val="7FB6F882"/>
    <w:rsid w:val="7FBA39B5"/>
    <w:rsid w:val="7FCC585D"/>
    <w:rsid w:val="7FD05955"/>
    <w:rsid w:val="7FD40C29"/>
    <w:rsid w:val="7FDDAD3F"/>
    <w:rsid w:val="7FEB5B00"/>
    <w:rsid w:val="7FEFF183"/>
    <w:rsid w:val="7FF4A623"/>
    <w:rsid w:val="7FF56ADA"/>
    <w:rsid w:val="7FF91DC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913FB5"/>
  <w15:docId w15:val="{0D10FF09-7420-4836-8A1B-2A12899CE1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81E5E"/>
    <w:rPr>
      <w:rFonts w:ascii="Times New Roman" w:hAnsi="Times New Roman" w:eastAsia="Times New Roman" w:cs="Times New Roman"/>
      <w:lang w:val="es-CO" w:eastAsia="es-CO"/>
    </w:rPr>
  </w:style>
  <w:style w:type="paragraph" w:styleId="Ttulo1">
    <w:name w:val="heading 1"/>
    <w:basedOn w:val="Normal"/>
    <w:next w:val="Normal"/>
    <w:link w:val="Ttulo1Car"/>
    <w:uiPriority w:val="9"/>
    <w:qFormat/>
    <w:rsid w:val="000C5DCE"/>
    <w:pPr>
      <w:keepNext/>
      <w:keepLines/>
      <w:spacing w:before="240"/>
      <w:outlineLvl w:val="0"/>
    </w:pPr>
    <w:rPr>
      <w:rFonts w:ascii="Nunito Sans" w:hAnsi="Nunito Sans" w:eastAsia="Nunito Sans" w:cs="Nunito Sans"/>
      <w:b/>
      <w:bCs/>
      <w:iCs/>
      <w:color w:val="EDB600"/>
      <w:sz w:val="40"/>
      <w:szCs w:val="32"/>
    </w:rPr>
  </w:style>
  <w:style w:type="paragraph" w:styleId="Ttulo2">
    <w:name w:val="heading 2"/>
    <w:basedOn w:val="Normal"/>
    <w:next w:val="Normal"/>
    <w:link w:val="Ttulo2Car"/>
    <w:autoRedefine/>
    <w:uiPriority w:val="9"/>
    <w:unhideWhenUsed/>
    <w:qFormat/>
    <w:rsid w:val="00DF5761"/>
    <w:pPr>
      <w:keepNext/>
      <w:keepLines/>
      <w:numPr>
        <w:ilvl w:val="1"/>
        <w:numId w:val="23"/>
      </w:numPr>
      <w:tabs>
        <w:tab w:val="left" w:pos="851"/>
      </w:tabs>
      <w:spacing w:before="40" w:after="240" w:line="276" w:lineRule="auto"/>
      <w:jc w:val="both"/>
      <w:outlineLvl w:val="1"/>
    </w:pPr>
    <w:rPr>
      <w:rFonts w:ascii="Nunito Sans" w:hAnsi="Nunito Sans" w:eastAsia="Nunito Sans" w:cs="Nunito Sans"/>
      <w:b/>
      <w:bCs/>
      <w:iCs/>
      <w:color w:val="EDB600"/>
      <w:sz w:val="30"/>
      <w:szCs w:val="28"/>
      <w:lang w:val="es-ES" w:eastAsia="en-US"/>
    </w:rPr>
  </w:style>
  <w:style w:type="paragraph" w:styleId="Ttulo3">
    <w:name w:val="heading 3"/>
    <w:basedOn w:val="Normal"/>
    <w:next w:val="Normal"/>
    <w:link w:val="Ttulo3Car"/>
    <w:uiPriority w:val="9"/>
    <w:unhideWhenUsed/>
    <w:qFormat/>
    <w:rsid w:val="00AB2461"/>
    <w:pPr>
      <w:ind w:left="426"/>
      <w:jc w:val="both"/>
      <w:outlineLvl w:val="2"/>
    </w:pPr>
    <w:rPr>
      <w:rFonts w:ascii="Nunito Sans" w:hAnsi="Nunito Sans" w:eastAsia="Nunito Sans" w:cs="Nunito Sans"/>
      <w:b/>
      <w:bCs/>
      <w:iCs/>
      <w:color w:val="EDB600"/>
      <w:sz w:val="26"/>
      <w:lang w:val="es-ES"/>
    </w:rPr>
  </w:style>
  <w:style w:type="paragraph" w:styleId="Ttulo4">
    <w:name w:val="heading 4"/>
    <w:basedOn w:val="Ttulo3"/>
    <w:next w:val="Normal"/>
    <w:link w:val="Ttulo4Car"/>
    <w:autoRedefine/>
    <w:uiPriority w:val="9"/>
    <w:unhideWhenUsed/>
    <w:qFormat/>
    <w:rsid w:val="00E000B5"/>
    <w:pPr>
      <w:outlineLvl w:val="3"/>
    </w:pPr>
    <w:rPr>
      <w:sz w:val="22"/>
      <w:szCs w:val="2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Sinespaciado">
    <w:name w:val="No Spacing"/>
    <w:aliases w:val="Número de capítulo"/>
    <w:link w:val="SinespaciadoCar"/>
    <w:uiPriority w:val="1"/>
    <w:qFormat/>
    <w:rsid w:val="00564B39"/>
    <w:pPr>
      <w:jc w:val="both"/>
    </w:pPr>
    <w:rPr>
      <w:rFonts w:ascii="Work Sans" w:hAnsi="Work Sans"/>
      <w:b/>
      <w:color w:val="E8A043"/>
      <w:sz w:val="92"/>
      <w:lang w:val="es-ES"/>
    </w:rPr>
  </w:style>
  <w:style w:type="paragraph" w:styleId="Prrafodelista">
    <w:name w:val="List Paragraph"/>
    <w:basedOn w:val="Normal"/>
    <w:link w:val="PrrafodelistaCar"/>
    <w:uiPriority w:val="34"/>
    <w:qFormat/>
    <w:rsid w:val="21A1AEA4"/>
    <w:pPr>
      <w:contextualSpacing/>
    </w:pPr>
  </w:style>
  <w:style w:type="paragraph" w:styleId="NormalWeb">
    <w:name w:val="Normal (Web)"/>
    <w:basedOn w:val="Normal"/>
    <w:uiPriority w:val="99"/>
    <w:unhideWhenUsed/>
    <w:rsid w:val="21A1AEA4"/>
    <w:pPr>
      <w:spacing w:beforeAutospacing="1" w:afterAutospacing="1"/>
    </w:pPr>
  </w:style>
  <w:style w:type="character" w:styleId="Ttulo1Car" w:customStyle="1">
    <w:name w:val="Título 1 Car"/>
    <w:basedOn w:val="Fuentedeprrafopredeter"/>
    <w:link w:val="Ttulo1"/>
    <w:uiPriority w:val="9"/>
    <w:rsid w:val="000C5DCE"/>
    <w:rPr>
      <w:rFonts w:ascii="Nunito Sans" w:hAnsi="Nunito Sans" w:eastAsia="Nunito Sans" w:cs="Nunito Sans"/>
      <w:b/>
      <w:bCs/>
      <w:iCs/>
      <w:color w:val="EDB600"/>
      <w:sz w:val="40"/>
      <w:szCs w:val="32"/>
      <w:lang w:val="es-CO" w:eastAsia="es-CO"/>
    </w:rPr>
  </w:style>
  <w:style w:type="character" w:styleId="Ttulo2Car" w:customStyle="1">
    <w:name w:val="Título 2 Car"/>
    <w:basedOn w:val="Fuentedeprrafopredeter"/>
    <w:link w:val="Ttulo2"/>
    <w:uiPriority w:val="9"/>
    <w:rsid w:val="00DF5761"/>
    <w:rPr>
      <w:rFonts w:ascii="Nunito Sans" w:hAnsi="Nunito Sans" w:eastAsia="Nunito Sans" w:cs="Nunito Sans"/>
      <w:b/>
      <w:bCs/>
      <w:iCs/>
      <w:color w:val="EDB600"/>
      <w:sz w:val="30"/>
      <w:szCs w:val="28"/>
      <w:lang w:val="es-ES"/>
    </w:rPr>
  </w:style>
  <w:style w:type="paragraph" w:styleId="Ttulo">
    <w:name w:val="Title"/>
    <w:basedOn w:val="Normal"/>
    <w:next w:val="Normal"/>
    <w:link w:val="TtuloCar"/>
    <w:uiPriority w:val="10"/>
    <w:qFormat/>
    <w:rsid w:val="21A1AEA4"/>
    <w:pPr>
      <w:contextualSpacing/>
    </w:pPr>
    <w:rPr>
      <w:rFonts w:cs="Arial" w:eastAsiaTheme="majorEastAsia"/>
      <w:b/>
      <w:bCs/>
      <w:sz w:val="32"/>
      <w:szCs w:val="32"/>
    </w:rPr>
  </w:style>
  <w:style w:type="character" w:styleId="TtuloCar" w:customStyle="1">
    <w:name w:val="Título Car"/>
    <w:basedOn w:val="Fuentedeprrafopredeter"/>
    <w:link w:val="Ttulo"/>
    <w:uiPriority w:val="10"/>
    <w:rsid w:val="007921A6"/>
    <w:rPr>
      <w:rFonts w:ascii="Work Sans" w:hAnsi="Work Sans" w:cs="Arial" w:eastAsiaTheme="majorEastAsia"/>
      <w:b/>
      <w:bCs/>
      <w:color w:val="404040" w:themeColor="text1" w:themeTint="BF"/>
      <w:spacing w:val="-10"/>
      <w:kern w:val="28"/>
      <w:sz w:val="32"/>
      <w:szCs w:val="40"/>
      <w:lang w:val="es-ES"/>
    </w:rPr>
  </w:style>
  <w:style w:type="paragraph" w:styleId="Subttulo">
    <w:name w:val="Subtitle"/>
    <w:basedOn w:val="Normal"/>
    <w:next w:val="Normal"/>
    <w:link w:val="SubttuloCar"/>
    <w:uiPriority w:val="11"/>
    <w:qFormat/>
    <w:rsid w:val="21A1AEA4"/>
    <w:pPr>
      <w:spacing w:after="160"/>
    </w:pPr>
    <w:rPr>
      <w:rFonts w:ascii="Work Sans" w:hAnsi="Work Sans" w:cs="Arial" w:eastAsiaTheme="minorEastAsia"/>
      <w:b/>
      <w:bCs/>
      <w:color w:val="E8A043"/>
    </w:rPr>
  </w:style>
  <w:style w:type="character" w:styleId="SubttuloCar" w:customStyle="1">
    <w:name w:val="Subtítulo Car"/>
    <w:basedOn w:val="Fuentedeprrafopredeter"/>
    <w:link w:val="Subttulo"/>
    <w:uiPriority w:val="11"/>
    <w:rsid w:val="000E7085"/>
    <w:rPr>
      <w:rFonts w:ascii="Work Sans" w:hAnsi="Work Sans" w:cs="Arial" w:eastAsiaTheme="minorEastAsia"/>
      <w:b/>
      <w:bCs/>
      <w:color w:val="E8A043"/>
      <w:spacing w:val="15"/>
      <w:szCs w:val="28"/>
      <w:lang w:val="es-ES"/>
    </w:rPr>
  </w:style>
  <w:style w:type="character" w:styleId="nfasissutil">
    <w:name w:val="Subtle Emphasis"/>
    <w:basedOn w:val="Fuentedeprrafopredeter"/>
    <w:uiPriority w:val="19"/>
    <w:qFormat/>
    <w:rsid w:val="007921A6"/>
    <w:rPr>
      <w:rFonts w:ascii="Work Sans" w:hAnsi="Work Sans"/>
      <w:b w:val="0"/>
      <w:i/>
      <w:iCs/>
      <w:color w:val="000000" w:themeColor="text1"/>
      <w:sz w:val="22"/>
    </w:rPr>
  </w:style>
  <w:style w:type="character" w:styleId="Fuerte">
    <w:name w:val="Strong"/>
    <w:basedOn w:val="Fuentedeprrafopredeter"/>
    <w:uiPriority w:val="22"/>
    <w:qFormat/>
    <w:rsid w:val="00587689"/>
    <w:rPr>
      <w:rFonts w:ascii="Work Sans SemiBold" w:hAnsi="Work Sans SemiBold"/>
      <w:b/>
      <w:bCs/>
      <w:i w:val="0"/>
      <w:color w:val="262626" w:themeColor="text1" w:themeTint="D9"/>
      <w:sz w:val="22"/>
    </w:rPr>
  </w:style>
  <w:style w:type="paragraph" w:styleId="Cita">
    <w:name w:val="Quote"/>
    <w:basedOn w:val="Normal"/>
    <w:next w:val="Normal"/>
    <w:link w:val="CitaCar"/>
    <w:uiPriority w:val="29"/>
    <w:qFormat/>
    <w:rsid w:val="21A1AEA4"/>
    <w:pPr>
      <w:spacing w:before="200" w:after="160"/>
      <w:ind w:left="720" w:right="864"/>
    </w:pPr>
    <w:rPr>
      <w:rFonts w:cs="Arial"/>
      <w:i/>
      <w:iCs/>
      <w:color w:val="6699FF"/>
    </w:rPr>
  </w:style>
  <w:style w:type="character" w:styleId="CitaCar" w:customStyle="1">
    <w:name w:val="Cita Car"/>
    <w:basedOn w:val="Fuentedeprrafopredeter"/>
    <w:link w:val="Cita"/>
    <w:uiPriority w:val="29"/>
    <w:rsid w:val="00964494"/>
    <w:rPr>
      <w:rFonts w:ascii="Work Sans" w:hAnsi="Work Sans" w:cs="Arial"/>
      <w:i/>
      <w:iCs/>
      <w:color w:val="6699FF"/>
      <w:sz w:val="22"/>
      <w:lang w:val="es-ES"/>
    </w:rPr>
  </w:style>
  <w:style w:type="paragraph" w:styleId="Encabezado">
    <w:name w:val="header"/>
    <w:basedOn w:val="Normal"/>
    <w:link w:val="EncabezadoCar"/>
    <w:uiPriority w:val="99"/>
    <w:unhideWhenUsed/>
    <w:rsid w:val="21A1AEA4"/>
    <w:pPr>
      <w:tabs>
        <w:tab w:val="center" w:pos="4680"/>
        <w:tab w:val="right" w:pos="9360"/>
      </w:tabs>
      <w:jc w:val="right"/>
    </w:pPr>
    <w:rPr>
      <w:b/>
      <w:bCs/>
      <w:color w:val="F42F63"/>
      <w:sz w:val="20"/>
      <w:szCs w:val="20"/>
    </w:rPr>
  </w:style>
  <w:style w:type="character" w:styleId="EncabezadoCar" w:customStyle="1">
    <w:name w:val="Encabezado Car"/>
    <w:basedOn w:val="Fuentedeprrafopredeter"/>
    <w:link w:val="Encabezado"/>
    <w:uiPriority w:val="99"/>
    <w:rsid w:val="00D349D3"/>
    <w:rPr>
      <w:rFonts w:ascii="Work Sans" w:hAnsi="Work Sans"/>
      <w:b/>
      <w:color w:val="F42F63"/>
      <w:sz w:val="20"/>
      <w:lang w:val="es-ES"/>
    </w:rPr>
  </w:style>
  <w:style w:type="paragraph" w:styleId="Piedepgina">
    <w:name w:val="footer"/>
    <w:basedOn w:val="Normal"/>
    <w:link w:val="PiedepginaCar"/>
    <w:uiPriority w:val="99"/>
    <w:unhideWhenUsed/>
    <w:rsid w:val="21A1AEA4"/>
    <w:pPr>
      <w:tabs>
        <w:tab w:val="center" w:pos="4680"/>
        <w:tab w:val="right" w:pos="9360"/>
      </w:tabs>
    </w:pPr>
    <w:rPr>
      <w:rFonts w:ascii="Work Sans Medium" w:hAnsi="Work Sans Medium"/>
      <w:color w:val="BFBFBF" w:themeColor="background1" w:themeShade="BF"/>
    </w:rPr>
  </w:style>
  <w:style w:type="character" w:styleId="PiedepginaCar" w:customStyle="1">
    <w:name w:val="Pie de página Car"/>
    <w:basedOn w:val="Fuentedeprrafopredeter"/>
    <w:link w:val="Piedepgina"/>
    <w:uiPriority w:val="99"/>
    <w:rsid w:val="00753B2B"/>
    <w:rPr>
      <w:rFonts w:ascii="Work Sans Medium" w:hAnsi="Work Sans Medium"/>
      <w:color w:val="BFBFBF" w:themeColor="background1" w:themeShade="BF"/>
      <w:sz w:val="22"/>
      <w:lang w:val="es-ES"/>
    </w:rPr>
  </w:style>
  <w:style w:type="character" w:styleId="Ttulo3Car" w:customStyle="1">
    <w:name w:val="Título 3 Car"/>
    <w:basedOn w:val="Fuentedeprrafopredeter"/>
    <w:link w:val="Ttulo3"/>
    <w:uiPriority w:val="9"/>
    <w:rsid w:val="00AB2461"/>
    <w:rPr>
      <w:rFonts w:ascii="Nunito Sans" w:hAnsi="Nunito Sans" w:eastAsia="Nunito Sans" w:cs="Nunito Sans"/>
      <w:b/>
      <w:bCs/>
      <w:iCs/>
      <w:color w:val="EDB600"/>
      <w:sz w:val="26"/>
      <w:lang w:val="es-ES" w:eastAsia="es-CO"/>
    </w:rPr>
  </w:style>
  <w:style w:type="numbering" w:styleId="Numeracion" w:customStyle="1">
    <w:name w:val="Numeracion"/>
    <w:basedOn w:val="Sinlista"/>
    <w:uiPriority w:val="99"/>
    <w:rsid w:val="00F30614"/>
    <w:pPr>
      <w:numPr>
        <w:numId w:val="5"/>
      </w:numPr>
    </w:pPr>
  </w:style>
  <w:style w:type="numbering" w:styleId="Style1" w:customStyle="1">
    <w:name w:val="Style1"/>
    <w:basedOn w:val="Sinlista"/>
    <w:uiPriority w:val="99"/>
    <w:rsid w:val="00FE771E"/>
    <w:pPr>
      <w:numPr>
        <w:numId w:val="6"/>
      </w:numPr>
    </w:pPr>
  </w:style>
  <w:style w:type="paragraph" w:styleId="Textodeglobo">
    <w:name w:val="Balloon Text"/>
    <w:basedOn w:val="Normal"/>
    <w:link w:val="TextodegloboCar"/>
    <w:uiPriority w:val="99"/>
    <w:semiHidden/>
    <w:unhideWhenUsed/>
    <w:rsid w:val="21A1AEA4"/>
    <w:rPr>
      <w:sz w:val="18"/>
      <w:szCs w:val="18"/>
    </w:rPr>
  </w:style>
  <w:style w:type="character" w:styleId="TextodegloboCar" w:customStyle="1">
    <w:name w:val="Texto de globo Car"/>
    <w:basedOn w:val="Fuentedeprrafopredeter"/>
    <w:link w:val="Textodeglobo"/>
    <w:uiPriority w:val="99"/>
    <w:semiHidden/>
    <w:rsid w:val="00E16BCF"/>
    <w:rPr>
      <w:rFonts w:ascii="Times New Roman" w:hAnsi="Times New Roman" w:cs="Times New Roman"/>
      <w:sz w:val="18"/>
      <w:szCs w:val="18"/>
      <w:lang w:val="es-ES"/>
    </w:rPr>
  </w:style>
  <w:style w:type="character" w:styleId="nfasisintenso">
    <w:name w:val="Intense Emphasis"/>
    <w:basedOn w:val="Fuentedeprrafopredeter"/>
    <w:uiPriority w:val="21"/>
    <w:qFormat/>
    <w:rsid w:val="00964494"/>
    <w:rPr>
      <w:rFonts w:ascii="Work Sans Light" w:hAnsi="Work Sans Light"/>
      <w:b w:val="0"/>
      <w:i/>
      <w:iCs/>
      <w:color w:val="3366CC"/>
    </w:rPr>
  </w:style>
  <w:style w:type="paragraph" w:styleId="Citadestacada">
    <w:name w:val="Intense Quote"/>
    <w:basedOn w:val="Normal"/>
    <w:next w:val="Normal"/>
    <w:link w:val="CitadestacadaCar"/>
    <w:uiPriority w:val="30"/>
    <w:qFormat/>
    <w:rsid w:val="21A1AEA4"/>
    <w:pPr>
      <w:pBdr>
        <w:top w:val="single" w:color="4E67C8" w:themeColor="accent1" w:sz="4" w:space="10"/>
        <w:bottom w:val="single" w:color="4E67C8" w:themeColor="accent1" w:sz="4" w:space="10"/>
      </w:pBdr>
      <w:spacing w:before="360" w:after="360"/>
      <w:ind w:left="864" w:right="864"/>
      <w:jc w:val="center"/>
    </w:pPr>
    <w:rPr>
      <w:i/>
      <w:iCs/>
      <w:color w:val="4E67C8" w:themeColor="accent1"/>
    </w:rPr>
  </w:style>
  <w:style w:type="character" w:styleId="CitadestacadaCar" w:customStyle="1">
    <w:name w:val="Cita destacada Car"/>
    <w:basedOn w:val="Fuentedeprrafopredeter"/>
    <w:link w:val="Citadestacada"/>
    <w:uiPriority w:val="30"/>
    <w:rsid w:val="00DD3A85"/>
    <w:rPr>
      <w:rFonts w:ascii="Arial" w:hAnsi="Arial"/>
      <w:i/>
      <w:iCs/>
      <w:color w:val="4E67C8" w:themeColor="accent1"/>
      <w:sz w:val="22"/>
      <w:lang w:val="es-ES"/>
    </w:rPr>
  </w:style>
  <w:style w:type="character" w:styleId="Nmerodepgina">
    <w:name w:val="page number"/>
    <w:basedOn w:val="Fuentedeprrafopredeter"/>
    <w:uiPriority w:val="99"/>
    <w:semiHidden/>
    <w:unhideWhenUsed/>
    <w:rsid w:val="00B65874"/>
  </w:style>
  <w:style w:type="character" w:styleId="SinespaciadoCar" w:customStyle="1">
    <w:name w:val="Sin espaciado Car"/>
    <w:aliases w:val="Número de capítulo Car"/>
    <w:basedOn w:val="Fuentedeprrafopredeter"/>
    <w:link w:val="Sinespaciado"/>
    <w:uiPriority w:val="1"/>
    <w:rsid w:val="00564B39"/>
    <w:rPr>
      <w:rFonts w:ascii="Work Sans" w:hAnsi="Work Sans"/>
      <w:b/>
      <w:color w:val="E8A043"/>
      <w:sz w:val="92"/>
      <w:lang w:val="es-ES"/>
    </w:rPr>
  </w:style>
  <w:style w:type="paragraph" w:styleId="Temadeldocumento" w:customStyle="1">
    <w:name w:val="Tema del documento"/>
    <w:basedOn w:val="Normal"/>
    <w:uiPriority w:val="1"/>
    <w:qFormat/>
    <w:rsid w:val="21A1AEA4"/>
    <w:rPr>
      <w:rFonts w:ascii="Work Sans Light" w:hAnsi="Work Sans Light"/>
      <w:color w:val="FFFFFF" w:themeColor="background1"/>
      <w:sz w:val="96"/>
      <w:szCs w:val="96"/>
    </w:rPr>
  </w:style>
  <w:style w:type="character" w:styleId="Referenciasutil">
    <w:name w:val="Subtle Reference"/>
    <w:basedOn w:val="Fuentedeprrafopredeter"/>
    <w:uiPriority w:val="31"/>
    <w:qFormat/>
    <w:rsid w:val="007921A6"/>
    <w:rPr>
      <w:rFonts w:ascii="Work Sans Medium" w:hAnsi="Work Sans Medium"/>
      <w:b w:val="0"/>
      <w:i w:val="0"/>
      <w:smallCaps/>
      <w:color w:val="5A5A5A" w:themeColor="text1" w:themeTint="A5"/>
    </w:rPr>
  </w:style>
  <w:style w:type="character" w:styleId="Referenciaintensa">
    <w:name w:val="Intense Reference"/>
    <w:basedOn w:val="Fuentedeprrafopredeter"/>
    <w:uiPriority w:val="32"/>
    <w:qFormat/>
    <w:rsid w:val="00964494"/>
    <w:rPr>
      <w:rFonts w:ascii="Work Sans Medium" w:hAnsi="Work Sans Medium"/>
      <w:b w:val="0"/>
      <w:bCs/>
      <w:i w:val="0"/>
      <w:smallCaps/>
      <w:color w:val="3366CC"/>
      <w:spacing w:val="5"/>
    </w:rPr>
  </w:style>
  <w:style w:type="character" w:styleId="Ttulodellibro">
    <w:name w:val="Book Title"/>
    <w:basedOn w:val="Fuentedeprrafopredeter"/>
    <w:uiPriority w:val="33"/>
    <w:qFormat/>
    <w:rsid w:val="007921A6"/>
    <w:rPr>
      <w:rFonts w:ascii="Work Sans SemiBold" w:hAnsi="Work Sans SemiBold"/>
      <w:b/>
      <w:bCs/>
      <w:i w:val="0"/>
      <w:iCs/>
      <w:spacing w:val="5"/>
    </w:rPr>
  </w:style>
  <w:style w:type="table" w:styleId="Tablaconcuadrcula">
    <w:name w:val="Table Grid"/>
    <w:basedOn w:val="Tablanormal"/>
    <w:uiPriority w:val="39"/>
    <w:rsid w:val="00325B3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aconcuadrcula4-nfasis11" w:customStyle="1">
    <w:name w:val="Tabla con cuadrícula 4 - Énfasis 11"/>
    <w:basedOn w:val="Tablanormal"/>
    <w:uiPriority w:val="49"/>
    <w:rsid w:val="00325B3B"/>
    <w:tblPr>
      <w:tblStyleRowBandSize w:val="1"/>
      <w:tblStyleColBandSize w:val="1"/>
      <w:tblBorders>
        <w:top w:val="single" w:color="94A3DE" w:themeColor="accent1" w:themeTint="99" w:sz="4" w:space="0"/>
        <w:left w:val="single" w:color="94A3DE" w:themeColor="accent1" w:themeTint="99" w:sz="4" w:space="0"/>
        <w:bottom w:val="single" w:color="94A3DE" w:themeColor="accent1" w:themeTint="99" w:sz="4" w:space="0"/>
        <w:right w:val="single" w:color="94A3DE" w:themeColor="accent1" w:themeTint="99" w:sz="4" w:space="0"/>
        <w:insideH w:val="single" w:color="94A3DE" w:themeColor="accent1" w:themeTint="99" w:sz="4" w:space="0"/>
        <w:insideV w:val="single" w:color="94A3DE" w:themeColor="accent1" w:themeTint="99" w:sz="4" w:space="0"/>
      </w:tblBorders>
    </w:tblPr>
    <w:tblStylePr w:type="firstRow">
      <w:rPr>
        <w:b/>
        <w:bCs/>
        <w:color w:val="FFFFFF" w:themeColor="background1"/>
      </w:rPr>
      <w:tblPr/>
      <w:tcPr>
        <w:tcBorders>
          <w:top w:val="single" w:color="4E67C8" w:themeColor="accent1" w:sz="4" w:space="0"/>
          <w:left w:val="single" w:color="4E67C8" w:themeColor="accent1" w:sz="4" w:space="0"/>
          <w:bottom w:val="single" w:color="4E67C8" w:themeColor="accent1" w:sz="4" w:space="0"/>
          <w:right w:val="single" w:color="4E67C8" w:themeColor="accent1" w:sz="4" w:space="0"/>
          <w:insideH w:val="nil"/>
          <w:insideV w:val="nil"/>
        </w:tcBorders>
        <w:shd w:val="clear" w:color="auto" w:fill="4E67C8" w:themeFill="accent1"/>
      </w:tcPr>
    </w:tblStylePr>
    <w:tblStylePr w:type="lastRow">
      <w:rPr>
        <w:b/>
        <w:bCs/>
      </w:rPr>
      <w:tblPr/>
      <w:tcPr>
        <w:tcBorders>
          <w:top w:val="double" w:color="4E67C8" w:themeColor="accent1" w:sz="4" w:space="0"/>
        </w:tcBorders>
      </w:tcPr>
    </w:tblStylePr>
    <w:tblStylePr w:type="firstCol">
      <w:rPr>
        <w:b/>
        <w:bCs/>
      </w:rPr>
    </w:tblStylePr>
    <w:tblStylePr w:type="lastCol">
      <w:rPr>
        <w:b/>
        <w:bCs/>
      </w:rPr>
    </w:tblStylePr>
    <w:tblStylePr w:type="band1Vert">
      <w:tblPr/>
      <w:tcPr>
        <w:shd w:val="clear" w:color="auto" w:fill="DBE0F4" w:themeFill="accent1" w:themeFillTint="33"/>
      </w:tcPr>
    </w:tblStylePr>
    <w:tblStylePr w:type="band1Horz">
      <w:tblPr/>
      <w:tcPr>
        <w:shd w:val="clear" w:color="auto" w:fill="DBE0F4" w:themeFill="accent1" w:themeFillTint="33"/>
      </w:tcPr>
    </w:tblStylePr>
  </w:style>
  <w:style w:type="table" w:styleId="Tablanormal31" w:customStyle="1">
    <w:name w:val="Tabla normal 31"/>
    <w:basedOn w:val="Tablanormal"/>
    <w:uiPriority w:val="43"/>
    <w:rsid w:val="00D349D3"/>
    <w:tblPr>
      <w:tblStyleRowBandSize w:val="1"/>
      <w:tblStyleColBandSize w:val="1"/>
    </w:tblPr>
    <w:tblStylePr w:type="firstRow">
      <w:rPr>
        <w:b/>
        <w:bCs/>
        <w:caps/>
      </w:rPr>
      <w:tblPr/>
      <w:tcPr>
        <w:tcBorders>
          <w:bottom w:val="single" w:color="7F7F7F" w:themeColor="text1" w:themeTint="80" w:sz="4" w:space="0"/>
        </w:tcBorders>
      </w:tcPr>
    </w:tblStylePr>
    <w:tblStylePr w:type="lastRow">
      <w:rPr>
        <w:b/>
        <w:bCs/>
        <w:caps/>
      </w:rPr>
      <w:tblPr/>
      <w:tcPr>
        <w:tcBorders>
          <w:top w:val="nil"/>
        </w:tcBorders>
      </w:tcPr>
    </w:tblStylePr>
    <w:tblStylePr w:type="firstCol">
      <w:rPr>
        <w:b/>
        <w:bCs/>
        <w:caps/>
      </w:rPr>
      <w:tblPr/>
      <w:tcPr>
        <w:tcBorders>
          <w:right w:val="single" w:color="7F7F7F" w:themeColor="text1" w:themeTint="80" w:sz="4" w:space="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11" w:customStyle="1">
    <w:name w:val="Tabla normal 11"/>
    <w:basedOn w:val="Tablanormal"/>
    <w:uiPriority w:val="41"/>
    <w:rsid w:val="00D349D3"/>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21" w:customStyle="1">
    <w:name w:val="Tabla normal 21"/>
    <w:basedOn w:val="Tablanormal"/>
    <w:uiPriority w:val="42"/>
    <w:rsid w:val="00D349D3"/>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aconcuadrcula1clara-nfasis11" w:customStyle="1">
    <w:name w:val="Tabla con cuadrícula 1 clara - Énfasis 11"/>
    <w:basedOn w:val="Tablanormal"/>
    <w:uiPriority w:val="46"/>
    <w:rsid w:val="00D349D3"/>
    <w:tblPr>
      <w:tblStyleRowBandSize w:val="1"/>
      <w:tblStyleColBandSize w:val="1"/>
      <w:tblBorders>
        <w:top w:val="single" w:color="B8C1E9" w:themeColor="accent1" w:themeTint="66" w:sz="4" w:space="0"/>
        <w:left w:val="single" w:color="B8C1E9" w:themeColor="accent1" w:themeTint="66" w:sz="4" w:space="0"/>
        <w:bottom w:val="single" w:color="B8C1E9" w:themeColor="accent1" w:themeTint="66" w:sz="4" w:space="0"/>
        <w:right w:val="single" w:color="B8C1E9" w:themeColor="accent1" w:themeTint="66" w:sz="4" w:space="0"/>
        <w:insideH w:val="single" w:color="B8C1E9" w:themeColor="accent1" w:themeTint="66" w:sz="4" w:space="0"/>
        <w:insideV w:val="single" w:color="B8C1E9" w:themeColor="accent1" w:themeTint="66" w:sz="4" w:space="0"/>
      </w:tblBorders>
    </w:tblPr>
    <w:tblStylePr w:type="firstRow">
      <w:rPr>
        <w:b/>
        <w:bCs/>
      </w:rPr>
      <w:tblPr/>
      <w:tcPr>
        <w:tcBorders>
          <w:bottom w:val="single" w:color="94A3DE" w:themeColor="accent1" w:themeTint="99" w:sz="12" w:space="0"/>
        </w:tcBorders>
      </w:tcPr>
    </w:tblStylePr>
    <w:tblStylePr w:type="lastRow">
      <w:rPr>
        <w:b/>
        <w:bCs/>
      </w:rPr>
      <w:tblPr/>
      <w:tcPr>
        <w:tcBorders>
          <w:top w:val="double" w:color="94A3DE" w:themeColor="accent1" w:themeTint="99" w:sz="2" w:space="0"/>
        </w:tcBorders>
      </w:tcPr>
    </w:tblStylePr>
    <w:tblStylePr w:type="firstCol">
      <w:rPr>
        <w:b/>
        <w:bCs/>
      </w:rPr>
    </w:tblStylePr>
    <w:tblStylePr w:type="lastCol">
      <w:rPr>
        <w:b/>
        <w:bCs/>
      </w:rPr>
    </w:tblStylePr>
  </w:style>
  <w:style w:type="table" w:styleId="Tablaconcuadrcula2-nfasis51" w:customStyle="1">
    <w:name w:val="Tabla con cuadrícula 2 - Énfasis 51"/>
    <w:basedOn w:val="Tablanormal"/>
    <w:uiPriority w:val="47"/>
    <w:rsid w:val="00CC5546"/>
    <w:tblPr>
      <w:tblStyleRowBandSize w:val="1"/>
      <w:tblStyleColBandSize w:val="1"/>
      <w:tblBorders>
        <w:top w:val="single" w:color="FFB279" w:themeColor="accent5" w:themeTint="99" w:sz="2" w:space="0"/>
        <w:bottom w:val="single" w:color="FFB279" w:themeColor="accent5" w:themeTint="99" w:sz="2" w:space="0"/>
        <w:insideH w:val="single" w:color="FFB279" w:themeColor="accent5" w:themeTint="99" w:sz="2" w:space="0"/>
        <w:insideV w:val="single" w:color="FFB279" w:themeColor="accent5" w:themeTint="99" w:sz="2" w:space="0"/>
      </w:tblBorders>
    </w:tblPr>
    <w:tblStylePr w:type="firstRow">
      <w:rPr>
        <w:b/>
        <w:bCs/>
      </w:rPr>
      <w:tblPr/>
      <w:tcPr>
        <w:tcBorders>
          <w:top w:val="nil"/>
          <w:bottom w:val="single" w:color="FFB279" w:themeColor="accent5" w:themeTint="99" w:sz="12" w:space="0"/>
          <w:insideH w:val="nil"/>
          <w:insideV w:val="nil"/>
        </w:tcBorders>
        <w:shd w:val="clear" w:color="auto" w:fill="FFFFFF" w:themeFill="background1"/>
      </w:tcPr>
    </w:tblStylePr>
    <w:tblStylePr w:type="lastRow">
      <w:rPr>
        <w:b/>
        <w:bCs/>
      </w:rPr>
      <w:tblPr/>
      <w:tcPr>
        <w:tcBorders>
          <w:top w:val="double" w:color="FFB279" w:themeColor="accent5"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5D2" w:themeFill="accent5" w:themeFillTint="33"/>
      </w:tcPr>
    </w:tblStylePr>
    <w:tblStylePr w:type="band1Horz">
      <w:tblPr/>
      <w:tcPr>
        <w:shd w:val="clear" w:color="auto" w:fill="FFE5D2" w:themeFill="accent5" w:themeFillTint="33"/>
      </w:tcPr>
    </w:tblStylePr>
  </w:style>
  <w:style w:type="table" w:styleId="Tablaconcuadrcula5oscura-nfasis11" w:customStyle="1">
    <w:name w:val="Tabla con cuadrícula 5 oscura - Énfasis 11"/>
    <w:basedOn w:val="Tablanormal"/>
    <w:uiPriority w:val="50"/>
    <w:rsid w:val="00CC554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0F4"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E67C8"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E67C8"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E67C8"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E67C8" w:themeFill="accent1"/>
      </w:tcPr>
    </w:tblStylePr>
    <w:tblStylePr w:type="band1Vert">
      <w:tblPr/>
      <w:tcPr>
        <w:shd w:val="clear" w:color="auto" w:fill="B8C1E9" w:themeFill="accent1" w:themeFillTint="66"/>
      </w:tcPr>
    </w:tblStylePr>
    <w:tblStylePr w:type="band1Horz">
      <w:tblPr/>
      <w:tcPr>
        <w:shd w:val="clear" w:color="auto" w:fill="B8C1E9" w:themeFill="accent1" w:themeFillTint="66"/>
      </w:tcPr>
    </w:tblStylePr>
  </w:style>
  <w:style w:type="table" w:styleId="Tablaconcuadrcula5oscura-nfasis51" w:customStyle="1">
    <w:name w:val="Tabla con cuadrícula 5 oscura - Énfasis 51"/>
    <w:basedOn w:val="Tablanormal"/>
    <w:uiPriority w:val="50"/>
    <w:rsid w:val="00CC5546"/>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FE5D2" w:themeFill="accent5"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FF8021" w:themeFill="accent5"/>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FF8021" w:themeFill="accent5"/>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FF8021" w:themeFill="accent5"/>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FF8021" w:themeFill="accent5"/>
      </w:tcPr>
    </w:tblStylePr>
    <w:tblStylePr w:type="band1Vert">
      <w:tblPr/>
      <w:tcPr>
        <w:shd w:val="clear" w:color="auto" w:fill="FFCCA6" w:themeFill="accent5" w:themeFillTint="66"/>
      </w:tcPr>
    </w:tblStylePr>
    <w:tblStylePr w:type="band1Horz">
      <w:tblPr/>
      <w:tcPr>
        <w:shd w:val="clear" w:color="auto" w:fill="FFCCA6" w:themeFill="accent5" w:themeFillTint="66"/>
      </w:tcPr>
    </w:tblStylePr>
  </w:style>
  <w:style w:type="table" w:styleId="Tablaconcuadrcula6concolores-nfasis51" w:customStyle="1">
    <w:name w:val="Tabla con cuadrícula 6 con colores - Énfasis 51"/>
    <w:basedOn w:val="Tablanormal"/>
    <w:uiPriority w:val="51"/>
    <w:rsid w:val="00CC5546"/>
    <w:rPr>
      <w:color w:val="D75C00" w:themeColor="accent5" w:themeShade="BF"/>
    </w:rPr>
    <w:tblPr>
      <w:tblStyleRowBandSize w:val="1"/>
      <w:tblStyleColBandSize w:val="1"/>
      <w:tblBorders>
        <w:top w:val="single" w:color="FFB279" w:themeColor="accent5" w:themeTint="99" w:sz="4" w:space="0"/>
        <w:left w:val="single" w:color="FFB279" w:themeColor="accent5" w:themeTint="99" w:sz="4" w:space="0"/>
        <w:bottom w:val="single" w:color="FFB279" w:themeColor="accent5" w:themeTint="99" w:sz="4" w:space="0"/>
        <w:right w:val="single" w:color="FFB279" w:themeColor="accent5" w:themeTint="99" w:sz="4" w:space="0"/>
        <w:insideH w:val="single" w:color="FFB279" w:themeColor="accent5" w:themeTint="99" w:sz="4" w:space="0"/>
        <w:insideV w:val="single" w:color="FFB279" w:themeColor="accent5" w:themeTint="99" w:sz="4" w:space="0"/>
      </w:tblBorders>
    </w:tblPr>
    <w:tblStylePr w:type="firstRow">
      <w:rPr>
        <w:b/>
        <w:bCs/>
      </w:rPr>
      <w:tblPr/>
      <w:tcPr>
        <w:tcBorders>
          <w:bottom w:val="single" w:color="FFB279" w:themeColor="accent5" w:themeTint="99" w:sz="12" w:space="0"/>
        </w:tcBorders>
      </w:tcPr>
    </w:tblStylePr>
    <w:tblStylePr w:type="lastRow">
      <w:rPr>
        <w:b/>
        <w:bCs/>
      </w:rPr>
      <w:tblPr/>
      <w:tcPr>
        <w:tcBorders>
          <w:top w:val="double" w:color="FFB279" w:themeColor="accent5" w:themeTint="99" w:sz="4" w:space="0"/>
        </w:tcBorders>
      </w:tcPr>
    </w:tblStylePr>
    <w:tblStylePr w:type="firstCol">
      <w:rPr>
        <w:b/>
        <w:bCs/>
      </w:rPr>
    </w:tblStylePr>
    <w:tblStylePr w:type="lastCol">
      <w:rPr>
        <w:b/>
        <w:bCs/>
      </w:rPr>
    </w:tblStylePr>
    <w:tblStylePr w:type="band1Vert">
      <w:tblPr/>
      <w:tcPr>
        <w:shd w:val="clear" w:color="auto" w:fill="FFE5D2" w:themeFill="accent5" w:themeFillTint="33"/>
      </w:tcPr>
    </w:tblStylePr>
    <w:tblStylePr w:type="band1Horz">
      <w:tblPr/>
      <w:tcPr>
        <w:shd w:val="clear" w:color="auto" w:fill="FFE5D2" w:themeFill="accent5" w:themeFillTint="33"/>
      </w:tcPr>
    </w:tblStylePr>
  </w:style>
  <w:style w:type="paragraph" w:styleId="TtuloTDC">
    <w:name w:val="TOC Heading"/>
    <w:basedOn w:val="Ttulo1"/>
    <w:next w:val="Normal"/>
    <w:uiPriority w:val="39"/>
    <w:unhideWhenUsed/>
    <w:qFormat/>
    <w:rsid w:val="0E79E4E6"/>
    <w:pPr>
      <w:spacing w:before="480" w:line="276" w:lineRule="auto"/>
    </w:pPr>
    <w:rPr>
      <w:szCs w:val="40"/>
      <w:lang w:val="en-US"/>
    </w:rPr>
  </w:style>
  <w:style w:type="paragraph" w:styleId="TDC2">
    <w:name w:val="toc 2"/>
    <w:basedOn w:val="Normal"/>
    <w:next w:val="Normal"/>
    <w:uiPriority w:val="39"/>
    <w:unhideWhenUsed/>
    <w:rsid w:val="21A1AEA4"/>
    <w:pPr>
      <w:ind w:left="220"/>
    </w:pPr>
    <w:rPr>
      <w:rFonts w:asciiTheme="minorHAnsi" w:hAnsiTheme="minorHAnsi"/>
      <w:smallCaps/>
      <w:sz w:val="20"/>
      <w:szCs w:val="20"/>
    </w:rPr>
  </w:style>
  <w:style w:type="paragraph" w:styleId="TDC1">
    <w:name w:val="toc 1"/>
    <w:basedOn w:val="Normal"/>
    <w:next w:val="Normal"/>
    <w:uiPriority w:val="39"/>
    <w:unhideWhenUsed/>
    <w:rsid w:val="21A1AEA4"/>
    <w:pPr>
      <w:spacing w:before="120" w:after="120"/>
    </w:pPr>
    <w:rPr>
      <w:rFonts w:asciiTheme="minorHAnsi" w:hAnsiTheme="minorHAnsi"/>
      <w:b/>
      <w:bCs/>
      <w:caps/>
      <w:sz w:val="20"/>
      <w:szCs w:val="20"/>
    </w:rPr>
  </w:style>
  <w:style w:type="character" w:styleId="Hipervnculo">
    <w:name w:val="Hyperlink"/>
    <w:basedOn w:val="Fuentedeprrafopredeter"/>
    <w:uiPriority w:val="99"/>
    <w:unhideWhenUsed/>
    <w:rsid w:val="00CC5546"/>
    <w:rPr>
      <w:color w:val="56C7AA" w:themeColor="hyperlink"/>
      <w:u w:val="single"/>
    </w:rPr>
  </w:style>
  <w:style w:type="paragraph" w:styleId="TDC3">
    <w:name w:val="toc 3"/>
    <w:basedOn w:val="Normal"/>
    <w:next w:val="Normal"/>
    <w:uiPriority w:val="39"/>
    <w:unhideWhenUsed/>
    <w:rsid w:val="21A1AEA4"/>
    <w:pPr>
      <w:ind w:left="440"/>
    </w:pPr>
    <w:rPr>
      <w:rFonts w:asciiTheme="minorHAnsi" w:hAnsiTheme="minorHAnsi"/>
      <w:i/>
      <w:iCs/>
      <w:sz w:val="20"/>
      <w:szCs w:val="20"/>
    </w:rPr>
  </w:style>
  <w:style w:type="paragraph" w:styleId="TDC4">
    <w:name w:val="toc 4"/>
    <w:basedOn w:val="Normal"/>
    <w:next w:val="Normal"/>
    <w:uiPriority w:val="39"/>
    <w:unhideWhenUsed/>
    <w:rsid w:val="21A1AEA4"/>
    <w:pPr>
      <w:ind w:left="660"/>
    </w:pPr>
    <w:rPr>
      <w:rFonts w:asciiTheme="minorHAnsi" w:hAnsiTheme="minorHAnsi"/>
      <w:sz w:val="18"/>
      <w:szCs w:val="18"/>
    </w:rPr>
  </w:style>
  <w:style w:type="paragraph" w:styleId="TDC5">
    <w:name w:val="toc 5"/>
    <w:basedOn w:val="Normal"/>
    <w:next w:val="Normal"/>
    <w:uiPriority w:val="39"/>
    <w:unhideWhenUsed/>
    <w:rsid w:val="21A1AEA4"/>
    <w:pPr>
      <w:ind w:left="880"/>
    </w:pPr>
    <w:rPr>
      <w:rFonts w:asciiTheme="minorHAnsi" w:hAnsiTheme="minorHAnsi"/>
      <w:sz w:val="18"/>
      <w:szCs w:val="18"/>
    </w:rPr>
  </w:style>
  <w:style w:type="paragraph" w:styleId="TDC6">
    <w:name w:val="toc 6"/>
    <w:basedOn w:val="Normal"/>
    <w:next w:val="Normal"/>
    <w:uiPriority w:val="39"/>
    <w:unhideWhenUsed/>
    <w:rsid w:val="21A1AEA4"/>
    <w:pPr>
      <w:ind w:left="1100"/>
    </w:pPr>
    <w:rPr>
      <w:rFonts w:asciiTheme="minorHAnsi" w:hAnsiTheme="minorHAnsi"/>
      <w:sz w:val="18"/>
      <w:szCs w:val="18"/>
    </w:rPr>
  </w:style>
  <w:style w:type="paragraph" w:styleId="TDC7">
    <w:name w:val="toc 7"/>
    <w:basedOn w:val="Normal"/>
    <w:next w:val="Normal"/>
    <w:uiPriority w:val="39"/>
    <w:unhideWhenUsed/>
    <w:rsid w:val="21A1AEA4"/>
    <w:pPr>
      <w:ind w:left="1320"/>
    </w:pPr>
    <w:rPr>
      <w:rFonts w:asciiTheme="minorHAnsi" w:hAnsiTheme="minorHAnsi"/>
      <w:sz w:val="18"/>
      <w:szCs w:val="18"/>
    </w:rPr>
  </w:style>
  <w:style w:type="paragraph" w:styleId="TDC8">
    <w:name w:val="toc 8"/>
    <w:basedOn w:val="Normal"/>
    <w:next w:val="Normal"/>
    <w:uiPriority w:val="39"/>
    <w:unhideWhenUsed/>
    <w:rsid w:val="21A1AEA4"/>
    <w:pPr>
      <w:ind w:left="1540"/>
    </w:pPr>
    <w:rPr>
      <w:rFonts w:asciiTheme="minorHAnsi" w:hAnsiTheme="minorHAnsi"/>
      <w:sz w:val="18"/>
      <w:szCs w:val="18"/>
    </w:rPr>
  </w:style>
  <w:style w:type="paragraph" w:styleId="TDC9">
    <w:name w:val="toc 9"/>
    <w:basedOn w:val="Normal"/>
    <w:next w:val="Normal"/>
    <w:uiPriority w:val="39"/>
    <w:unhideWhenUsed/>
    <w:rsid w:val="21A1AEA4"/>
    <w:pPr>
      <w:ind w:left="1760"/>
    </w:pPr>
    <w:rPr>
      <w:rFonts w:asciiTheme="minorHAnsi" w:hAnsiTheme="minorHAnsi"/>
      <w:sz w:val="18"/>
      <w:szCs w:val="18"/>
    </w:rPr>
  </w:style>
  <w:style w:type="table" w:styleId="Tabladelista1clara-nfasis51" w:customStyle="1">
    <w:name w:val="Tabla de lista 1 clara - Énfasis 51"/>
    <w:basedOn w:val="Tablanormal"/>
    <w:uiPriority w:val="46"/>
    <w:rsid w:val="00587689"/>
    <w:tblPr>
      <w:tblStyleRowBandSize w:val="1"/>
      <w:tblStyleColBandSize w:val="1"/>
    </w:tblPr>
    <w:tblStylePr w:type="firstRow">
      <w:rPr>
        <w:b/>
        <w:bCs/>
      </w:rPr>
      <w:tblPr/>
      <w:tcPr>
        <w:tcBorders>
          <w:bottom w:val="single" w:color="FFB279" w:themeColor="accent5" w:themeTint="99" w:sz="4" w:space="0"/>
        </w:tcBorders>
      </w:tcPr>
    </w:tblStylePr>
    <w:tblStylePr w:type="lastRow">
      <w:rPr>
        <w:b/>
        <w:bCs/>
      </w:rPr>
      <w:tblPr/>
      <w:tcPr>
        <w:tcBorders>
          <w:top w:val="single" w:color="FFB279" w:themeColor="accent5" w:themeTint="99" w:sz="4" w:space="0"/>
        </w:tcBorders>
      </w:tcPr>
    </w:tblStylePr>
    <w:tblStylePr w:type="firstCol">
      <w:rPr>
        <w:b/>
        <w:bCs/>
      </w:rPr>
    </w:tblStylePr>
    <w:tblStylePr w:type="lastCol">
      <w:rPr>
        <w:b/>
        <w:bCs/>
      </w:rPr>
    </w:tblStylePr>
    <w:tblStylePr w:type="band1Vert">
      <w:tblPr/>
      <w:tcPr>
        <w:shd w:val="clear" w:color="auto" w:fill="FFE5D2" w:themeFill="accent5" w:themeFillTint="33"/>
      </w:tcPr>
    </w:tblStylePr>
    <w:tblStylePr w:type="band1Horz">
      <w:tblPr/>
      <w:tcPr>
        <w:shd w:val="clear" w:color="auto" w:fill="FFE5D2" w:themeFill="accent5" w:themeFillTint="33"/>
      </w:tcPr>
    </w:tblStylePr>
  </w:style>
  <w:style w:type="table" w:styleId="Tabladelista2-nfasis11" w:customStyle="1">
    <w:name w:val="Tabla de lista 2 - Énfasis 11"/>
    <w:basedOn w:val="Tablanormal"/>
    <w:uiPriority w:val="47"/>
    <w:rsid w:val="00587689"/>
    <w:tblPr>
      <w:tblStyleRowBandSize w:val="1"/>
      <w:tblStyleColBandSize w:val="1"/>
      <w:tblBorders>
        <w:top w:val="single" w:color="94A3DE" w:themeColor="accent1" w:themeTint="99" w:sz="4" w:space="0"/>
        <w:bottom w:val="single" w:color="94A3DE" w:themeColor="accent1" w:themeTint="99" w:sz="4" w:space="0"/>
        <w:insideH w:val="single" w:color="94A3DE" w:themeColor="accent1"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0F4" w:themeFill="accent1" w:themeFillTint="33"/>
      </w:tcPr>
    </w:tblStylePr>
    <w:tblStylePr w:type="band1Horz">
      <w:tblPr/>
      <w:tcPr>
        <w:shd w:val="clear" w:color="auto" w:fill="DBE0F4" w:themeFill="accent1" w:themeFillTint="33"/>
      </w:tcPr>
    </w:tblStylePr>
  </w:style>
  <w:style w:type="table" w:styleId="Tabladelista4-nfasis11" w:customStyle="1">
    <w:name w:val="Tabla de lista 4 - Énfasis 11"/>
    <w:basedOn w:val="Tablanormal"/>
    <w:uiPriority w:val="49"/>
    <w:rsid w:val="00ED752C"/>
    <w:tblPr>
      <w:tblStyleRowBandSize w:val="1"/>
      <w:tblStyleColBandSize w:val="1"/>
      <w:tblBorders>
        <w:top w:val="single" w:color="94A3DE" w:themeColor="accent1" w:themeTint="99" w:sz="4" w:space="0"/>
        <w:left w:val="single" w:color="94A3DE" w:themeColor="accent1" w:themeTint="99" w:sz="4" w:space="0"/>
        <w:bottom w:val="single" w:color="94A3DE" w:themeColor="accent1" w:themeTint="99" w:sz="4" w:space="0"/>
        <w:right w:val="single" w:color="94A3DE" w:themeColor="accent1" w:themeTint="99" w:sz="4" w:space="0"/>
        <w:insideH w:val="single" w:color="94A3DE" w:themeColor="accent1" w:themeTint="99" w:sz="4" w:space="0"/>
      </w:tblBorders>
    </w:tblPr>
    <w:tblStylePr w:type="firstRow">
      <w:rPr>
        <w:b/>
        <w:bCs/>
        <w:color w:val="FFFFFF" w:themeColor="background1"/>
      </w:rPr>
      <w:tblPr/>
      <w:tcPr>
        <w:tcBorders>
          <w:top w:val="single" w:color="4E67C8" w:themeColor="accent1" w:sz="4" w:space="0"/>
          <w:left w:val="single" w:color="4E67C8" w:themeColor="accent1" w:sz="4" w:space="0"/>
          <w:bottom w:val="single" w:color="4E67C8" w:themeColor="accent1" w:sz="4" w:space="0"/>
          <w:right w:val="single" w:color="4E67C8" w:themeColor="accent1" w:sz="4" w:space="0"/>
          <w:insideH w:val="nil"/>
        </w:tcBorders>
        <w:shd w:val="clear" w:color="auto" w:fill="4E67C8" w:themeFill="accent1"/>
      </w:tcPr>
    </w:tblStylePr>
    <w:tblStylePr w:type="lastRow">
      <w:rPr>
        <w:b/>
        <w:bCs/>
      </w:rPr>
      <w:tblPr/>
      <w:tcPr>
        <w:tcBorders>
          <w:top w:val="double" w:color="94A3DE" w:themeColor="accent1" w:themeTint="99" w:sz="4" w:space="0"/>
        </w:tcBorders>
      </w:tcPr>
    </w:tblStylePr>
    <w:tblStylePr w:type="firstCol">
      <w:rPr>
        <w:b/>
        <w:bCs/>
      </w:rPr>
    </w:tblStylePr>
    <w:tblStylePr w:type="lastCol">
      <w:rPr>
        <w:b/>
        <w:bCs/>
      </w:rPr>
    </w:tblStylePr>
    <w:tblStylePr w:type="band1Vert">
      <w:tblPr/>
      <w:tcPr>
        <w:shd w:val="clear" w:color="auto" w:fill="DBE0F4" w:themeFill="accent1" w:themeFillTint="33"/>
      </w:tcPr>
    </w:tblStylePr>
    <w:tblStylePr w:type="band1Horz">
      <w:tblPr/>
      <w:tcPr>
        <w:shd w:val="clear" w:color="auto" w:fill="DBE0F4" w:themeFill="accent1" w:themeFillTint="33"/>
      </w:tcPr>
    </w:tblStylePr>
  </w:style>
  <w:style w:type="table" w:styleId="Tabladelista4-nfasis51" w:customStyle="1">
    <w:name w:val="Tabla de lista 4 - Énfasis 51"/>
    <w:basedOn w:val="Tablanormal"/>
    <w:uiPriority w:val="49"/>
    <w:rsid w:val="00ED752C"/>
    <w:tblPr>
      <w:tblStyleRowBandSize w:val="1"/>
      <w:tblStyleColBandSize w:val="1"/>
      <w:tblBorders>
        <w:top w:val="single" w:color="FFB279" w:themeColor="accent5" w:themeTint="99" w:sz="4" w:space="0"/>
        <w:left w:val="single" w:color="FFB279" w:themeColor="accent5" w:themeTint="99" w:sz="4" w:space="0"/>
        <w:bottom w:val="single" w:color="FFB279" w:themeColor="accent5" w:themeTint="99" w:sz="4" w:space="0"/>
        <w:right w:val="single" w:color="FFB279" w:themeColor="accent5" w:themeTint="99" w:sz="4" w:space="0"/>
        <w:insideH w:val="single" w:color="FFB279" w:themeColor="accent5" w:themeTint="99" w:sz="4" w:space="0"/>
      </w:tblBorders>
    </w:tblPr>
    <w:tblStylePr w:type="firstRow">
      <w:rPr>
        <w:b/>
        <w:bCs/>
        <w:color w:val="FFFFFF" w:themeColor="background1"/>
      </w:rPr>
      <w:tblPr/>
      <w:tcPr>
        <w:tcBorders>
          <w:top w:val="single" w:color="FF8021" w:themeColor="accent5" w:sz="4" w:space="0"/>
          <w:left w:val="single" w:color="FF8021" w:themeColor="accent5" w:sz="4" w:space="0"/>
          <w:bottom w:val="single" w:color="FF8021" w:themeColor="accent5" w:sz="4" w:space="0"/>
          <w:right w:val="single" w:color="FF8021" w:themeColor="accent5" w:sz="4" w:space="0"/>
          <w:insideH w:val="nil"/>
        </w:tcBorders>
        <w:shd w:val="clear" w:color="auto" w:fill="FF8021" w:themeFill="accent5"/>
      </w:tcPr>
    </w:tblStylePr>
    <w:tblStylePr w:type="lastRow">
      <w:rPr>
        <w:b/>
        <w:bCs/>
      </w:rPr>
      <w:tblPr/>
      <w:tcPr>
        <w:tcBorders>
          <w:top w:val="double" w:color="FFB279" w:themeColor="accent5" w:themeTint="99" w:sz="4" w:space="0"/>
        </w:tcBorders>
      </w:tcPr>
    </w:tblStylePr>
    <w:tblStylePr w:type="firstCol">
      <w:rPr>
        <w:b/>
        <w:bCs/>
      </w:rPr>
    </w:tblStylePr>
    <w:tblStylePr w:type="lastCol">
      <w:rPr>
        <w:b/>
        <w:bCs/>
      </w:rPr>
    </w:tblStylePr>
    <w:tblStylePr w:type="band1Vert">
      <w:tblPr/>
      <w:tcPr>
        <w:shd w:val="clear" w:color="auto" w:fill="FFE5D2" w:themeFill="accent5" w:themeFillTint="33"/>
      </w:tcPr>
    </w:tblStylePr>
    <w:tblStylePr w:type="band1Horz">
      <w:tblPr/>
      <w:tcPr>
        <w:shd w:val="clear" w:color="auto" w:fill="FFE5D2" w:themeFill="accent5" w:themeFillTint="33"/>
      </w:tcPr>
    </w:tblStylePr>
  </w:style>
  <w:style w:type="table" w:styleId="Tabladelista6concolores-nfasis51" w:customStyle="1">
    <w:name w:val="Tabla de lista 6 con colores - Énfasis 51"/>
    <w:basedOn w:val="Tablanormal"/>
    <w:uiPriority w:val="51"/>
    <w:rsid w:val="00ED752C"/>
    <w:rPr>
      <w:color w:val="D75C00" w:themeColor="accent5" w:themeShade="BF"/>
    </w:rPr>
    <w:tblPr>
      <w:tblStyleRowBandSize w:val="1"/>
      <w:tblStyleColBandSize w:val="1"/>
      <w:tblBorders>
        <w:top w:val="single" w:color="FF8021" w:themeColor="accent5" w:sz="4" w:space="0"/>
        <w:bottom w:val="single" w:color="FF8021" w:themeColor="accent5" w:sz="4" w:space="0"/>
      </w:tblBorders>
    </w:tblPr>
    <w:tblStylePr w:type="firstRow">
      <w:rPr>
        <w:b/>
        <w:bCs/>
      </w:rPr>
      <w:tblPr/>
      <w:tcPr>
        <w:tcBorders>
          <w:bottom w:val="single" w:color="FF8021" w:themeColor="accent5" w:sz="4" w:space="0"/>
        </w:tcBorders>
      </w:tcPr>
    </w:tblStylePr>
    <w:tblStylePr w:type="lastRow">
      <w:rPr>
        <w:b/>
        <w:bCs/>
      </w:rPr>
      <w:tblPr/>
      <w:tcPr>
        <w:tcBorders>
          <w:top w:val="double" w:color="FF8021" w:themeColor="accent5" w:sz="4" w:space="0"/>
        </w:tcBorders>
      </w:tcPr>
    </w:tblStylePr>
    <w:tblStylePr w:type="firstCol">
      <w:rPr>
        <w:b/>
        <w:bCs/>
      </w:rPr>
    </w:tblStylePr>
    <w:tblStylePr w:type="lastCol">
      <w:rPr>
        <w:b/>
        <w:bCs/>
      </w:rPr>
    </w:tblStylePr>
    <w:tblStylePr w:type="band1Vert">
      <w:tblPr/>
      <w:tcPr>
        <w:shd w:val="clear" w:color="auto" w:fill="FFE5D2" w:themeFill="accent5" w:themeFillTint="33"/>
      </w:tcPr>
    </w:tblStylePr>
    <w:tblStylePr w:type="band1Horz">
      <w:tblPr/>
      <w:tcPr>
        <w:shd w:val="clear" w:color="auto" w:fill="FFE5D2" w:themeFill="accent5" w:themeFillTint="33"/>
      </w:tcPr>
    </w:tblStylePr>
  </w:style>
  <w:style w:type="table" w:styleId="Tabladelista5oscura-nfasis11" w:customStyle="1">
    <w:name w:val="Tabla de lista 5 oscura - Énfasis 11"/>
    <w:basedOn w:val="Tablanormal"/>
    <w:uiPriority w:val="50"/>
    <w:rsid w:val="00ED752C"/>
    <w:rPr>
      <w:color w:val="FFFFFF" w:themeColor="background1"/>
    </w:rPr>
    <w:tblPr>
      <w:tblStyleRowBandSize w:val="1"/>
      <w:tblStyleColBandSize w:val="1"/>
      <w:tblBorders>
        <w:top w:val="single" w:color="4E67C8" w:themeColor="accent1" w:sz="24" w:space="0"/>
        <w:left w:val="single" w:color="4E67C8" w:themeColor="accent1" w:sz="24" w:space="0"/>
        <w:bottom w:val="single" w:color="4E67C8" w:themeColor="accent1" w:sz="24" w:space="0"/>
        <w:right w:val="single" w:color="4E67C8" w:themeColor="accent1" w:sz="24" w:space="0"/>
      </w:tblBorders>
    </w:tblPr>
    <w:tcPr>
      <w:shd w:val="clear" w:color="auto" w:fill="4E67C8" w:themeFill="accent1"/>
    </w:tcPr>
    <w:tblStylePr w:type="firstRow">
      <w:rPr>
        <w:b/>
        <w:bCs/>
      </w:rPr>
      <w:tblPr/>
      <w:tcPr>
        <w:tcBorders>
          <w:bottom w:val="single" w:color="FFFFFF" w:themeColor="background1" w:sz="18" w:space="0"/>
        </w:tcBorders>
      </w:tcPr>
    </w:tblStylePr>
    <w:tblStylePr w:type="lastRow">
      <w:rPr>
        <w:b/>
        <w:bCs/>
      </w:rPr>
      <w:tblPr/>
      <w:tcPr>
        <w:tcBorders>
          <w:top w:val="single" w:color="FFFFFF" w:themeColor="background1" w:sz="4" w:space="0"/>
        </w:tcBorders>
      </w:tcPr>
    </w:tblStylePr>
    <w:tblStylePr w:type="firstCol">
      <w:rPr>
        <w:b/>
        <w:bCs/>
      </w:rPr>
      <w:tblPr/>
      <w:tcPr>
        <w:tcBorders>
          <w:right w:val="single" w:color="FFFFFF" w:themeColor="background1" w:sz="4" w:space="0"/>
        </w:tcBorders>
      </w:tcPr>
    </w:tblStylePr>
    <w:tblStylePr w:type="lastCol">
      <w:rPr>
        <w:b/>
        <w:bCs/>
      </w:rPr>
      <w:tblPr/>
      <w:tcPr>
        <w:tcBorders>
          <w:left w:val="single" w:color="FFFFFF" w:themeColor="background1" w:sz="4" w:space="0"/>
        </w:tcBorders>
      </w:tcPr>
    </w:tblStylePr>
    <w:tblStylePr w:type="band1Vert">
      <w:tblPr/>
      <w:tcPr>
        <w:tcBorders>
          <w:left w:val="single" w:color="FFFFFF" w:themeColor="background1" w:sz="4" w:space="0"/>
          <w:right w:val="single" w:color="FFFFFF" w:themeColor="background1" w:sz="4" w:space="0"/>
        </w:tcBorders>
      </w:tcPr>
    </w:tblStylePr>
    <w:tblStylePr w:type="band2Vert">
      <w:tblPr/>
      <w:tcPr>
        <w:tcBorders>
          <w:left w:val="single" w:color="FFFFFF" w:themeColor="background1" w:sz="4" w:space="0"/>
          <w:right w:val="single" w:color="FFFFFF" w:themeColor="background1" w:sz="4" w:space="0"/>
        </w:tcBorders>
      </w:tcPr>
    </w:tblStylePr>
    <w:tblStylePr w:type="band1Horz">
      <w:tblPr/>
      <w:tcPr>
        <w:tcBorders>
          <w:top w:val="single" w:color="FFFFFF" w:themeColor="background1" w:sz="4" w:space="0"/>
          <w:bottom w:val="single" w:color="FFFFFF" w:themeColor="background1" w:sz="4" w:space="0"/>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Tabladelista7concolores-nfasis51" w:customStyle="1">
    <w:name w:val="Tabla de lista 7 con colores - Énfasis 51"/>
    <w:basedOn w:val="Tablanormal"/>
    <w:uiPriority w:val="52"/>
    <w:rsid w:val="00ED752C"/>
    <w:rPr>
      <w:color w:val="D75C00"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FF8021"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FF8021"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FF8021"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FF8021" w:themeColor="accent5" w:sz="4" w:space="0"/>
        </w:tcBorders>
        <w:shd w:val="clear" w:color="auto" w:fill="FFFFFF" w:themeFill="background1"/>
      </w:tcPr>
    </w:tblStylePr>
    <w:tblStylePr w:type="band1Vert">
      <w:tblPr/>
      <w:tcPr>
        <w:shd w:val="clear" w:color="auto" w:fill="FFE5D2" w:themeFill="accent5" w:themeFillTint="33"/>
      </w:tcPr>
    </w:tblStylePr>
    <w:tblStylePr w:type="band1Horz">
      <w:tblPr/>
      <w:tcPr>
        <w:shd w:val="clear" w:color="auto" w:fill="FFE5D2"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3-nfasis51" w:customStyle="1">
    <w:name w:val="Tabla de lista 3 - Énfasis 51"/>
    <w:basedOn w:val="Tablanormal"/>
    <w:uiPriority w:val="48"/>
    <w:rsid w:val="00ED752C"/>
    <w:tblPr>
      <w:tblStyleRowBandSize w:val="1"/>
      <w:tblStyleColBandSize w:val="1"/>
      <w:tblBorders>
        <w:top w:val="single" w:color="FF8021" w:themeColor="accent5" w:sz="4" w:space="0"/>
        <w:left w:val="single" w:color="FF8021" w:themeColor="accent5" w:sz="4" w:space="0"/>
        <w:bottom w:val="single" w:color="FF8021" w:themeColor="accent5" w:sz="4" w:space="0"/>
        <w:right w:val="single" w:color="FF8021" w:themeColor="accent5" w:sz="4" w:space="0"/>
      </w:tblBorders>
    </w:tblPr>
    <w:tblStylePr w:type="firstRow">
      <w:rPr>
        <w:b/>
        <w:bCs/>
        <w:color w:val="FFFFFF" w:themeColor="background1"/>
      </w:rPr>
      <w:tblPr/>
      <w:tcPr>
        <w:shd w:val="clear" w:color="auto" w:fill="FF8021" w:themeFill="accent5"/>
      </w:tcPr>
    </w:tblStylePr>
    <w:tblStylePr w:type="lastRow">
      <w:rPr>
        <w:b/>
        <w:bCs/>
      </w:rPr>
      <w:tblPr/>
      <w:tcPr>
        <w:tcBorders>
          <w:top w:val="double" w:color="FF8021" w:themeColor="accent5"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FF8021" w:themeColor="accent5" w:sz="4" w:space="0"/>
          <w:right w:val="single" w:color="FF8021" w:themeColor="accent5" w:sz="4" w:space="0"/>
        </w:tcBorders>
      </w:tcPr>
    </w:tblStylePr>
    <w:tblStylePr w:type="band1Horz">
      <w:tblPr/>
      <w:tcPr>
        <w:tcBorders>
          <w:top w:val="single" w:color="FF8021" w:themeColor="accent5" w:sz="4" w:space="0"/>
          <w:bottom w:val="single" w:color="FF8021" w:themeColor="accent5"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FF8021" w:themeColor="accent5" w:sz="4" w:space="0"/>
          <w:left w:val="nil"/>
        </w:tcBorders>
      </w:tcPr>
    </w:tblStylePr>
    <w:tblStylePr w:type="swCell">
      <w:tblPr/>
      <w:tcPr>
        <w:tcBorders>
          <w:top w:val="double" w:color="FF8021" w:themeColor="accent5" w:sz="4" w:space="0"/>
          <w:right w:val="nil"/>
        </w:tcBorders>
      </w:tcPr>
    </w:tblStylePr>
  </w:style>
  <w:style w:type="character" w:styleId="PrrafodelistaCar" w:customStyle="1">
    <w:name w:val="Párrafo de lista Car"/>
    <w:link w:val="Prrafodelista"/>
    <w:uiPriority w:val="34"/>
    <w:qFormat/>
    <w:locked/>
    <w:rsid w:val="003104D7"/>
    <w:rPr>
      <w:rFonts w:ascii="Times New Roman" w:hAnsi="Times New Roman" w:eastAsia="Times New Roman" w:cs="Times New Roman"/>
      <w:lang w:val="es-CO" w:eastAsia="es-CO"/>
    </w:rPr>
  </w:style>
  <w:style w:type="table" w:styleId="Tabladecuadrcula4-nfasis51" w:customStyle="1">
    <w:name w:val="Tabla de cuadrícula 4 - Énfasis 51"/>
    <w:basedOn w:val="Tablanormal"/>
    <w:uiPriority w:val="49"/>
    <w:rsid w:val="003104D7"/>
    <w:rPr>
      <w:rFonts w:ascii="Times New Roman" w:hAnsi="Times New Roman" w:eastAsia="Times New Roman" w:cs="Times New Roman"/>
      <w:sz w:val="20"/>
      <w:szCs w:val="20"/>
      <w:lang w:val="es-CO" w:eastAsia="es-CO"/>
    </w:rPr>
    <w:tblPr>
      <w:tblStyleRowBandSize w:val="1"/>
      <w:tblStyleColBandSize w:val="1"/>
      <w:tblBorders>
        <w:top w:val="single" w:color="FFB279" w:themeColor="accent5" w:themeTint="99" w:sz="4" w:space="0"/>
        <w:left w:val="single" w:color="FFB279" w:themeColor="accent5" w:themeTint="99" w:sz="4" w:space="0"/>
        <w:bottom w:val="single" w:color="FFB279" w:themeColor="accent5" w:themeTint="99" w:sz="4" w:space="0"/>
        <w:right w:val="single" w:color="FFB279" w:themeColor="accent5" w:themeTint="99" w:sz="4" w:space="0"/>
        <w:insideH w:val="single" w:color="FFB279" w:themeColor="accent5" w:themeTint="99" w:sz="4" w:space="0"/>
        <w:insideV w:val="single" w:color="FFB279" w:themeColor="accent5" w:themeTint="99" w:sz="4" w:space="0"/>
      </w:tblBorders>
    </w:tblPr>
    <w:tblStylePr w:type="firstRow">
      <w:rPr>
        <w:b/>
        <w:bCs/>
        <w:color w:val="FFFFFF" w:themeColor="background1"/>
      </w:rPr>
      <w:tblPr/>
      <w:tcPr>
        <w:tcBorders>
          <w:top w:val="single" w:color="FF8021" w:themeColor="accent5" w:sz="4" w:space="0"/>
          <w:left w:val="single" w:color="FF8021" w:themeColor="accent5" w:sz="4" w:space="0"/>
          <w:bottom w:val="single" w:color="FF8021" w:themeColor="accent5" w:sz="4" w:space="0"/>
          <w:right w:val="single" w:color="FF8021" w:themeColor="accent5" w:sz="4" w:space="0"/>
          <w:insideH w:val="nil"/>
          <w:insideV w:val="nil"/>
        </w:tcBorders>
        <w:shd w:val="clear" w:color="auto" w:fill="FF8021" w:themeFill="accent5"/>
      </w:tcPr>
    </w:tblStylePr>
    <w:tblStylePr w:type="lastRow">
      <w:rPr>
        <w:b/>
        <w:bCs/>
      </w:rPr>
      <w:tblPr/>
      <w:tcPr>
        <w:tcBorders>
          <w:top w:val="double" w:color="FF8021" w:themeColor="accent5" w:sz="4" w:space="0"/>
        </w:tcBorders>
      </w:tcPr>
    </w:tblStylePr>
    <w:tblStylePr w:type="firstCol">
      <w:rPr>
        <w:b/>
        <w:bCs/>
      </w:rPr>
    </w:tblStylePr>
    <w:tblStylePr w:type="lastCol">
      <w:rPr>
        <w:b/>
        <w:bCs/>
      </w:rPr>
    </w:tblStylePr>
    <w:tblStylePr w:type="band1Vert">
      <w:tblPr/>
      <w:tcPr>
        <w:shd w:val="clear" w:color="auto" w:fill="FFE5D2" w:themeFill="accent5" w:themeFillTint="33"/>
      </w:tcPr>
    </w:tblStylePr>
    <w:tblStylePr w:type="band1Horz">
      <w:tblPr/>
      <w:tcPr>
        <w:shd w:val="clear" w:color="auto" w:fill="FFE5D2" w:themeFill="accent5" w:themeFillTint="33"/>
      </w:tcPr>
    </w:tblStylePr>
  </w:style>
  <w:style w:type="character" w:styleId="Mencinsinresolver1" w:customStyle="1">
    <w:name w:val="Mención sin resolver1"/>
    <w:basedOn w:val="Fuentedeprrafopredeter"/>
    <w:uiPriority w:val="99"/>
    <w:semiHidden/>
    <w:unhideWhenUsed/>
    <w:rsid w:val="003C7100"/>
    <w:rPr>
      <w:color w:val="605E5C"/>
      <w:shd w:val="clear" w:color="auto" w:fill="E1DFDD"/>
    </w:rPr>
  </w:style>
  <w:style w:type="table" w:styleId="Tablanormal2">
    <w:name w:val="Plain Table 2"/>
    <w:basedOn w:val="Tablanormal"/>
    <w:uiPriority w:val="99"/>
    <w:rsid w:val="00CD2DBD"/>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character" w:styleId="Hipervnculovisitado">
    <w:name w:val="FollowedHyperlink"/>
    <w:basedOn w:val="Fuentedeprrafopredeter"/>
    <w:uiPriority w:val="99"/>
    <w:semiHidden/>
    <w:unhideWhenUsed/>
    <w:rsid w:val="007A578C"/>
    <w:rPr>
      <w:color w:val="954F72"/>
      <w:u w:val="single"/>
    </w:rPr>
  </w:style>
  <w:style w:type="paragraph" w:styleId="msonormal0" w:customStyle="1">
    <w:name w:val="msonormal"/>
    <w:basedOn w:val="Normal"/>
    <w:uiPriority w:val="1"/>
    <w:rsid w:val="21A1AEA4"/>
    <w:pPr>
      <w:spacing w:beforeAutospacing="1" w:afterAutospacing="1"/>
    </w:pPr>
  </w:style>
  <w:style w:type="paragraph" w:styleId="xl66" w:customStyle="1">
    <w:name w:val="xl66"/>
    <w:basedOn w:val="Normal"/>
    <w:uiPriority w:val="1"/>
    <w:rsid w:val="21A1AEA4"/>
    <w:pPr>
      <w:shd w:val="clear" w:color="auto" w:fill="FFFFFF" w:themeFill="background1"/>
      <w:spacing w:beforeAutospacing="1" w:afterAutospacing="1"/>
    </w:pPr>
  </w:style>
  <w:style w:type="paragraph" w:styleId="xl67" w:customStyle="1">
    <w:name w:val="xl67"/>
    <w:basedOn w:val="Normal"/>
    <w:uiPriority w:val="1"/>
    <w:rsid w:val="21A1AEA4"/>
    <w:pPr>
      <w:shd w:val="clear" w:color="auto" w:fill="FFFFFF" w:themeFill="background1"/>
      <w:spacing w:beforeAutospacing="1" w:afterAutospacing="1"/>
    </w:pPr>
  </w:style>
  <w:style w:type="paragraph" w:styleId="xl68" w:customStyle="1">
    <w:name w:val="xl68"/>
    <w:basedOn w:val="Normal"/>
    <w:uiPriority w:val="1"/>
    <w:rsid w:val="21A1AEA4"/>
    <w:pPr>
      <w:spacing w:beforeAutospacing="1" w:afterAutospacing="1"/>
    </w:pPr>
  </w:style>
  <w:style w:type="paragraph" w:styleId="xl69" w:customStyle="1">
    <w:name w:val="xl69"/>
    <w:basedOn w:val="Normal"/>
    <w:uiPriority w:val="1"/>
    <w:rsid w:val="21A1AEA4"/>
    <w:pPr>
      <w:shd w:val="clear" w:color="auto" w:fill="FFFFFF" w:themeFill="background1"/>
      <w:spacing w:beforeAutospacing="1" w:afterAutospacing="1"/>
    </w:pPr>
  </w:style>
  <w:style w:type="paragraph" w:styleId="xl70" w:customStyle="1">
    <w:name w:val="xl70"/>
    <w:basedOn w:val="Normal"/>
    <w:uiPriority w:val="1"/>
    <w:rsid w:val="21A1AEA4"/>
    <w:pPr>
      <w:pBdr>
        <w:top w:val="single" w:color="auto" w:sz="4" w:space="0"/>
        <w:left w:val="single" w:color="auto" w:sz="4" w:space="0"/>
        <w:bottom w:val="single" w:color="auto" w:sz="4" w:space="0"/>
        <w:right w:val="single" w:color="auto" w:sz="4" w:space="0"/>
      </w:pBdr>
      <w:shd w:val="clear" w:color="auto" w:fill="FFFFFF" w:themeFill="background1"/>
      <w:spacing w:beforeAutospacing="1" w:afterAutospacing="1"/>
      <w:jc w:val="center"/>
    </w:pPr>
  </w:style>
  <w:style w:type="paragraph" w:styleId="xl71" w:customStyle="1">
    <w:name w:val="xl71"/>
    <w:basedOn w:val="Normal"/>
    <w:uiPriority w:val="1"/>
    <w:rsid w:val="21A1AEA4"/>
    <w:pPr>
      <w:pBdr>
        <w:top w:val="single" w:color="auto" w:sz="4" w:space="0"/>
        <w:left w:val="single" w:color="auto" w:sz="4" w:space="0"/>
        <w:bottom w:val="single" w:color="auto" w:sz="4" w:space="0"/>
        <w:right w:val="single" w:color="auto" w:sz="4" w:space="0"/>
      </w:pBdr>
      <w:shd w:val="clear" w:color="auto" w:fill="FFFFFF" w:themeFill="background1"/>
      <w:spacing w:beforeAutospacing="1" w:afterAutospacing="1"/>
      <w:jc w:val="center"/>
    </w:pPr>
  </w:style>
  <w:style w:type="paragraph" w:styleId="xl72" w:customStyle="1">
    <w:name w:val="xl72"/>
    <w:basedOn w:val="Normal"/>
    <w:uiPriority w:val="1"/>
    <w:rsid w:val="21A1AEA4"/>
    <w:pPr>
      <w:pBdr>
        <w:top w:val="single" w:color="auto" w:sz="4" w:space="0"/>
        <w:left w:val="single" w:color="auto" w:sz="4" w:space="0"/>
        <w:bottom w:val="single" w:color="auto" w:sz="4" w:space="0"/>
        <w:right w:val="single" w:color="auto" w:sz="4" w:space="0"/>
      </w:pBdr>
      <w:shd w:val="clear" w:color="auto" w:fill="2462FF"/>
      <w:spacing w:beforeAutospacing="1" w:afterAutospacing="1"/>
      <w:jc w:val="center"/>
    </w:pPr>
    <w:rPr>
      <w:b/>
      <w:bCs/>
      <w:color w:val="FFFFFF" w:themeColor="background1"/>
    </w:rPr>
  </w:style>
  <w:style w:type="paragraph" w:styleId="xl73" w:customStyle="1">
    <w:name w:val="xl73"/>
    <w:basedOn w:val="Normal"/>
    <w:uiPriority w:val="1"/>
    <w:rsid w:val="21A1AEA4"/>
    <w:pPr>
      <w:pBdr>
        <w:top w:val="single" w:color="auto" w:sz="4" w:space="0"/>
        <w:left w:val="single" w:color="auto" w:sz="4" w:space="0"/>
        <w:bottom w:val="single" w:color="auto" w:sz="4" w:space="0"/>
        <w:right w:val="single" w:color="auto" w:sz="4" w:space="0"/>
      </w:pBdr>
      <w:shd w:val="clear" w:color="auto" w:fill="FFF2CC"/>
      <w:spacing w:beforeAutospacing="1" w:afterAutospacing="1"/>
      <w:jc w:val="center"/>
    </w:pPr>
  </w:style>
  <w:style w:type="paragraph" w:styleId="xl74" w:customStyle="1">
    <w:name w:val="xl74"/>
    <w:basedOn w:val="Normal"/>
    <w:uiPriority w:val="1"/>
    <w:rsid w:val="21A1AEA4"/>
    <w:pPr>
      <w:pBdr>
        <w:top w:val="single" w:color="auto" w:sz="4" w:space="0"/>
        <w:left w:val="single" w:color="auto" w:sz="4" w:space="0"/>
        <w:bottom w:val="single" w:color="auto" w:sz="4" w:space="0"/>
        <w:right w:val="single" w:color="auto" w:sz="4" w:space="0"/>
      </w:pBdr>
      <w:shd w:val="clear" w:color="auto" w:fill="2462FF"/>
      <w:spacing w:beforeAutospacing="1" w:afterAutospacing="1"/>
      <w:jc w:val="center"/>
    </w:pPr>
    <w:rPr>
      <w:b/>
      <w:bCs/>
      <w:color w:val="FFFFFF" w:themeColor="background1"/>
    </w:rPr>
  </w:style>
  <w:style w:type="paragraph" w:styleId="xl75" w:customStyle="1">
    <w:name w:val="xl75"/>
    <w:basedOn w:val="Normal"/>
    <w:uiPriority w:val="1"/>
    <w:rsid w:val="21A1AEA4"/>
    <w:pPr>
      <w:pBdr>
        <w:top w:val="single" w:color="auto" w:sz="4" w:space="0"/>
        <w:left w:val="single" w:color="auto" w:sz="4" w:space="0"/>
        <w:bottom w:val="single" w:color="auto" w:sz="4" w:space="0"/>
        <w:right w:val="single" w:color="auto" w:sz="4" w:space="0"/>
      </w:pBdr>
      <w:shd w:val="clear" w:color="auto" w:fill="DDE7FF"/>
      <w:spacing w:beforeAutospacing="1" w:afterAutospacing="1"/>
      <w:jc w:val="center"/>
    </w:pPr>
    <w:rPr>
      <w:b/>
      <w:bCs/>
      <w:sz w:val="26"/>
      <w:szCs w:val="26"/>
    </w:rPr>
  </w:style>
  <w:style w:type="paragraph" w:styleId="xl76" w:customStyle="1">
    <w:name w:val="xl76"/>
    <w:basedOn w:val="Normal"/>
    <w:uiPriority w:val="1"/>
    <w:rsid w:val="21A1AEA4"/>
    <w:pPr>
      <w:pBdr>
        <w:top w:val="single" w:color="auto" w:sz="4" w:space="0"/>
        <w:left w:val="single" w:color="auto" w:sz="4" w:space="0"/>
        <w:bottom w:val="single" w:color="auto" w:sz="4" w:space="0"/>
        <w:right w:val="single" w:color="auto" w:sz="4" w:space="0"/>
      </w:pBdr>
      <w:shd w:val="clear" w:color="auto" w:fill="FFB8A7"/>
      <w:spacing w:beforeAutospacing="1" w:afterAutospacing="1"/>
      <w:jc w:val="center"/>
    </w:pPr>
  </w:style>
  <w:style w:type="paragraph" w:styleId="xl77" w:customStyle="1">
    <w:name w:val="xl77"/>
    <w:basedOn w:val="Normal"/>
    <w:uiPriority w:val="1"/>
    <w:rsid w:val="21A1AEA4"/>
    <w:pPr>
      <w:pBdr>
        <w:top w:val="single" w:color="auto" w:sz="4" w:space="0"/>
        <w:left w:val="single" w:color="auto" w:sz="4" w:space="0"/>
        <w:bottom w:val="single" w:color="auto" w:sz="4" w:space="0"/>
      </w:pBdr>
      <w:shd w:val="clear" w:color="auto" w:fill="DDE7FF"/>
      <w:spacing w:beforeAutospacing="1" w:afterAutospacing="1"/>
      <w:jc w:val="center"/>
    </w:pPr>
    <w:rPr>
      <w:b/>
      <w:bCs/>
      <w:sz w:val="26"/>
      <w:szCs w:val="26"/>
    </w:rPr>
  </w:style>
  <w:style w:type="paragraph" w:styleId="xl78" w:customStyle="1">
    <w:name w:val="xl78"/>
    <w:basedOn w:val="Normal"/>
    <w:uiPriority w:val="1"/>
    <w:rsid w:val="21A1AEA4"/>
    <w:pPr>
      <w:pBdr>
        <w:top w:val="single" w:color="auto" w:sz="4" w:space="0"/>
        <w:bottom w:val="single" w:color="auto" w:sz="4" w:space="0"/>
      </w:pBdr>
      <w:shd w:val="clear" w:color="auto" w:fill="DDE7FF"/>
      <w:spacing w:beforeAutospacing="1" w:afterAutospacing="1"/>
      <w:jc w:val="center"/>
    </w:pPr>
    <w:rPr>
      <w:b/>
      <w:bCs/>
      <w:sz w:val="26"/>
      <w:szCs w:val="26"/>
    </w:rPr>
  </w:style>
  <w:style w:type="paragraph" w:styleId="xl79" w:customStyle="1">
    <w:name w:val="xl79"/>
    <w:basedOn w:val="Normal"/>
    <w:uiPriority w:val="1"/>
    <w:rsid w:val="21A1AEA4"/>
    <w:pPr>
      <w:pBdr>
        <w:top w:val="single" w:color="auto" w:sz="4" w:space="0"/>
        <w:bottom w:val="single" w:color="auto" w:sz="4" w:space="0"/>
        <w:right w:val="single" w:color="auto" w:sz="4" w:space="0"/>
      </w:pBdr>
      <w:shd w:val="clear" w:color="auto" w:fill="DDE7FF"/>
      <w:spacing w:beforeAutospacing="1" w:afterAutospacing="1"/>
      <w:jc w:val="center"/>
    </w:pPr>
    <w:rPr>
      <w:b/>
      <w:bCs/>
      <w:sz w:val="26"/>
      <w:szCs w:val="26"/>
    </w:rPr>
  </w:style>
  <w:style w:type="paragraph" w:styleId="xl80" w:customStyle="1">
    <w:name w:val="xl80"/>
    <w:basedOn w:val="Normal"/>
    <w:uiPriority w:val="1"/>
    <w:rsid w:val="21A1AEA4"/>
    <w:pPr>
      <w:pBdr>
        <w:top w:val="single" w:color="auto" w:sz="4" w:space="0"/>
        <w:left w:val="single" w:color="auto" w:sz="4" w:space="0"/>
        <w:bottom w:val="single" w:color="auto" w:sz="4" w:space="0"/>
        <w:right w:val="single" w:color="auto" w:sz="4" w:space="0"/>
      </w:pBdr>
      <w:spacing w:beforeAutospacing="1" w:afterAutospacing="1"/>
      <w:jc w:val="center"/>
    </w:pPr>
  </w:style>
  <w:style w:type="paragraph" w:styleId="xl81" w:customStyle="1">
    <w:name w:val="xl81"/>
    <w:basedOn w:val="Normal"/>
    <w:uiPriority w:val="1"/>
    <w:rsid w:val="21A1AEA4"/>
    <w:pPr>
      <w:pBdr>
        <w:top w:val="single" w:color="auto" w:sz="4" w:space="0"/>
        <w:left w:val="single" w:color="auto" w:sz="4" w:space="0"/>
        <w:bottom w:val="single" w:color="auto" w:sz="4" w:space="0"/>
        <w:right w:val="single" w:color="auto" w:sz="4" w:space="0"/>
      </w:pBdr>
      <w:shd w:val="clear" w:color="auto" w:fill="E2EFDA"/>
      <w:spacing w:beforeAutospacing="1" w:afterAutospacing="1"/>
      <w:jc w:val="center"/>
    </w:pPr>
  </w:style>
  <w:style w:type="paragraph" w:styleId="xl82" w:customStyle="1">
    <w:name w:val="xl82"/>
    <w:basedOn w:val="Normal"/>
    <w:uiPriority w:val="1"/>
    <w:rsid w:val="21A1AEA4"/>
    <w:pPr>
      <w:pBdr>
        <w:top w:val="single" w:color="auto" w:sz="4" w:space="0"/>
        <w:left w:val="single" w:color="auto" w:sz="4" w:space="0"/>
        <w:bottom w:val="single" w:color="auto" w:sz="4" w:space="0"/>
        <w:right w:val="single" w:color="auto" w:sz="4" w:space="0"/>
      </w:pBdr>
      <w:spacing w:beforeAutospacing="1" w:afterAutospacing="1"/>
      <w:jc w:val="center"/>
    </w:pPr>
  </w:style>
  <w:style w:type="paragraph" w:styleId="TableParagraph" w:customStyle="1">
    <w:name w:val="Table Paragraph"/>
    <w:basedOn w:val="Normal"/>
    <w:uiPriority w:val="1"/>
    <w:qFormat/>
    <w:rsid w:val="21A1AEA4"/>
    <w:pPr>
      <w:widowControl w:val="0"/>
      <w:spacing w:before="10"/>
      <w:ind w:left="107"/>
    </w:pPr>
    <w:rPr>
      <w:rFonts w:ascii="Lucida Sans Unicode" w:hAnsi="Lucida Sans Unicode" w:eastAsia="Lucida Sans Unicode" w:cs="Lucida Sans Unicode"/>
      <w:lang w:bidi="es-ES"/>
    </w:rPr>
  </w:style>
  <w:style w:type="paragraph" w:styleId="Textonotapie">
    <w:name w:val="footnote text"/>
    <w:basedOn w:val="Normal"/>
    <w:link w:val="TextonotapieCar"/>
    <w:uiPriority w:val="99"/>
    <w:semiHidden/>
    <w:unhideWhenUsed/>
    <w:rsid w:val="21A1AEA4"/>
    <w:rPr>
      <w:sz w:val="20"/>
      <w:szCs w:val="20"/>
    </w:rPr>
  </w:style>
  <w:style w:type="character" w:styleId="TextonotapieCar" w:customStyle="1">
    <w:name w:val="Texto nota pie Car"/>
    <w:basedOn w:val="Fuentedeprrafopredeter"/>
    <w:link w:val="Textonotapie"/>
    <w:uiPriority w:val="99"/>
    <w:semiHidden/>
    <w:rsid w:val="00A0408D"/>
    <w:rPr>
      <w:rFonts w:ascii="Work Sans" w:hAnsi="Work Sans"/>
      <w:color w:val="404040" w:themeColor="text1" w:themeTint="BF"/>
      <w:sz w:val="20"/>
      <w:szCs w:val="20"/>
      <w:lang w:val="es-ES"/>
    </w:rPr>
  </w:style>
  <w:style w:type="character" w:styleId="Refdenotaalpie">
    <w:name w:val="footnote reference"/>
    <w:basedOn w:val="Fuentedeprrafopredeter"/>
    <w:uiPriority w:val="99"/>
    <w:semiHidden/>
    <w:unhideWhenUsed/>
    <w:rsid w:val="00A0408D"/>
    <w:rPr>
      <w:vertAlign w:val="superscript"/>
    </w:rPr>
  </w:style>
  <w:style w:type="table" w:styleId="Tabladelista3-nfasis31" w:customStyle="1">
    <w:name w:val="Tabla de lista 3 - Énfasis 31"/>
    <w:basedOn w:val="Tablanormal"/>
    <w:uiPriority w:val="48"/>
    <w:rsid w:val="009605F5"/>
    <w:tblPr>
      <w:tblStyleRowBandSize w:val="1"/>
      <w:tblStyleColBandSize w:val="1"/>
      <w:tblBorders>
        <w:top w:val="single" w:color="A7EA52" w:themeColor="accent3" w:sz="4" w:space="0"/>
        <w:left w:val="single" w:color="A7EA52" w:themeColor="accent3" w:sz="4" w:space="0"/>
        <w:bottom w:val="single" w:color="A7EA52" w:themeColor="accent3" w:sz="4" w:space="0"/>
        <w:right w:val="single" w:color="A7EA52" w:themeColor="accent3" w:sz="4" w:space="0"/>
      </w:tblBorders>
    </w:tblPr>
    <w:tblStylePr w:type="firstRow">
      <w:rPr>
        <w:b/>
        <w:bCs/>
        <w:color w:val="FFFFFF" w:themeColor="background1"/>
      </w:rPr>
      <w:tblPr/>
      <w:tcPr>
        <w:shd w:val="clear" w:color="auto" w:fill="A7EA52" w:themeFill="accent3"/>
      </w:tcPr>
    </w:tblStylePr>
    <w:tblStylePr w:type="lastRow">
      <w:rPr>
        <w:b/>
        <w:bCs/>
      </w:rPr>
      <w:tblPr/>
      <w:tcPr>
        <w:tcBorders>
          <w:top w:val="double" w:color="A7EA52" w:themeColor="accent3"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A7EA52" w:themeColor="accent3" w:sz="4" w:space="0"/>
          <w:right w:val="single" w:color="A7EA52" w:themeColor="accent3" w:sz="4" w:space="0"/>
        </w:tcBorders>
      </w:tcPr>
    </w:tblStylePr>
    <w:tblStylePr w:type="band1Horz">
      <w:tblPr/>
      <w:tcPr>
        <w:tcBorders>
          <w:top w:val="single" w:color="A7EA52" w:themeColor="accent3" w:sz="4" w:space="0"/>
          <w:bottom w:val="single" w:color="A7EA52" w:themeColor="accent3"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A7EA52" w:themeColor="accent3" w:sz="4" w:space="0"/>
          <w:left w:val="nil"/>
        </w:tcBorders>
      </w:tcPr>
    </w:tblStylePr>
    <w:tblStylePr w:type="swCell">
      <w:tblPr/>
      <w:tcPr>
        <w:tcBorders>
          <w:top w:val="double" w:color="A7EA52" w:themeColor="accent3" w:sz="4" w:space="0"/>
          <w:right w:val="nil"/>
        </w:tcBorders>
      </w:tcPr>
    </w:tblStylePr>
  </w:style>
  <w:style w:type="table" w:styleId="Tabladelista3-nfasis41" w:customStyle="1">
    <w:name w:val="Tabla de lista 3 - Énfasis 41"/>
    <w:basedOn w:val="Tablanormal"/>
    <w:uiPriority w:val="48"/>
    <w:rsid w:val="009605F5"/>
    <w:tblPr>
      <w:tblStyleRowBandSize w:val="1"/>
      <w:tblStyleColBandSize w:val="1"/>
      <w:tblBorders>
        <w:top w:val="single" w:color="5DCEAF" w:themeColor="accent4" w:sz="4" w:space="0"/>
        <w:left w:val="single" w:color="5DCEAF" w:themeColor="accent4" w:sz="4" w:space="0"/>
        <w:bottom w:val="single" w:color="5DCEAF" w:themeColor="accent4" w:sz="4" w:space="0"/>
        <w:right w:val="single" w:color="5DCEAF" w:themeColor="accent4" w:sz="4" w:space="0"/>
      </w:tblBorders>
    </w:tblPr>
    <w:tblStylePr w:type="firstRow">
      <w:rPr>
        <w:b/>
        <w:bCs/>
        <w:color w:val="FFFFFF" w:themeColor="background1"/>
      </w:rPr>
      <w:tblPr/>
      <w:tcPr>
        <w:shd w:val="clear" w:color="auto" w:fill="5DCEAF" w:themeFill="accent4"/>
      </w:tcPr>
    </w:tblStylePr>
    <w:tblStylePr w:type="lastRow">
      <w:rPr>
        <w:b/>
        <w:bCs/>
      </w:rPr>
      <w:tblPr/>
      <w:tcPr>
        <w:tcBorders>
          <w:top w:val="double" w:color="5DCEAF" w:themeColor="accent4"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5DCEAF" w:themeColor="accent4" w:sz="4" w:space="0"/>
          <w:right w:val="single" w:color="5DCEAF" w:themeColor="accent4" w:sz="4" w:space="0"/>
        </w:tcBorders>
      </w:tcPr>
    </w:tblStylePr>
    <w:tblStylePr w:type="band1Horz">
      <w:tblPr/>
      <w:tcPr>
        <w:tcBorders>
          <w:top w:val="single" w:color="5DCEAF" w:themeColor="accent4" w:sz="4" w:space="0"/>
          <w:bottom w:val="single" w:color="5DCEAF" w:themeColor="accent4"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5DCEAF" w:themeColor="accent4" w:sz="4" w:space="0"/>
          <w:left w:val="nil"/>
        </w:tcBorders>
      </w:tcPr>
    </w:tblStylePr>
    <w:tblStylePr w:type="swCell">
      <w:tblPr/>
      <w:tcPr>
        <w:tcBorders>
          <w:top w:val="double" w:color="5DCEAF" w:themeColor="accent4" w:sz="4" w:space="0"/>
          <w:right w:val="nil"/>
        </w:tcBorders>
      </w:tcPr>
    </w:tblStylePr>
  </w:style>
  <w:style w:type="table" w:styleId="Tablaconcuadrcula4-nfasis41" w:customStyle="1">
    <w:name w:val="Tabla con cuadrícula 4 - Énfasis 41"/>
    <w:basedOn w:val="Tablanormal"/>
    <w:uiPriority w:val="49"/>
    <w:rsid w:val="009605F5"/>
    <w:tblPr>
      <w:tblStyleRowBandSize w:val="1"/>
      <w:tblStyleColBandSize w:val="1"/>
      <w:tblBorders>
        <w:top w:val="single" w:color="9DE1CF" w:themeColor="accent4" w:themeTint="99" w:sz="4" w:space="0"/>
        <w:left w:val="single" w:color="9DE1CF" w:themeColor="accent4" w:themeTint="99" w:sz="4" w:space="0"/>
        <w:bottom w:val="single" w:color="9DE1CF" w:themeColor="accent4" w:themeTint="99" w:sz="4" w:space="0"/>
        <w:right w:val="single" w:color="9DE1CF" w:themeColor="accent4" w:themeTint="99" w:sz="4" w:space="0"/>
        <w:insideH w:val="single" w:color="9DE1CF" w:themeColor="accent4" w:themeTint="99" w:sz="4" w:space="0"/>
        <w:insideV w:val="single" w:color="9DE1CF" w:themeColor="accent4" w:themeTint="99" w:sz="4" w:space="0"/>
      </w:tblBorders>
    </w:tblPr>
    <w:tblStylePr w:type="firstRow">
      <w:rPr>
        <w:b/>
        <w:bCs/>
        <w:color w:val="FFFFFF" w:themeColor="background1"/>
      </w:rPr>
      <w:tblPr/>
      <w:tcPr>
        <w:tcBorders>
          <w:top w:val="single" w:color="5DCEAF" w:themeColor="accent4" w:sz="4" w:space="0"/>
          <w:left w:val="single" w:color="5DCEAF" w:themeColor="accent4" w:sz="4" w:space="0"/>
          <w:bottom w:val="single" w:color="5DCEAF" w:themeColor="accent4" w:sz="4" w:space="0"/>
          <w:right w:val="single" w:color="5DCEAF" w:themeColor="accent4" w:sz="4" w:space="0"/>
          <w:insideH w:val="nil"/>
          <w:insideV w:val="nil"/>
        </w:tcBorders>
        <w:shd w:val="clear" w:color="auto" w:fill="5DCEAF" w:themeFill="accent4"/>
      </w:tcPr>
    </w:tblStylePr>
    <w:tblStylePr w:type="lastRow">
      <w:rPr>
        <w:b/>
        <w:bCs/>
      </w:rPr>
      <w:tblPr/>
      <w:tcPr>
        <w:tcBorders>
          <w:top w:val="double" w:color="5DCEAF" w:themeColor="accent4" w:sz="4" w:space="0"/>
        </w:tcBorders>
      </w:tcPr>
    </w:tblStylePr>
    <w:tblStylePr w:type="firstCol">
      <w:rPr>
        <w:b/>
        <w:bCs/>
      </w:rPr>
    </w:tblStylePr>
    <w:tblStylePr w:type="lastCol">
      <w:rPr>
        <w:b/>
        <w:bCs/>
      </w:rPr>
    </w:tblStylePr>
    <w:tblStylePr w:type="band1Vert">
      <w:tblPr/>
      <w:tcPr>
        <w:shd w:val="clear" w:color="auto" w:fill="DEF5EE" w:themeFill="accent4" w:themeFillTint="33"/>
      </w:tcPr>
    </w:tblStylePr>
    <w:tblStylePr w:type="band1Horz">
      <w:tblPr/>
      <w:tcPr>
        <w:shd w:val="clear" w:color="auto" w:fill="DEF5EE" w:themeFill="accent4" w:themeFillTint="33"/>
      </w:tcPr>
    </w:tblStylePr>
  </w:style>
  <w:style w:type="table" w:styleId="Tabladelista41" w:customStyle="1">
    <w:name w:val="Tabla de lista 41"/>
    <w:basedOn w:val="Tablanormal"/>
    <w:uiPriority w:val="49"/>
    <w:rsid w:val="00F733D1"/>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tcBorders>
        <w:shd w:val="clear" w:color="auto" w:fill="000000" w:themeFill="text1"/>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3-nfasis11" w:customStyle="1">
    <w:name w:val="Tabla de lista 3 - Énfasis 11"/>
    <w:basedOn w:val="Tablanormal"/>
    <w:uiPriority w:val="48"/>
    <w:rsid w:val="00F733D1"/>
    <w:tblPr>
      <w:tblStyleRowBandSize w:val="1"/>
      <w:tblStyleColBandSize w:val="1"/>
      <w:tblBorders>
        <w:top w:val="single" w:color="4E67C8" w:themeColor="accent1" w:sz="4" w:space="0"/>
        <w:left w:val="single" w:color="4E67C8" w:themeColor="accent1" w:sz="4" w:space="0"/>
        <w:bottom w:val="single" w:color="4E67C8" w:themeColor="accent1" w:sz="4" w:space="0"/>
        <w:right w:val="single" w:color="4E67C8" w:themeColor="accent1" w:sz="4" w:space="0"/>
      </w:tblBorders>
    </w:tblPr>
    <w:tblStylePr w:type="firstRow">
      <w:rPr>
        <w:b/>
        <w:bCs/>
        <w:color w:val="FFFFFF" w:themeColor="background1"/>
      </w:rPr>
      <w:tblPr/>
      <w:tcPr>
        <w:shd w:val="clear" w:color="auto" w:fill="4E67C8" w:themeFill="accent1"/>
      </w:tcPr>
    </w:tblStylePr>
    <w:tblStylePr w:type="lastRow">
      <w:rPr>
        <w:b/>
        <w:bCs/>
      </w:rPr>
      <w:tblPr/>
      <w:tcPr>
        <w:tcBorders>
          <w:top w:val="double" w:color="4E67C8"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E67C8" w:themeColor="accent1" w:sz="4" w:space="0"/>
          <w:right w:val="single" w:color="4E67C8" w:themeColor="accent1" w:sz="4" w:space="0"/>
        </w:tcBorders>
      </w:tcPr>
    </w:tblStylePr>
    <w:tblStylePr w:type="band1Horz">
      <w:tblPr/>
      <w:tcPr>
        <w:tcBorders>
          <w:top w:val="single" w:color="4E67C8" w:themeColor="accent1" w:sz="4" w:space="0"/>
          <w:bottom w:val="single" w:color="4E67C8" w:themeColor="accen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E67C8" w:themeColor="accent1" w:sz="4" w:space="0"/>
          <w:left w:val="nil"/>
        </w:tcBorders>
      </w:tcPr>
    </w:tblStylePr>
    <w:tblStylePr w:type="swCell">
      <w:tblPr/>
      <w:tcPr>
        <w:tcBorders>
          <w:top w:val="double" w:color="4E67C8" w:themeColor="accent1" w:sz="4" w:space="0"/>
          <w:right w:val="nil"/>
        </w:tcBorders>
      </w:tcPr>
    </w:tblStylePr>
  </w:style>
  <w:style w:type="paragraph" w:styleId="Descripcin">
    <w:name w:val="caption"/>
    <w:basedOn w:val="Normal"/>
    <w:next w:val="Normal"/>
    <w:link w:val="DescripcinCar"/>
    <w:uiPriority w:val="1"/>
    <w:unhideWhenUsed/>
    <w:qFormat/>
    <w:rsid w:val="21A1AEA4"/>
    <w:pPr>
      <w:spacing w:after="200"/>
    </w:pPr>
    <w:rPr>
      <w:i/>
      <w:iCs/>
      <w:color w:val="212745" w:themeColor="text2"/>
      <w:sz w:val="18"/>
      <w:szCs w:val="18"/>
    </w:rPr>
  </w:style>
  <w:style w:type="character" w:styleId="Ttulo4Car" w:customStyle="1">
    <w:name w:val="Título 4 Car"/>
    <w:basedOn w:val="Fuentedeprrafopredeter"/>
    <w:link w:val="Ttulo4"/>
    <w:uiPriority w:val="9"/>
    <w:rsid w:val="00E000B5"/>
    <w:rPr>
      <w:rFonts w:ascii="Nunito Sans" w:hAnsi="Nunito Sans" w:eastAsia="Nunito Sans" w:cs="Nunito Sans"/>
      <w:b/>
      <w:bCs/>
      <w:iCs/>
      <w:color w:val="EDB600"/>
      <w:sz w:val="22"/>
      <w:szCs w:val="22"/>
      <w:lang w:val="es-ES" w:eastAsia="es-CO"/>
    </w:rPr>
  </w:style>
  <w:style w:type="paragraph" w:styleId="Tabladeilustraciones">
    <w:name w:val="table of figures"/>
    <w:basedOn w:val="Normal"/>
    <w:next w:val="Normal"/>
    <w:uiPriority w:val="99"/>
    <w:unhideWhenUsed/>
    <w:rsid w:val="21A1AEA4"/>
  </w:style>
  <w:style w:type="paragraph" w:styleId="Default" w:customStyle="1">
    <w:name w:val="Default"/>
    <w:link w:val="DefaultCar"/>
    <w:qFormat/>
    <w:rsid w:val="00EE291F"/>
    <w:pPr>
      <w:autoSpaceDE w:val="0"/>
      <w:autoSpaceDN w:val="0"/>
      <w:adjustRightInd w:val="0"/>
    </w:pPr>
    <w:rPr>
      <w:rFonts w:ascii="Titillium Web" w:hAnsi="Titillium Web" w:cs="Titillium Web"/>
      <w:color w:val="000000"/>
      <w:lang w:val="es-CO"/>
    </w:rPr>
  </w:style>
  <w:style w:type="character" w:styleId="Mencinsinresolver2" w:customStyle="1">
    <w:name w:val="Mención sin resolver2"/>
    <w:basedOn w:val="Fuentedeprrafopredeter"/>
    <w:uiPriority w:val="99"/>
    <w:semiHidden/>
    <w:unhideWhenUsed/>
    <w:rsid w:val="00687818"/>
    <w:rPr>
      <w:color w:val="605E5C"/>
      <w:shd w:val="clear" w:color="auto" w:fill="E1DFDD"/>
    </w:rPr>
  </w:style>
  <w:style w:type="character" w:styleId="Mencinsinresolver3" w:customStyle="1">
    <w:name w:val="Mención sin resolver3"/>
    <w:basedOn w:val="Fuentedeprrafopredeter"/>
    <w:uiPriority w:val="99"/>
    <w:semiHidden/>
    <w:unhideWhenUsed/>
    <w:rsid w:val="00471281"/>
    <w:rPr>
      <w:color w:val="605E5C"/>
      <w:shd w:val="clear" w:color="auto" w:fill="E1DFDD"/>
    </w:rPr>
  </w:style>
  <w:style w:type="table" w:styleId="TablasMinTIC1" w:customStyle="1">
    <w:name w:val="Tablas MinTIC1"/>
    <w:basedOn w:val="Tablanormal"/>
    <w:uiPriority w:val="99"/>
    <w:rsid w:val="005D3BB4"/>
    <w:rPr>
      <w:rFonts w:ascii="Work Sans" w:hAnsi="Work Sans"/>
      <w:color w:val="004884"/>
      <w:sz w:val="22"/>
      <w:szCs w:val="22"/>
      <w:lang w:val="es-CO"/>
    </w:rPr>
    <w:tblPr>
      <w:tblStyleRowBandSize w:val="1"/>
      <w:tblStyleColBandSize w:val="1"/>
    </w:tblPr>
    <w:tcPr>
      <w:vAlign w:val="center"/>
    </w:tcPr>
    <w:tblStylePr w:type="firstRow">
      <w:rPr>
        <w:b/>
        <w:color w:val="004884"/>
        <w:sz w:val="28"/>
      </w:rPr>
      <w:tblPr/>
      <w:tcPr>
        <w:tcBorders>
          <w:top w:val="nil"/>
          <w:left w:val="nil"/>
          <w:bottom w:val="single" w:color="004884" w:sz="18" w:space="0"/>
          <w:right w:val="nil"/>
          <w:insideH w:val="nil"/>
          <w:insideV w:val="nil"/>
        </w:tcBorders>
      </w:tcPr>
    </w:tblStylePr>
    <w:tblStylePr w:type="firstCol">
      <w:rPr>
        <w:b/>
      </w:rPr>
    </w:tblStylePr>
    <w:tblStylePr w:type="band1Vert">
      <w:tblPr/>
      <w:tcPr>
        <w:tcBorders>
          <w:right w:val="nil"/>
        </w:tcBorders>
      </w:tcPr>
    </w:tblStylePr>
    <w:tblStylePr w:type="band2Horz">
      <w:tblPr/>
      <w:tcPr>
        <w:shd w:val="clear" w:color="auto" w:fill="E7E6E6"/>
      </w:tcPr>
    </w:tblStylePr>
  </w:style>
  <w:style w:type="paragraph" w:styleId="Textocomentario">
    <w:name w:val="annotation text"/>
    <w:basedOn w:val="Normal"/>
    <w:link w:val="TextocomentarioCar"/>
    <w:uiPriority w:val="99"/>
    <w:unhideWhenUsed/>
    <w:rsid w:val="21A1AEA4"/>
    <w:pPr>
      <w:spacing w:before="120" w:after="120"/>
    </w:pPr>
    <w:rPr>
      <w:rFonts w:ascii="Work Sans" w:hAnsi="Work Sans"/>
      <w:sz w:val="20"/>
      <w:szCs w:val="20"/>
    </w:rPr>
  </w:style>
  <w:style w:type="character" w:styleId="TextocomentarioCar" w:customStyle="1">
    <w:name w:val="Texto comentario Car"/>
    <w:basedOn w:val="Fuentedeprrafopredeter"/>
    <w:link w:val="Textocomentario"/>
    <w:uiPriority w:val="99"/>
    <w:rsid w:val="005D3BB4"/>
    <w:rPr>
      <w:rFonts w:ascii="Work Sans" w:hAnsi="Work Sans" w:eastAsia="Times New Roman" w:cs="Times New Roman"/>
      <w:sz w:val="20"/>
      <w:szCs w:val="20"/>
      <w:lang w:val="es-CO" w:eastAsia="es-ES_tradnl"/>
    </w:rPr>
  </w:style>
  <w:style w:type="table" w:styleId="TableNormal1" w:customStyle="1">
    <w:name w:val="Table Normal1"/>
    <w:uiPriority w:val="2"/>
    <w:semiHidden/>
    <w:unhideWhenUsed/>
    <w:qFormat/>
    <w:rsid w:val="006055C9"/>
    <w:pPr>
      <w:widowControl w:val="0"/>
      <w:autoSpaceDE w:val="0"/>
      <w:autoSpaceDN w:val="0"/>
    </w:pPr>
    <w:rPr>
      <w:sz w:val="22"/>
      <w:szCs w:val="22"/>
    </w:rPr>
    <w:tblPr>
      <w:tblInd w:w="0" w:type="dxa"/>
      <w:tblCellMar>
        <w:top w:w="0" w:type="dxa"/>
        <w:left w:w="0" w:type="dxa"/>
        <w:bottom w:w="0" w:type="dxa"/>
        <w:right w:w="0" w:type="dxa"/>
      </w:tblCellMar>
    </w:tblPr>
  </w:style>
  <w:style w:type="table" w:styleId="Tablaconcuadrculaclara">
    <w:name w:val="Grid Table Light"/>
    <w:basedOn w:val="Tablanormal"/>
    <w:uiPriority w:val="99"/>
    <w:rsid w:val="002A1D3D"/>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normaltextrun" w:customStyle="1">
    <w:name w:val="normaltextrun"/>
    <w:basedOn w:val="Fuentedeprrafopredeter"/>
    <w:rsid w:val="00D8715B"/>
  </w:style>
  <w:style w:type="character" w:styleId="eop" w:customStyle="1">
    <w:name w:val="eop"/>
    <w:basedOn w:val="Fuentedeprrafopredeter"/>
    <w:rsid w:val="00D8715B"/>
  </w:style>
  <w:style w:type="character" w:styleId="nfasis">
    <w:name w:val="Emphasis"/>
    <w:basedOn w:val="Fuentedeprrafopredeter"/>
    <w:uiPriority w:val="20"/>
    <w:qFormat/>
    <w:rsid w:val="00D8715B"/>
    <w:rPr>
      <w:i/>
      <w:iCs/>
    </w:rPr>
  </w:style>
  <w:style w:type="paragraph" w:styleId="Revisin">
    <w:name w:val="Revision"/>
    <w:hidden/>
    <w:uiPriority w:val="99"/>
    <w:semiHidden/>
    <w:rsid w:val="00173C5A"/>
    <w:rPr>
      <w:rFonts w:ascii="Corbel" w:hAnsi="Corbel"/>
      <w:color w:val="404040" w:themeColor="text1" w:themeTint="BF"/>
      <w:sz w:val="22"/>
      <w:lang w:val="es-ES"/>
    </w:rPr>
  </w:style>
  <w:style w:type="character" w:styleId="scxp243463047" w:customStyle="1">
    <w:name w:val="scxp243463047"/>
    <w:basedOn w:val="Fuentedeprrafopredeter"/>
    <w:rsid w:val="00435724"/>
  </w:style>
  <w:style w:type="character" w:styleId="Refdecomentario">
    <w:name w:val="annotation reference"/>
    <w:basedOn w:val="Fuentedeprrafopredeter"/>
    <w:uiPriority w:val="99"/>
    <w:semiHidden/>
    <w:unhideWhenUsed/>
    <w:rsid w:val="003633CF"/>
    <w:rPr>
      <w:sz w:val="16"/>
      <w:szCs w:val="16"/>
    </w:rPr>
  </w:style>
  <w:style w:type="paragraph" w:styleId="Asuntodelcomentario">
    <w:name w:val="annotation subject"/>
    <w:basedOn w:val="Textocomentario"/>
    <w:next w:val="Textocomentario"/>
    <w:link w:val="AsuntodelcomentarioCar"/>
    <w:uiPriority w:val="99"/>
    <w:semiHidden/>
    <w:unhideWhenUsed/>
    <w:rsid w:val="003633CF"/>
    <w:pPr>
      <w:spacing w:before="0" w:after="0"/>
    </w:pPr>
    <w:rPr>
      <w:rFonts w:ascii="Corbel" w:hAnsi="Corbel" w:eastAsiaTheme="minorHAnsi" w:cstheme="minorBidi"/>
      <w:b/>
      <w:bCs/>
      <w:color w:val="404040" w:themeColor="text1" w:themeTint="BF"/>
      <w:lang w:val="es-ES" w:eastAsia="en-US"/>
    </w:rPr>
  </w:style>
  <w:style w:type="character" w:styleId="AsuntodelcomentarioCar" w:customStyle="1">
    <w:name w:val="Asunto del comentario Car"/>
    <w:basedOn w:val="TextocomentarioCar"/>
    <w:link w:val="Asuntodelcomentario"/>
    <w:uiPriority w:val="99"/>
    <w:semiHidden/>
    <w:rsid w:val="003633CF"/>
    <w:rPr>
      <w:rFonts w:ascii="Corbel" w:hAnsi="Corbel" w:eastAsia="Times New Roman" w:cs="Times New Roman"/>
      <w:b/>
      <w:bCs/>
      <w:color w:val="404040" w:themeColor="text1" w:themeTint="BF"/>
      <w:sz w:val="20"/>
      <w:szCs w:val="20"/>
      <w:lang w:val="es-ES" w:eastAsia="es-ES_tradnl"/>
    </w:rPr>
  </w:style>
  <w:style w:type="character" w:styleId="wacimagecontainer" w:customStyle="1">
    <w:name w:val="wacimagecontainer"/>
    <w:basedOn w:val="Fuentedeprrafopredeter"/>
    <w:rsid w:val="002678D6"/>
  </w:style>
  <w:style w:type="character" w:styleId="DescripcinCar" w:customStyle="1">
    <w:name w:val="Descripción Car"/>
    <w:basedOn w:val="Fuentedeprrafopredeter"/>
    <w:link w:val="Descripcin"/>
    <w:locked/>
    <w:rsid w:val="002B6D57"/>
    <w:rPr>
      <w:rFonts w:ascii="Times New Roman" w:hAnsi="Times New Roman" w:eastAsia="Times New Roman" w:cs="Times New Roman"/>
      <w:i/>
      <w:iCs/>
      <w:color w:val="212745" w:themeColor="text2"/>
      <w:sz w:val="18"/>
      <w:szCs w:val="18"/>
      <w:lang w:val="es-CO" w:eastAsia="es-ES_tradnl"/>
    </w:rPr>
  </w:style>
  <w:style w:type="character" w:styleId="DefaultCar" w:customStyle="1">
    <w:name w:val="Default Car"/>
    <w:link w:val="Default"/>
    <w:locked/>
    <w:rsid w:val="002B6D57"/>
    <w:rPr>
      <w:rFonts w:ascii="Titillium Web" w:hAnsi="Titillium Web" w:cs="Titillium Web"/>
      <w:color w:val="000000"/>
      <w:lang w:val="es-CO"/>
    </w:rPr>
  </w:style>
  <w:style w:type="table" w:styleId="Tabladelista3-nfasis1">
    <w:name w:val="List Table 3 Accent 1"/>
    <w:basedOn w:val="Tablanormal"/>
    <w:uiPriority w:val="48"/>
    <w:rsid w:val="002B6D57"/>
    <w:rPr>
      <w:sz w:val="22"/>
      <w:szCs w:val="22"/>
      <w:lang w:val="es-CO"/>
    </w:rPr>
    <w:tblPr>
      <w:tblStyleRowBandSize w:val="1"/>
      <w:tblStyleColBandSize w:val="1"/>
    </w:tblPr>
    <w:tcPr>
      <w:tcBorders>
        <w:top w:val="single" w:color="4E67C8" w:themeColor="accent1" w:sz="4" w:space="0"/>
        <w:bottom w:val="single" w:color="4E67C8" w:themeColor="accent1" w:sz="4" w:space="0"/>
      </w:tcBorders>
    </w:tcPr>
    <w:tblStylePr w:type="firstRow">
      <w:rPr>
        <w:b/>
        <w:bCs/>
        <w:color w:val="FFFFFF" w:themeColor="background1"/>
      </w:rPr>
      <w:tblPr/>
      <w:tcPr>
        <w:shd w:val="clear" w:color="auto" w:fill="4E67C8" w:themeFill="accent1"/>
      </w:tcPr>
    </w:tblStylePr>
    <w:tblStylePr w:type="lastRow">
      <w:rPr>
        <w:b/>
        <w:bCs/>
      </w:rPr>
      <w:tblPr/>
      <w:tcPr>
        <w:tcBorders>
          <w:top w:val="double" w:color="4E67C8" w:themeColor="accen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4E67C8" w:themeColor="accent1" w:sz="4" w:space="0"/>
          <w:right w:val="single" w:color="4E67C8" w:themeColor="accent1" w:sz="4" w:space="0"/>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4E67C8" w:themeColor="accent1" w:sz="4" w:space="0"/>
          <w:left w:val="nil"/>
        </w:tcBorders>
      </w:tcPr>
    </w:tblStylePr>
    <w:tblStylePr w:type="swCell">
      <w:tblPr/>
      <w:tcPr>
        <w:tcBorders>
          <w:top w:val="double" w:color="4E67C8" w:themeColor="accent1" w:sz="4" w:space="0"/>
          <w:right w:val="nil"/>
        </w:tcBorders>
      </w:tcPr>
    </w:tblStylePr>
  </w:style>
  <w:style w:type="character" w:styleId="Textodelmarcadordeposicin">
    <w:name w:val="Placeholder Text"/>
    <w:basedOn w:val="Fuentedeprrafopredeter"/>
    <w:uiPriority w:val="99"/>
    <w:semiHidden/>
    <w:rsid w:val="00587659"/>
    <w:rPr>
      <w:color w:val="666666"/>
    </w:rPr>
  </w:style>
  <w:style w:type="character" w:styleId="Mencionar">
    <w:name w:val="Mention"/>
    <w:basedOn w:val="Fuentedeprrafopredeter"/>
    <w:uiPriority w:val="99"/>
    <w:unhideWhenUsed/>
    <w:rsid w:val="00453DCC"/>
    <w:rPr>
      <w:color w:val="2B579A"/>
      <w:shd w:val="clear" w:color="auto" w:fill="E1DFDD"/>
    </w:rPr>
  </w:style>
  <w:style w:type="table" w:styleId="Tablaconcuadrcula4-nfasis4">
    <w:name w:val="Grid Table 4 Accent 4"/>
    <w:basedOn w:val="Tablanormal"/>
    <w:uiPriority w:val="49"/>
    <w:rsid w:val="0065766E"/>
    <w:tblPr>
      <w:tblStyleRowBandSize w:val="1"/>
      <w:tblStyleColBandSize w:val="1"/>
      <w:tblBorders>
        <w:top w:val="single" w:color="9DE1CF" w:themeColor="accent4" w:themeTint="99" w:sz="4" w:space="0"/>
        <w:left w:val="single" w:color="9DE1CF" w:themeColor="accent4" w:themeTint="99" w:sz="4" w:space="0"/>
        <w:bottom w:val="single" w:color="9DE1CF" w:themeColor="accent4" w:themeTint="99" w:sz="4" w:space="0"/>
        <w:right w:val="single" w:color="9DE1CF" w:themeColor="accent4" w:themeTint="99" w:sz="4" w:space="0"/>
        <w:insideH w:val="single" w:color="9DE1CF" w:themeColor="accent4" w:themeTint="99" w:sz="4" w:space="0"/>
        <w:insideV w:val="single" w:color="9DE1CF" w:themeColor="accent4" w:themeTint="99" w:sz="4" w:space="0"/>
      </w:tblBorders>
    </w:tblPr>
    <w:tblStylePr w:type="firstRow">
      <w:rPr>
        <w:b/>
        <w:bCs/>
        <w:color w:val="FFFFFF" w:themeColor="background1"/>
      </w:rPr>
      <w:tblPr/>
      <w:tcPr>
        <w:tcBorders>
          <w:top w:val="single" w:color="5DCEAF" w:themeColor="accent4" w:sz="4" w:space="0"/>
          <w:left w:val="single" w:color="5DCEAF" w:themeColor="accent4" w:sz="4" w:space="0"/>
          <w:bottom w:val="single" w:color="5DCEAF" w:themeColor="accent4" w:sz="4" w:space="0"/>
          <w:right w:val="single" w:color="5DCEAF" w:themeColor="accent4" w:sz="4" w:space="0"/>
          <w:insideH w:val="nil"/>
          <w:insideV w:val="nil"/>
        </w:tcBorders>
        <w:shd w:val="clear" w:color="auto" w:fill="5DCEAF" w:themeFill="accent4"/>
      </w:tcPr>
    </w:tblStylePr>
    <w:tblStylePr w:type="lastRow">
      <w:rPr>
        <w:b/>
        <w:bCs/>
      </w:rPr>
      <w:tblPr/>
      <w:tcPr>
        <w:tcBorders>
          <w:top w:val="double" w:color="5DCEAF" w:themeColor="accent4" w:sz="4" w:space="0"/>
        </w:tcBorders>
      </w:tcPr>
    </w:tblStylePr>
    <w:tblStylePr w:type="firstCol">
      <w:rPr>
        <w:b/>
        <w:bCs/>
      </w:rPr>
    </w:tblStylePr>
    <w:tblStylePr w:type="lastCol">
      <w:rPr>
        <w:b/>
        <w:bCs/>
      </w:rPr>
    </w:tblStylePr>
    <w:tblStylePr w:type="band1Vert">
      <w:tblPr/>
      <w:tcPr>
        <w:shd w:val="clear" w:color="auto" w:fill="DEF5EE" w:themeFill="accent4" w:themeFillTint="33"/>
      </w:tcPr>
    </w:tblStylePr>
    <w:tblStylePr w:type="band1Horz">
      <w:tblPr/>
      <w:tcPr>
        <w:shd w:val="clear" w:color="auto" w:fill="DEF5EE" w:themeFill="accent4" w:themeFillTint="33"/>
      </w:tcPr>
    </w:tblStylePr>
  </w:style>
  <w:style w:type="table" w:styleId="Tablaconcuadrcula5oscura">
    <w:name w:val="Grid Table 5 Dark"/>
    <w:basedOn w:val="Tablanormal"/>
    <w:uiPriority w:val="50"/>
    <w:rsid w:val="004201FA"/>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aconcuadrcula5oscura-nfasis3">
    <w:name w:val="Grid Table 5 Dark Accent 3"/>
    <w:basedOn w:val="Tablanormal"/>
    <w:uiPriority w:val="50"/>
    <w:rsid w:val="00251E54"/>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DFADC" w:themeFill="accent3"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7EA52" w:themeFill="accent3"/>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7EA52" w:themeFill="accent3"/>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A7EA52" w:themeFill="accent3"/>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A7EA52" w:themeFill="accent3"/>
      </w:tcPr>
    </w:tblStylePr>
    <w:tblStylePr w:type="band1Vert">
      <w:tblPr/>
      <w:tcPr>
        <w:shd w:val="clear" w:color="auto" w:fill="DBF6B9" w:themeFill="accent3" w:themeFillTint="66"/>
      </w:tcPr>
    </w:tblStylePr>
    <w:tblStylePr w:type="band1Horz">
      <w:tblPr/>
      <w:tcPr>
        <w:shd w:val="clear" w:color="auto" w:fill="DBF6B9" w:themeFill="accent3" w:themeFillTint="66"/>
      </w:tcPr>
    </w:tblStylePr>
  </w:style>
  <w:style w:type="table" w:styleId="Tablaconcuadrcula5oscura-nfasis4">
    <w:name w:val="Grid Table 5 Dark Accent 4"/>
    <w:basedOn w:val="Tablanormal"/>
    <w:uiPriority w:val="50"/>
    <w:rsid w:val="00251E54"/>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F5EE" w:themeFill="accent4"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DCEAF" w:themeFill="accent4"/>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DCEAF" w:themeFill="accent4"/>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5DCEAF" w:themeFill="accent4"/>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DCEAF" w:themeFill="accent4"/>
      </w:tcPr>
    </w:tblStylePr>
    <w:tblStylePr w:type="band1Vert">
      <w:tblPr/>
      <w:tcPr>
        <w:shd w:val="clear" w:color="auto" w:fill="BEEBDE" w:themeFill="accent4" w:themeFillTint="66"/>
      </w:tcPr>
    </w:tblStylePr>
    <w:tblStylePr w:type="band1Horz">
      <w:tblPr/>
      <w:tcPr>
        <w:shd w:val="clear" w:color="auto" w:fill="BEEBDE" w:themeFill="accent4" w:themeFillTint="66"/>
      </w:tcPr>
    </w:tblStylePr>
  </w:style>
  <w:style w:type="table" w:styleId="Tablaconcuadrcula1clara-nfasis3">
    <w:name w:val="Grid Table 1 Light Accent 3"/>
    <w:basedOn w:val="Tablanormal"/>
    <w:uiPriority w:val="46"/>
    <w:rsid w:val="00BC2D66"/>
    <w:tblPr>
      <w:tblStyleRowBandSize w:val="1"/>
      <w:tblStyleColBandSize w:val="1"/>
      <w:tblBorders>
        <w:top w:val="single" w:color="DBF6B9" w:themeColor="accent3" w:themeTint="66" w:sz="4" w:space="0"/>
        <w:left w:val="single" w:color="DBF6B9" w:themeColor="accent3" w:themeTint="66" w:sz="4" w:space="0"/>
        <w:bottom w:val="single" w:color="DBF6B9" w:themeColor="accent3" w:themeTint="66" w:sz="4" w:space="0"/>
        <w:right w:val="single" w:color="DBF6B9" w:themeColor="accent3" w:themeTint="66" w:sz="4" w:space="0"/>
        <w:insideH w:val="single" w:color="DBF6B9" w:themeColor="accent3" w:themeTint="66" w:sz="4" w:space="0"/>
        <w:insideV w:val="single" w:color="DBF6B9" w:themeColor="accent3" w:themeTint="66" w:sz="4" w:space="0"/>
      </w:tblBorders>
    </w:tblPr>
    <w:tblStylePr w:type="firstRow">
      <w:rPr>
        <w:b/>
        <w:bCs/>
      </w:rPr>
      <w:tblPr/>
      <w:tcPr>
        <w:tcBorders>
          <w:bottom w:val="single" w:color="C9F296" w:themeColor="accent3" w:themeTint="99" w:sz="12" w:space="0"/>
        </w:tcBorders>
      </w:tcPr>
    </w:tblStylePr>
    <w:tblStylePr w:type="lastRow">
      <w:rPr>
        <w:b/>
        <w:bCs/>
      </w:rPr>
      <w:tblPr/>
      <w:tcPr>
        <w:tcBorders>
          <w:top w:val="double" w:color="C9F296" w:themeColor="accent3" w:themeTint="99" w:sz="2" w:space="0"/>
        </w:tcBorders>
      </w:tcPr>
    </w:tblStylePr>
    <w:tblStylePr w:type="firstCol">
      <w:rPr>
        <w:b/>
        <w:bCs/>
      </w:rPr>
    </w:tblStylePr>
    <w:tblStylePr w:type="lastCol">
      <w:rPr>
        <w:b/>
        <w:bCs/>
      </w:rPr>
    </w:tblStylePr>
  </w:style>
  <w:style w:type="character" w:styleId="Nmerodelnea">
    <w:name w:val="line number"/>
    <w:basedOn w:val="Fuentedeprrafopredeter"/>
    <w:uiPriority w:val="99"/>
    <w:semiHidden/>
    <w:unhideWhenUsed/>
    <w:rsid w:val="001813F4"/>
  </w:style>
  <w:style w:type="character" w:styleId="Mencinsinresolver">
    <w:name w:val="Unresolved Mention"/>
    <w:basedOn w:val="Fuentedeprrafopredeter"/>
    <w:uiPriority w:val="99"/>
    <w:semiHidden/>
    <w:unhideWhenUsed/>
    <w:rsid w:val="005E3BD6"/>
    <w:rPr>
      <w:color w:val="605E5C"/>
      <w:shd w:val="clear" w:color="auto" w:fill="E1DFDD"/>
    </w:rPr>
  </w:style>
  <w:style w:type="paragraph" w:styleId="paragraph" w:customStyle="1">
    <w:name w:val="paragraph"/>
    <w:basedOn w:val="Normal"/>
    <w:rsid w:val="005E3BD6"/>
    <w:pPr>
      <w:spacing w:before="100" w:beforeAutospacing="1" w:after="100" w:afterAutospacing="1"/>
    </w:pPr>
    <w:rPr>
      <w:lang w:eastAsia="es-ES_tradnl"/>
    </w:rPr>
  </w:style>
  <w:style w:type="paragraph" w:styleId="Vietas" w:customStyle="1">
    <w:name w:val="Viñetas"/>
    <w:basedOn w:val="Prrafodelista"/>
    <w:link w:val="VietasCar"/>
    <w:autoRedefine/>
    <w:qFormat/>
    <w:rsid w:val="00E233CD"/>
    <w:pPr>
      <w:spacing w:after="160" w:line="276" w:lineRule="auto"/>
      <w:jc w:val="both"/>
    </w:pPr>
    <w:rPr>
      <w:rFonts w:ascii="Nunito Sans" w:hAnsi="Nunito Sans" w:cs="Titillium Web" w:eastAsiaTheme="minorHAnsi"/>
      <w:color w:val="000000"/>
      <w:sz w:val="22"/>
      <w:szCs w:val="22"/>
      <w:lang w:eastAsia="en-US"/>
    </w:rPr>
  </w:style>
  <w:style w:type="character" w:styleId="VietasCar" w:customStyle="1">
    <w:name w:val="Viñetas Car"/>
    <w:basedOn w:val="DefaultCar"/>
    <w:link w:val="Vietas"/>
    <w:rsid w:val="00E233CD"/>
    <w:rPr>
      <w:rFonts w:ascii="Nunito Sans" w:hAnsi="Nunito Sans" w:cs="Titillium Web"/>
      <w:color w:val="000000"/>
      <w:sz w:val="22"/>
      <w:szCs w:val="22"/>
      <w:lang w:val="es-CO"/>
    </w:rPr>
  </w:style>
  <w:style w:type="paragraph" w:styleId="Textonotaalfinal">
    <w:name w:val="endnote text"/>
    <w:basedOn w:val="Normal"/>
    <w:link w:val="TextonotaalfinalCar"/>
    <w:uiPriority w:val="99"/>
    <w:semiHidden/>
    <w:unhideWhenUsed/>
    <w:rsid w:val="00BD642B"/>
    <w:rPr>
      <w:sz w:val="20"/>
      <w:szCs w:val="20"/>
    </w:rPr>
  </w:style>
  <w:style w:type="character" w:styleId="TextonotaalfinalCar" w:customStyle="1">
    <w:name w:val="Texto nota al final Car"/>
    <w:basedOn w:val="Fuentedeprrafopredeter"/>
    <w:link w:val="Textonotaalfinal"/>
    <w:uiPriority w:val="99"/>
    <w:semiHidden/>
    <w:rsid w:val="00BD642B"/>
    <w:rPr>
      <w:rFonts w:ascii="Times New Roman" w:hAnsi="Times New Roman" w:eastAsia="Times New Roman" w:cs="Times New Roman"/>
      <w:sz w:val="20"/>
      <w:szCs w:val="20"/>
      <w:lang w:val="es-CO" w:eastAsia="es-CO"/>
    </w:rPr>
  </w:style>
  <w:style w:type="character" w:styleId="Refdenotaalfinal">
    <w:name w:val="endnote reference"/>
    <w:basedOn w:val="Fuentedeprrafopredeter"/>
    <w:uiPriority w:val="99"/>
    <w:semiHidden/>
    <w:unhideWhenUsed/>
    <w:rsid w:val="00BD642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9362683">
      <w:bodyDiv w:val="1"/>
      <w:marLeft w:val="0"/>
      <w:marRight w:val="0"/>
      <w:marTop w:val="0"/>
      <w:marBottom w:val="0"/>
      <w:divBdr>
        <w:top w:val="none" w:sz="0" w:space="0" w:color="auto"/>
        <w:left w:val="none" w:sz="0" w:space="0" w:color="auto"/>
        <w:bottom w:val="none" w:sz="0" w:space="0" w:color="auto"/>
        <w:right w:val="none" w:sz="0" w:space="0" w:color="auto"/>
      </w:divBdr>
      <w:divsChild>
        <w:div w:id="407308654">
          <w:marLeft w:val="0"/>
          <w:marRight w:val="0"/>
          <w:marTop w:val="0"/>
          <w:marBottom w:val="0"/>
          <w:divBdr>
            <w:top w:val="none" w:sz="0" w:space="0" w:color="auto"/>
            <w:left w:val="none" w:sz="0" w:space="0" w:color="auto"/>
            <w:bottom w:val="none" w:sz="0" w:space="0" w:color="auto"/>
            <w:right w:val="none" w:sz="0" w:space="0" w:color="auto"/>
          </w:divBdr>
          <w:divsChild>
            <w:div w:id="2090080398">
              <w:marLeft w:val="0"/>
              <w:marRight w:val="0"/>
              <w:marTop w:val="0"/>
              <w:marBottom w:val="0"/>
              <w:divBdr>
                <w:top w:val="none" w:sz="0" w:space="0" w:color="auto"/>
                <w:left w:val="none" w:sz="0" w:space="0" w:color="auto"/>
                <w:bottom w:val="none" w:sz="0" w:space="0" w:color="auto"/>
                <w:right w:val="none" w:sz="0" w:space="0" w:color="auto"/>
              </w:divBdr>
              <w:divsChild>
                <w:div w:id="349844780">
                  <w:marLeft w:val="0"/>
                  <w:marRight w:val="0"/>
                  <w:marTop w:val="0"/>
                  <w:marBottom w:val="0"/>
                  <w:divBdr>
                    <w:top w:val="none" w:sz="0" w:space="0" w:color="auto"/>
                    <w:left w:val="none" w:sz="0" w:space="0" w:color="auto"/>
                    <w:bottom w:val="single" w:sz="2" w:space="0" w:color="068C69"/>
                    <w:right w:val="none" w:sz="0" w:space="0" w:color="auto"/>
                  </w:divBdr>
                  <w:divsChild>
                    <w:div w:id="822115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2460450">
          <w:marLeft w:val="0"/>
          <w:marRight w:val="0"/>
          <w:marTop w:val="0"/>
          <w:marBottom w:val="0"/>
          <w:divBdr>
            <w:top w:val="single" w:sz="48" w:space="0" w:color="FFFFFF"/>
            <w:left w:val="none" w:sz="0" w:space="0" w:color="auto"/>
            <w:bottom w:val="single" w:sz="48" w:space="0" w:color="EDB600"/>
            <w:right w:val="none" w:sz="0" w:space="0" w:color="auto"/>
          </w:divBdr>
          <w:divsChild>
            <w:div w:id="738403819">
              <w:marLeft w:val="0"/>
              <w:marRight w:val="0"/>
              <w:marTop w:val="0"/>
              <w:marBottom w:val="0"/>
              <w:divBdr>
                <w:top w:val="single" w:sz="12" w:space="0" w:color="E5EEFB"/>
                <w:left w:val="single" w:sz="12" w:space="9" w:color="E5EEFB"/>
                <w:bottom w:val="single" w:sz="12" w:space="0" w:color="E5EEFB"/>
                <w:right w:val="single" w:sz="12" w:space="9" w:color="E5EEFB"/>
              </w:divBdr>
              <w:divsChild>
                <w:div w:id="1298730276">
                  <w:marLeft w:val="0"/>
                  <w:marRight w:val="0"/>
                  <w:marTop w:val="0"/>
                  <w:marBottom w:val="0"/>
                  <w:divBdr>
                    <w:top w:val="none" w:sz="0" w:space="0" w:color="auto"/>
                    <w:left w:val="none" w:sz="0" w:space="0" w:color="auto"/>
                    <w:bottom w:val="none" w:sz="0" w:space="0" w:color="auto"/>
                    <w:right w:val="none" w:sz="0" w:space="0" w:color="auto"/>
                  </w:divBdr>
                  <w:divsChild>
                    <w:div w:id="1527212261">
                      <w:marLeft w:val="0"/>
                      <w:marRight w:val="0"/>
                      <w:marTop w:val="0"/>
                      <w:marBottom w:val="0"/>
                      <w:divBdr>
                        <w:top w:val="none" w:sz="0" w:space="0" w:color="auto"/>
                        <w:left w:val="none" w:sz="0" w:space="0" w:color="auto"/>
                        <w:bottom w:val="none" w:sz="0" w:space="0" w:color="auto"/>
                        <w:right w:val="none" w:sz="0" w:space="0" w:color="auto"/>
                      </w:divBdr>
                      <w:divsChild>
                        <w:div w:id="1561558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78707">
      <w:bodyDiv w:val="1"/>
      <w:marLeft w:val="0"/>
      <w:marRight w:val="0"/>
      <w:marTop w:val="0"/>
      <w:marBottom w:val="0"/>
      <w:divBdr>
        <w:top w:val="none" w:sz="0" w:space="0" w:color="auto"/>
        <w:left w:val="none" w:sz="0" w:space="0" w:color="auto"/>
        <w:bottom w:val="none" w:sz="0" w:space="0" w:color="auto"/>
        <w:right w:val="none" w:sz="0" w:space="0" w:color="auto"/>
      </w:divBdr>
      <w:divsChild>
        <w:div w:id="626662161">
          <w:marLeft w:val="0"/>
          <w:marRight w:val="0"/>
          <w:marTop w:val="0"/>
          <w:marBottom w:val="0"/>
          <w:divBdr>
            <w:top w:val="none" w:sz="0" w:space="0" w:color="auto"/>
            <w:left w:val="none" w:sz="0" w:space="0" w:color="auto"/>
            <w:bottom w:val="none" w:sz="0" w:space="0" w:color="auto"/>
            <w:right w:val="none" w:sz="0" w:space="0" w:color="auto"/>
          </w:divBdr>
          <w:divsChild>
            <w:div w:id="1294672686">
              <w:marLeft w:val="0"/>
              <w:marRight w:val="0"/>
              <w:marTop w:val="0"/>
              <w:marBottom w:val="0"/>
              <w:divBdr>
                <w:top w:val="none" w:sz="0" w:space="0" w:color="auto"/>
                <w:left w:val="none" w:sz="0" w:space="0" w:color="auto"/>
                <w:bottom w:val="none" w:sz="0" w:space="0" w:color="auto"/>
                <w:right w:val="none" w:sz="0" w:space="0" w:color="auto"/>
              </w:divBdr>
              <w:divsChild>
                <w:div w:id="540173988">
                  <w:marLeft w:val="0"/>
                  <w:marRight w:val="0"/>
                  <w:marTop w:val="375"/>
                  <w:marBottom w:val="0"/>
                  <w:divBdr>
                    <w:top w:val="none" w:sz="0" w:space="0" w:color="auto"/>
                    <w:left w:val="none" w:sz="0" w:space="0" w:color="auto"/>
                    <w:bottom w:val="single" w:sz="2" w:space="0" w:color="068C69"/>
                    <w:right w:val="none" w:sz="0" w:space="0" w:color="auto"/>
                  </w:divBdr>
                  <w:divsChild>
                    <w:div w:id="451050739">
                      <w:marLeft w:val="0"/>
                      <w:marRight w:val="0"/>
                      <w:marTop w:val="0"/>
                      <w:marBottom w:val="0"/>
                      <w:divBdr>
                        <w:top w:val="none" w:sz="0" w:space="0" w:color="auto"/>
                        <w:left w:val="none" w:sz="0" w:space="0" w:color="auto"/>
                        <w:bottom w:val="none" w:sz="0" w:space="0" w:color="auto"/>
                        <w:right w:val="none" w:sz="0" w:space="0" w:color="auto"/>
                      </w:divBdr>
                      <w:divsChild>
                        <w:div w:id="471674287">
                          <w:marLeft w:val="0"/>
                          <w:marRight w:val="0"/>
                          <w:marTop w:val="0"/>
                          <w:marBottom w:val="0"/>
                          <w:divBdr>
                            <w:top w:val="none" w:sz="0" w:space="0" w:color="auto"/>
                            <w:left w:val="none" w:sz="0" w:space="0" w:color="auto"/>
                            <w:bottom w:val="none" w:sz="0" w:space="0" w:color="auto"/>
                            <w:right w:val="none" w:sz="0" w:space="0" w:color="auto"/>
                          </w:divBdr>
                          <w:divsChild>
                            <w:div w:id="1819616760">
                              <w:marLeft w:val="0"/>
                              <w:marRight w:val="0"/>
                              <w:marTop w:val="0"/>
                              <w:marBottom w:val="0"/>
                              <w:divBdr>
                                <w:top w:val="none" w:sz="0" w:space="0" w:color="auto"/>
                                <w:left w:val="none" w:sz="0" w:space="0" w:color="auto"/>
                                <w:bottom w:val="none" w:sz="0" w:space="0" w:color="auto"/>
                                <w:right w:val="none" w:sz="0" w:space="0" w:color="auto"/>
                              </w:divBdr>
                              <w:divsChild>
                                <w:div w:id="1936741688">
                                  <w:marLeft w:val="0"/>
                                  <w:marRight w:val="0"/>
                                  <w:marTop w:val="0"/>
                                  <w:marBottom w:val="0"/>
                                  <w:divBdr>
                                    <w:top w:val="none" w:sz="0" w:space="0" w:color="auto"/>
                                    <w:left w:val="none" w:sz="0" w:space="0" w:color="auto"/>
                                    <w:bottom w:val="single" w:sz="2" w:space="0" w:color="068C69"/>
                                    <w:right w:val="none" w:sz="0" w:space="0" w:color="auto"/>
                                  </w:divBdr>
                                </w:div>
                              </w:divsChild>
                            </w:div>
                          </w:divsChild>
                        </w:div>
                      </w:divsChild>
                    </w:div>
                  </w:divsChild>
                </w:div>
              </w:divsChild>
            </w:div>
          </w:divsChild>
        </w:div>
        <w:div w:id="1424492464">
          <w:marLeft w:val="0"/>
          <w:marRight w:val="0"/>
          <w:marTop w:val="0"/>
          <w:marBottom w:val="0"/>
          <w:divBdr>
            <w:top w:val="single" w:sz="48" w:space="0" w:color="FFFFFF"/>
            <w:left w:val="none" w:sz="0" w:space="0" w:color="auto"/>
            <w:bottom w:val="single" w:sz="48" w:space="0" w:color="EDB600"/>
            <w:right w:val="none" w:sz="0" w:space="0" w:color="auto"/>
          </w:divBdr>
          <w:divsChild>
            <w:div w:id="549459314">
              <w:marLeft w:val="0"/>
              <w:marRight w:val="0"/>
              <w:marTop w:val="0"/>
              <w:marBottom w:val="0"/>
              <w:divBdr>
                <w:top w:val="single" w:sz="12" w:space="0" w:color="E5EEFB"/>
                <w:left w:val="single" w:sz="12" w:space="9" w:color="E5EEFB"/>
                <w:bottom w:val="single" w:sz="12" w:space="0" w:color="E5EEFB"/>
                <w:right w:val="single" w:sz="12" w:space="9" w:color="E5EEFB"/>
              </w:divBdr>
              <w:divsChild>
                <w:div w:id="1603879054">
                  <w:marLeft w:val="0"/>
                  <w:marRight w:val="0"/>
                  <w:marTop w:val="0"/>
                  <w:marBottom w:val="0"/>
                  <w:divBdr>
                    <w:top w:val="none" w:sz="0" w:space="0" w:color="auto"/>
                    <w:left w:val="none" w:sz="0" w:space="0" w:color="auto"/>
                    <w:bottom w:val="none" w:sz="0" w:space="0" w:color="auto"/>
                    <w:right w:val="none" w:sz="0" w:space="0" w:color="auto"/>
                  </w:divBdr>
                  <w:divsChild>
                    <w:div w:id="2121677337">
                      <w:marLeft w:val="0"/>
                      <w:marRight w:val="0"/>
                      <w:marTop w:val="0"/>
                      <w:marBottom w:val="0"/>
                      <w:divBdr>
                        <w:top w:val="none" w:sz="0" w:space="0" w:color="auto"/>
                        <w:left w:val="none" w:sz="0" w:space="0" w:color="auto"/>
                        <w:bottom w:val="none" w:sz="0" w:space="0" w:color="auto"/>
                        <w:right w:val="none" w:sz="0" w:space="0" w:color="auto"/>
                      </w:divBdr>
                      <w:divsChild>
                        <w:div w:id="1613249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813412">
      <w:bodyDiv w:val="1"/>
      <w:marLeft w:val="0"/>
      <w:marRight w:val="0"/>
      <w:marTop w:val="0"/>
      <w:marBottom w:val="0"/>
      <w:divBdr>
        <w:top w:val="none" w:sz="0" w:space="0" w:color="auto"/>
        <w:left w:val="none" w:sz="0" w:space="0" w:color="auto"/>
        <w:bottom w:val="none" w:sz="0" w:space="0" w:color="auto"/>
        <w:right w:val="none" w:sz="0" w:space="0" w:color="auto"/>
      </w:divBdr>
      <w:divsChild>
        <w:div w:id="1199122985">
          <w:marLeft w:val="0"/>
          <w:marRight w:val="0"/>
          <w:marTop w:val="0"/>
          <w:marBottom w:val="0"/>
          <w:divBdr>
            <w:top w:val="single" w:sz="48" w:space="0" w:color="FFFFFF"/>
            <w:left w:val="none" w:sz="0" w:space="0" w:color="auto"/>
            <w:bottom w:val="single" w:sz="48" w:space="0" w:color="EDB600"/>
            <w:right w:val="none" w:sz="0" w:space="0" w:color="auto"/>
          </w:divBdr>
          <w:divsChild>
            <w:div w:id="926888445">
              <w:marLeft w:val="0"/>
              <w:marRight w:val="0"/>
              <w:marTop w:val="0"/>
              <w:marBottom w:val="0"/>
              <w:divBdr>
                <w:top w:val="single" w:sz="12" w:space="0" w:color="E5EEFB"/>
                <w:left w:val="single" w:sz="12" w:space="9" w:color="E5EEFB"/>
                <w:bottom w:val="single" w:sz="12" w:space="0" w:color="E5EEFB"/>
                <w:right w:val="single" w:sz="12" w:space="9" w:color="E5EEFB"/>
              </w:divBdr>
              <w:divsChild>
                <w:div w:id="139688419">
                  <w:marLeft w:val="0"/>
                  <w:marRight w:val="0"/>
                  <w:marTop w:val="0"/>
                  <w:marBottom w:val="0"/>
                  <w:divBdr>
                    <w:top w:val="none" w:sz="0" w:space="0" w:color="auto"/>
                    <w:left w:val="none" w:sz="0" w:space="0" w:color="auto"/>
                    <w:bottom w:val="none" w:sz="0" w:space="0" w:color="auto"/>
                    <w:right w:val="none" w:sz="0" w:space="0" w:color="auto"/>
                  </w:divBdr>
                  <w:divsChild>
                    <w:div w:id="579755618">
                      <w:marLeft w:val="0"/>
                      <w:marRight w:val="0"/>
                      <w:marTop w:val="0"/>
                      <w:marBottom w:val="0"/>
                      <w:divBdr>
                        <w:top w:val="none" w:sz="0" w:space="0" w:color="auto"/>
                        <w:left w:val="none" w:sz="0" w:space="0" w:color="auto"/>
                        <w:bottom w:val="none" w:sz="0" w:space="0" w:color="auto"/>
                        <w:right w:val="none" w:sz="0" w:space="0" w:color="auto"/>
                      </w:divBdr>
                      <w:divsChild>
                        <w:div w:id="1128626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8881749">
          <w:marLeft w:val="0"/>
          <w:marRight w:val="0"/>
          <w:marTop w:val="0"/>
          <w:marBottom w:val="0"/>
          <w:divBdr>
            <w:top w:val="none" w:sz="0" w:space="0" w:color="auto"/>
            <w:left w:val="none" w:sz="0" w:space="0" w:color="auto"/>
            <w:bottom w:val="none" w:sz="0" w:space="0" w:color="auto"/>
            <w:right w:val="none" w:sz="0" w:space="0" w:color="auto"/>
          </w:divBdr>
          <w:divsChild>
            <w:div w:id="934633134">
              <w:marLeft w:val="0"/>
              <w:marRight w:val="0"/>
              <w:marTop w:val="0"/>
              <w:marBottom w:val="0"/>
              <w:divBdr>
                <w:top w:val="none" w:sz="0" w:space="0" w:color="auto"/>
                <w:left w:val="none" w:sz="0" w:space="0" w:color="auto"/>
                <w:bottom w:val="none" w:sz="0" w:space="0" w:color="auto"/>
                <w:right w:val="none" w:sz="0" w:space="0" w:color="auto"/>
              </w:divBdr>
              <w:divsChild>
                <w:div w:id="1223639623">
                  <w:marLeft w:val="0"/>
                  <w:marRight w:val="0"/>
                  <w:marTop w:val="0"/>
                  <w:marBottom w:val="0"/>
                  <w:divBdr>
                    <w:top w:val="none" w:sz="0" w:space="0" w:color="auto"/>
                    <w:left w:val="none" w:sz="0" w:space="0" w:color="auto"/>
                    <w:bottom w:val="single" w:sz="2" w:space="0" w:color="068C69"/>
                    <w:right w:val="none" w:sz="0" w:space="0" w:color="auto"/>
                  </w:divBdr>
                  <w:divsChild>
                    <w:div w:id="1275790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307781">
      <w:bodyDiv w:val="1"/>
      <w:marLeft w:val="0"/>
      <w:marRight w:val="0"/>
      <w:marTop w:val="0"/>
      <w:marBottom w:val="0"/>
      <w:divBdr>
        <w:top w:val="none" w:sz="0" w:space="0" w:color="auto"/>
        <w:left w:val="none" w:sz="0" w:space="0" w:color="auto"/>
        <w:bottom w:val="none" w:sz="0" w:space="0" w:color="auto"/>
        <w:right w:val="none" w:sz="0" w:space="0" w:color="auto"/>
      </w:divBdr>
    </w:div>
    <w:div w:id="109518789">
      <w:bodyDiv w:val="1"/>
      <w:marLeft w:val="0"/>
      <w:marRight w:val="0"/>
      <w:marTop w:val="0"/>
      <w:marBottom w:val="0"/>
      <w:divBdr>
        <w:top w:val="none" w:sz="0" w:space="0" w:color="auto"/>
        <w:left w:val="none" w:sz="0" w:space="0" w:color="auto"/>
        <w:bottom w:val="none" w:sz="0" w:space="0" w:color="auto"/>
        <w:right w:val="none" w:sz="0" w:space="0" w:color="auto"/>
      </w:divBdr>
    </w:div>
    <w:div w:id="122162824">
      <w:bodyDiv w:val="1"/>
      <w:marLeft w:val="0"/>
      <w:marRight w:val="0"/>
      <w:marTop w:val="0"/>
      <w:marBottom w:val="0"/>
      <w:divBdr>
        <w:top w:val="none" w:sz="0" w:space="0" w:color="auto"/>
        <w:left w:val="none" w:sz="0" w:space="0" w:color="auto"/>
        <w:bottom w:val="none" w:sz="0" w:space="0" w:color="auto"/>
        <w:right w:val="none" w:sz="0" w:space="0" w:color="auto"/>
      </w:divBdr>
    </w:div>
    <w:div w:id="134300466">
      <w:bodyDiv w:val="1"/>
      <w:marLeft w:val="0"/>
      <w:marRight w:val="0"/>
      <w:marTop w:val="0"/>
      <w:marBottom w:val="0"/>
      <w:divBdr>
        <w:top w:val="none" w:sz="0" w:space="0" w:color="auto"/>
        <w:left w:val="none" w:sz="0" w:space="0" w:color="auto"/>
        <w:bottom w:val="none" w:sz="0" w:space="0" w:color="auto"/>
        <w:right w:val="none" w:sz="0" w:space="0" w:color="auto"/>
      </w:divBdr>
    </w:div>
    <w:div w:id="156506963">
      <w:bodyDiv w:val="1"/>
      <w:marLeft w:val="0"/>
      <w:marRight w:val="0"/>
      <w:marTop w:val="0"/>
      <w:marBottom w:val="0"/>
      <w:divBdr>
        <w:top w:val="none" w:sz="0" w:space="0" w:color="auto"/>
        <w:left w:val="none" w:sz="0" w:space="0" w:color="auto"/>
        <w:bottom w:val="none" w:sz="0" w:space="0" w:color="auto"/>
        <w:right w:val="none" w:sz="0" w:space="0" w:color="auto"/>
      </w:divBdr>
    </w:div>
    <w:div w:id="164905124">
      <w:bodyDiv w:val="1"/>
      <w:marLeft w:val="0"/>
      <w:marRight w:val="0"/>
      <w:marTop w:val="0"/>
      <w:marBottom w:val="0"/>
      <w:divBdr>
        <w:top w:val="none" w:sz="0" w:space="0" w:color="auto"/>
        <w:left w:val="none" w:sz="0" w:space="0" w:color="auto"/>
        <w:bottom w:val="none" w:sz="0" w:space="0" w:color="auto"/>
        <w:right w:val="none" w:sz="0" w:space="0" w:color="auto"/>
      </w:divBdr>
      <w:divsChild>
        <w:div w:id="398793065">
          <w:marLeft w:val="0"/>
          <w:marRight w:val="0"/>
          <w:marTop w:val="0"/>
          <w:marBottom w:val="0"/>
          <w:divBdr>
            <w:top w:val="none" w:sz="0" w:space="0" w:color="auto"/>
            <w:left w:val="none" w:sz="0" w:space="0" w:color="auto"/>
            <w:bottom w:val="none" w:sz="0" w:space="0" w:color="auto"/>
            <w:right w:val="none" w:sz="0" w:space="0" w:color="auto"/>
          </w:divBdr>
          <w:divsChild>
            <w:div w:id="622345841">
              <w:marLeft w:val="0"/>
              <w:marRight w:val="0"/>
              <w:marTop w:val="0"/>
              <w:marBottom w:val="0"/>
              <w:divBdr>
                <w:top w:val="none" w:sz="0" w:space="0" w:color="auto"/>
                <w:left w:val="none" w:sz="0" w:space="0" w:color="auto"/>
                <w:bottom w:val="none" w:sz="0" w:space="0" w:color="auto"/>
                <w:right w:val="none" w:sz="0" w:space="0" w:color="auto"/>
              </w:divBdr>
            </w:div>
          </w:divsChild>
        </w:div>
        <w:div w:id="1053234845">
          <w:marLeft w:val="0"/>
          <w:marRight w:val="0"/>
          <w:marTop w:val="0"/>
          <w:marBottom w:val="0"/>
          <w:divBdr>
            <w:top w:val="none" w:sz="0" w:space="0" w:color="auto"/>
            <w:left w:val="none" w:sz="0" w:space="0" w:color="auto"/>
            <w:bottom w:val="none" w:sz="0" w:space="0" w:color="auto"/>
            <w:right w:val="none" w:sz="0" w:space="0" w:color="auto"/>
          </w:divBdr>
          <w:divsChild>
            <w:div w:id="531386805">
              <w:marLeft w:val="0"/>
              <w:marRight w:val="0"/>
              <w:marTop w:val="0"/>
              <w:marBottom w:val="0"/>
              <w:divBdr>
                <w:top w:val="none" w:sz="0" w:space="0" w:color="auto"/>
                <w:left w:val="none" w:sz="0" w:space="0" w:color="auto"/>
                <w:bottom w:val="none" w:sz="0" w:space="0" w:color="auto"/>
                <w:right w:val="none" w:sz="0" w:space="0" w:color="auto"/>
              </w:divBdr>
            </w:div>
          </w:divsChild>
        </w:div>
        <w:div w:id="1095248376">
          <w:marLeft w:val="0"/>
          <w:marRight w:val="0"/>
          <w:marTop w:val="0"/>
          <w:marBottom w:val="0"/>
          <w:divBdr>
            <w:top w:val="none" w:sz="0" w:space="0" w:color="auto"/>
            <w:left w:val="none" w:sz="0" w:space="0" w:color="auto"/>
            <w:bottom w:val="none" w:sz="0" w:space="0" w:color="auto"/>
            <w:right w:val="none" w:sz="0" w:space="0" w:color="auto"/>
          </w:divBdr>
          <w:divsChild>
            <w:div w:id="1505432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16974">
      <w:bodyDiv w:val="1"/>
      <w:marLeft w:val="0"/>
      <w:marRight w:val="0"/>
      <w:marTop w:val="0"/>
      <w:marBottom w:val="0"/>
      <w:divBdr>
        <w:top w:val="none" w:sz="0" w:space="0" w:color="auto"/>
        <w:left w:val="none" w:sz="0" w:space="0" w:color="auto"/>
        <w:bottom w:val="none" w:sz="0" w:space="0" w:color="auto"/>
        <w:right w:val="none" w:sz="0" w:space="0" w:color="auto"/>
      </w:divBdr>
    </w:div>
    <w:div w:id="186255345">
      <w:bodyDiv w:val="1"/>
      <w:marLeft w:val="0"/>
      <w:marRight w:val="0"/>
      <w:marTop w:val="0"/>
      <w:marBottom w:val="0"/>
      <w:divBdr>
        <w:top w:val="none" w:sz="0" w:space="0" w:color="auto"/>
        <w:left w:val="none" w:sz="0" w:space="0" w:color="auto"/>
        <w:bottom w:val="none" w:sz="0" w:space="0" w:color="auto"/>
        <w:right w:val="none" w:sz="0" w:space="0" w:color="auto"/>
      </w:divBdr>
    </w:div>
    <w:div w:id="197549874">
      <w:bodyDiv w:val="1"/>
      <w:marLeft w:val="0"/>
      <w:marRight w:val="0"/>
      <w:marTop w:val="0"/>
      <w:marBottom w:val="0"/>
      <w:divBdr>
        <w:top w:val="none" w:sz="0" w:space="0" w:color="auto"/>
        <w:left w:val="none" w:sz="0" w:space="0" w:color="auto"/>
        <w:bottom w:val="none" w:sz="0" w:space="0" w:color="auto"/>
        <w:right w:val="none" w:sz="0" w:space="0" w:color="auto"/>
      </w:divBdr>
      <w:divsChild>
        <w:div w:id="1403874519">
          <w:marLeft w:val="-180"/>
          <w:marRight w:val="-180"/>
          <w:marTop w:val="0"/>
          <w:marBottom w:val="0"/>
          <w:divBdr>
            <w:top w:val="none" w:sz="0" w:space="0" w:color="auto"/>
            <w:left w:val="none" w:sz="0" w:space="0" w:color="auto"/>
            <w:bottom w:val="none" w:sz="0" w:space="0" w:color="auto"/>
            <w:right w:val="none" w:sz="0" w:space="0" w:color="auto"/>
          </w:divBdr>
          <w:divsChild>
            <w:div w:id="621618788">
              <w:marLeft w:val="0"/>
              <w:marRight w:val="0"/>
              <w:marTop w:val="0"/>
              <w:marBottom w:val="0"/>
              <w:divBdr>
                <w:top w:val="none" w:sz="0" w:space="0" w:color="auto"/>
                <w:left w:val="none" w:sz="0" w:space="0" w:color="auto"/>
                <w:bottom w:val="none" w:sz="0" w:space="0" w:color="auto"/>
                <w:right w:val="none" w:sz="0" w:space="0" w:color="auto"/>
              </w:divBdr>
            </w:div>
            <w:div w:id="140066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76756">
      <w:bodyDiv w:val="1"/>
      <w:marLeft w:val="0"/>
      <w:marRight w:val="0"/>
      <w:marTop w:val="0"/>
      <w:marBottom w:val="0"/>
      <w:divBdr>
        <w:top w:val="none" w:sz="0" w:space="0" w:color="auto"/>
        <w:left w:val="none" w:sz="0" w:space="0" w:color="auto"/>
        <w:bottom w:val="none" w:sz="0" w:space="0" w:color="auto"/>
        <w:right w:val="none" w:sz="0" w:space="0" w:color="auto"/>
      </w:divBdr>
    </w:div>
    <w:div w:id="226840607">
      <w:bodyDiv w:val="1"/>
      <w:marLeft w:val="0"/>
      <w:marRight w:val="0"/>
      <w:marTop w:val="0"/>
      <w:marBottom w:val="0"/>
      <w:divBdr>
        <w:top w:val="none" w:sz="0" w:space="0" w:color="auto"/>
        <w:left w:val="none" w:sz="0" w:space="0" w:color="auto"/>
        <w:bottom w:val="none" w:sz="0" w:space="0" w:color="auto"/>
        <w:right w:val="none" w:sz="0" w:space="0" w:color="auto"/>
      </w:divBdr>
    </w:div>
    <w:div w:id="226914267">
      <w:bodyDiv w:val="1"/>
      <w:marLeft w:val="0"/>
      <w:marRight w:val="0"/>
      <w:marTop w:val="0"/>
      <w:marBottom w:val="0"/>
      <w:divBdr>
        <w:top w:val="none" w:sz="0" w:space="0" w:color="auto"/>
        <w:left w:val="none" w:sz="0" w:space="0" w:color="auto"/>
        <w:bottom w:val="none" w:sz="0" w:space="0" w:color="auto"/>
        <w:right w:val="none" w:sz="0" w:space="0" w:color="auto"/>
      </w:divBdr>
      <w:divsChild>
        <w:div w:id="1483931966">
          <w:marLeft w:val="0"/>
          <w:marRight w:val="0"/>
          <w:marTop w:val="0"/>
          <w:marBottom w:val="0"/>
          <w:divBdr>
            <w:top w:val="none" w:sz="0" w:space="0" w:color="auto"/>
            <w:left w:val="none" w:sz="0" w:space="0" w:color="auto"/>
            <w:bottom w:val="none" w:sz="0" w:space="0" w:color="auto"/>
            <w:right w:val="none" w:sz="0" w:space="0" w:color="auto"/>
          </w:divBdr>
          <w:divsChild>
            <w:div w:id="930435066">
              <w:marLeft w:val="0"/>
              <w:marRight w:val="0"/>
              <w:marTop w:val="0"/>
              <w:marBottom w:val="0"/>
              <w:divBdr>
                <w:top w:val="none" w:sz="0" w:space="0" w:color="auto"/>
                <w:left w:val="none" w:sz="0" w:space="0" w:color="auto"/>
                <w:bottom w:val="none" w:sz="0" w:space="0" w:color="auto"/>
                <w:right w:val="none" w:sz="0" w:space="0" w:color="auto"/>
              </w:divBdr>
              <w:divsChild>
                <w:div w:id="1813327463">
                  <w:marLeft w:val="0"/>
                  <w:marRight w:val="0"/>
                  <w:marTop w:val="375"/>
                  <w:marBottom w:val="0"/>
                  <w:divBdr>
                    <w:top w:val="none" w:sz="0" w:space="0" w:color="auto"/>
                    <w:left w:val="none" w:sz="0" w:space="0" w:color="auto"/>
                    <w:bottom w:val="single" w:sz="2" w:space="0" w:color="068C69"/>
                    <w:right w:val="none" w:sz="0" w:space="0" w:color="auto"/>
                  </w:divBdr>
                  <w:divsChild>
                    <w:div w:id="1993409322">
                      <w:marLeft w:val="0"/>
                      <w:marRight w:val="0"/>
                      <w:marTop w:val="0"/>
                      <w:marBottom w:val="0"/>
                      <w:divBdr>
                        <w:top w:val="none" w:sz="0" w:space="0" w:color="auto"/>
                        <w:left w:val="none" w:sz="0" w:space="0" w:color="auto"/>
                        <w:bottom w:val="none" w:sz="0" w:space="0" w:color="auto"/>
                        <w:right w:val="none" w:sz="0" w:space="0" w:color="auto"/>
                      </w:divBdr>
                      <w:divsChild>
                        <w:div w:id="2105956955">
                          <w:marLeft w:val="0"/>
                          <w:marRight w:val="0"/>
                          <w:marTop w:val="0"/>
                          <w:marBottom w:val="0"/>
                          <w:divBdr>
                            <w:top w:val="none" w:sz="0" w:space="0" w:color="auto"/>
                            <w:left w:val="none" w:sz="0" w:space="0" w:color="auto"/>
                            <w:bottom w:val="none" w:sz="0" w:space="0" w:color="auto"/>
                            <w:right w:val="none" w:sz="0" w:space="0" w:color="auto"/>
                          </w:divBdr>
                          <w:divsChild>
                            <w:div w:id="1961181972">
                              <w:marLeft w:val="0"/>
                              <w:marRight w:val="0"/>
                              <w:marTop w:val="0"/>
                              <w:marBottom w:val="0"/>
                              <w:divBdr>
                                <w:top w:val="none" w:sz="0" w:space="0" w:color="auto"/>
                                <w:left w:val="none" w:sz="0" w:space="0" w:color="auto"/>
                                <w:bottom w:val="none" w:sz="0" w:space="0" w:color="auto"/>
                                <w:right w:val="none" w:sz="0" w:space="0" w:color="auto"/>
                              </w:divBdr>
                              <w:divsChild>
                                <w:div w:id="1576669121">
                                  <w:marLeft w:val="0"/>
                                  <w:marRight w:val="0"/>
                                  <w:marTop w:val="0"/>
                                  <w:marBottom w:val="0"/>
                                  <w:divBdr>
                                    <w:top w:val="none" w:sz="0" w:space="0" w:color="auto"/>
                                    <w:left w:val="none" w:sz="0" w:space="0" w:color="auto"/>
                                    <w:bottom w:val="single" w:sz="2" w:space="0" w:color="068C69"/>
                                    <w:right w:val="none" w:sz="0" w:space="0" w:color="auto"/>
                                  </w:divBdr>
                                </w:div>
                              </w:divsChild>
                            </w:div>
                          </w:divsChild>
                        </w:div>
                      </w:divsChild>
                    </w:div>
                  </w:divsChild>
                </w:div>
              </w:divsChild>
            </w:div>
          </w:divsChild>
        </w:div>
        <w:div w:id="2093964361">
          <w:marLeft w:val="0"/>
          <w:marRight w:val="0"/>
          <w:marTop w:val="0"/>
          <w:marBottom w:val="0"/>
          <w:divBdr>
            <w:top w:val="single" w:sz="48" w:space="0" w:color="FFFFFF"/>
            <w:left w:val="none" w:sz="0" w:space="0" w:color="auto"/>
            <w:bottom w:val="single" w:sz="48" w:space="0" w:color="EDB600"/>
            <w:right w:val="none" w:sz="0" w:space="0" w:color="auto"/>
          </w:divBdr>
          <w:divsChild>
            <w:div w:id="591744175">
              <w:marLeft w:val="0"/>
              <w:marRight w:val="0"/>
              <w:marTop w:val="0"/>
              <w:marBottom w:val="0"/>
              <w:divBdr>
                <w:top w:val="single" w:sz="12" w:space="0" w:color="E5EEFB"/>
                <w:left w:val="single" w:sz="12" w:space="9" w:color="E5EEFB"/>
                <w:bottom w:val="single" w:sz="12" w:space="0" w:color="E5EEFB"/>
                <w:right w:val="single" w:sz="12" w:space="9" w:color="E5EEFB"/>
              </w:divBdr>
              <w:divsChild>
                <w:div w:id="561602928">
                  <w:marLeft w:val="0"/>
                  <w:marRight w:val="0"/>
                  <w:marTop w:val="0"/>
                  <w:marBottom w:val="0"/>
                  <w:divBdr>
                    <w:top w:val="none" w:sz="0" w:space="0" w:color="auto"/>
                    <w:left w:val="none" w:sz="0" w:space="0" w:color="auto"/>
                    <w:bottom w:val="none" w:sz="0" w:space="0" w:color="auto"/>
                    <w:right w:val="none" w:sz="0" w:space="0" w:color="auto"/>
                  </w:divBdr>
                  <w:divsChild>
                    <w:div w:id="2110587808">
                      <w:marLeft w:val="0"/>
                      <w:marRight w:val="0"/>
                      <w:marTop w:val="0"/>
                      <w:marBottom w:val="0"/>
                      <w:divBdr>
                        <w:top w:val="none" w:sz="0" w:space="0" w:color="auto"/>
                        <w:left w:val="none" w:sz="0" w:space="0" w:color="auto"/>
                        <w:bottom w:val="none" w:sz="0" w:space="0" w:color="auto"/>
                        <w:right w:val="none" w:sz="0" w:space="0" w:color="auto"/>
                      </w:divBdr>
                      <w:divsChild>
                        <w:div w:id="895629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0719973">
      <w:bodyDiv w:val="1"/>
      <w:marLeft w:val="0"/>
      <w:marRight w:val="0"/>
      <w:marTop w:val="0"/>
      <w:marBottom w:val="0"/>
      <w:divBdr>
        <w:top w:val="none" w:sz="0" w:space="0" w:color="auto"/>
        <w:left w:val="none" w:sz="0" w:space="0" w:color="auto"/>
        <w:bottom w:val="none" w:sz="0" w:space="0" w:color="auto"/>
        <w:right w:val="none" w:sz="0" w:space="0" w:color="auto"/>
      </w:divBdr>
    </w:div>
    <w:div w:id="300816747">
      <w:bodyDiv w:val="1"/>
      <w:marLeft w:val="0"/>
      <w:marRight w:val="0"/>
      <w:marTop w:val="0"/>
      <w:marBottom w:val="0"/>
      <w:divBdr>
        <w:top w:val="none" w:sz="0" w:space="0" w:color="auto"/>
        <w:left w:val="none" w:sz="0" w:space="0" w:color="auto"/>
        <w:bottom w:val="none" w:sz="0" w:space="0" w:color="auto"/>
        <w:right w:val="none" w:sz="0" w:space="0" w:color="auto"/>
      </w:divBdr>
    </w:div>
    <w:div w:id="308484465">
      <w:bodyDiv w:val="1"/>
      <w:marLeft w:val="0"/>
      <w:marRight w:val="0"/>
      <w:marTop w:val="0"/>
      <w:marBottom w:val="0"/>
      <w:divBdr>
        <w:top w:val="none" w:sz="0" w:space="0" w:color="auto"/>
        <w:left w:val="none" w:sz="0" w:space="0" w:color="auto"/>
        <w:bottom w:val="none" w:sz="0" w:space="0" w:color="auto"/>
        <w:right w:val="none" w:sz="0" w:space="0" w:color="auto"/>
      </w:divBdr>
    </w:div>
    <w:div w:id="325549358">
      <w:bodyDiv w:val="1"/>
      <w:marLeft w:val="0"/>
      <w:marRight w:val="0"/>
      <w:marTop w:val="0"/>
      <w:marBottom w:val="0"/>
      <w:divBdr>
        <w:top w:val="none" w:sz="0" w:space="0" w:color="auto"/>
        <w:left w:val="none" w:sz="0" w:space="0" w:color="auto"/>
        <w:bottom w:val="none" w:sz="0" w:space="0" w:color="auto"/>
        <w:right w:val="none" w:sz="0" w:space="0" w:color="auto"/>
      </w:divBdr>
    </w:div>
    <w:div w:id="326130932">
      <w:bodyDiv w:val="1"/>
      <w:marLeft w:val="0"/>
      <w:marRight w:val="0"/>
      <w:marTop w:val="0"/>
      <w:marBottom w:val="0"/>
      <w:divBdr>
        <w:top w:val="none" w:sz="0" w:space="0" w:color="auto"/>
        <w:left w:val="none" w:sz="0" w:space="0" w:color="auto"/>
        <w:bottom w:val="none" w:sz="0" w:space="0" w:color="auto"/>
        <w:right w:val="none" w:sz="0" w:space="0" w:color="auto"/>
      </w:divBdr>
    </w:div>
    <w:div w:id="346101408">
      <w:bodyDiv w:val="1"/>
      <w:marLeft w:val="0"/>
      <w:marRight w:val="0"/>
      <w:marTop w:val="0"/>
      <w:marBottom w:val="0"/>
      <w:divBdr>
        <w:top w:val="none" w:sz="0" w:space="0" w:color="auto"/>
        <w:left w:val="none" w:sz="0" w:space="0" w:color="auto"/>
        <w:bottom w:val="none" w:sz="0" w:space="0" w:color="auto"/>
        <w:right w:val="none" w:sz="0" w:space="0" w:color="auto"/>
      </w:divBdr>
      <w:divsChild>
        <w:div w:id="818154298">
          <w:marLeft w:val="0"/>
          <w:marRight w:val="0"/>
          <w:marTop w:val="0"/>
          <w:marBottom w:val="0"/>
          <w:divBdr>
            <w:top w:val="none" w:sz="0" w:space="0" w:color="auto"/>
            <w:left w:val="none" w:sz="0" w:space="0" w:color="auto"/>
            <w:bottom w:val="none" w:sz="0" w:space="0" w:color="auto"/>
            <w:right w:val="none" w:sz="0" w:space="0" w:color="auto"/>
          </w:divBdr>
          <w:divsChild>
            <w:div w:id="923681111">
              <w:marLeft w:val="0"/>
              <w:marRight w:val="0"/>
              <w:marTop w:val="0"/>
              <w:marBottom w:val="0"/>
              <w:divBdr>
                <w:top w:val="none" w:sz="0" w:space="0" w:color="auto"/>
                <w:left w:val="none" w:sz="0" w:space="0" w:color="auto"/>
                <w:bottom w:val="none" w:sz="0" w:space="0" w:color="auto"/>
                <w:right w:val="none" w:sz="0" w:space="0" w:color="auto"/>
              </w:divBdr>
              <w:divsChild>
                <w:div w:id="593513589">
                  <w:marLeft w:val="0"/>
                  <w:marRight w:val="0"/>
                  <w:marTop w:val="0"/>
                  <w:marBottom w:val="0"/>
                  <w:divBdr>
                    <w:top w:val="none" w:sz="0" w:space="0" w:color="auto"/>
                    <w:left w:val="none" w:sz="0" w:space="0" w:color="auto"/>
                    <w:bottom w:val="single" w:sz="2" w:space="0" w:color="068C69"/>
                    <w:right w:val="none" w:sz="0" w:space="0" w:color="auto"/>
                  </w:divBdr>
                  <w:divsChild>
                    <w:div w:id="12211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8130209">
          <w:marLeft w:val="0"/>
          <w:marRight w:val="0"/>
          <w:marTop w:val="0"/>
          <w:marBottom w:val="0"/>
          <w:divBdr>
            <w:top w:val="single" w:sz="48" w:space="0" w:color="FFFFFF"/>
            <w:left w:val="none" w:sz="0" w:space="0" w:color="auto"/>
            <w:bottom w:val="single" w:sz="48" w:space="0" w:color="EDB600"/>
            <w:right w:val="none" w:sz="0" w:space="0" w:color="auto"/>
          </w:divBdr>
          <w:divsChild>
            <w:div w:id="1447576842">
              <w:marLeft w:val="0"/>
              <w:marRight w:val="0"/>
              <w:marTop w:val="0"/>
              <w:marBottom w:val="0"/>
              <w:divBdr>
                <w:top w:val="single" w:sz="12" w:space="0" w:color="E5EEFB"/>
                <w:left w:val="single" w:sz="12" w:space="9" w:color="E5EEFB"/>
                <w:bottom w:val="single" w:sz="12" w:space="0" w:color="E5EEFB"/>
                <w:right w:val="single" w:sz="12" w:space="9" w:color="E5EEFB"/>
              </w:divBdr>
              <w:divsChild>
                <w:div w:id="632716212">
                  <w:marLeft w:val="0"/>
                  <w:marRight w:val="0"/>
                  <w:marTop w:val="0"/>
                  <w:marBottom w:val="0"/>
                  <w:divBdr>
                    <w:top w:val="none" w:sz="0" w:space="0" w:color="auto"/>
                    <w:left w:val="none" w:sz="0" w:space="0" w:color="auto"/>
                    <w:bottom w:val="none" w:sz="0" w:space="0" w:color="auto"/>
                    <w:right w:val="none" w:sz="0" w:space="0" w:color="auto"/>
                  </w:divBdr>
                  <w:divsChild>
                    <w:div w:id="983849598">
                      <w:marLeft w:val="0"/>
                      <w:marRight w:val="0"/>
                      <w:marTop w:val="0"/>
                      <w:marBottom w:val="0"/>
                      <w:divBdr>
                        <w:top w:val="none" w:sz="0" w:space="0" w:color="auto"/>
                        <w:left w:val="none" w:sz="0" w:space="0" w:color="auto"/>
                        <w:bottom w:val="none" w:sz="0" w:space="0" w:color="auto"/>
                        <w:right w:val="none" w:sz="0" w:space="0" w:color="auto"/>
                      </w:divBdr>
                      <w:divsChild>
                        <w:div w:id="1313825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2825564">
      <w:bodyDiv w:val="1"/>
      <w:marLeft w:val="0"/>
      <w:marRight w:val="0"/>
      <w:marTop w:val="0"/>
      <w:marBottom w:val="0"/>
      <w:divBdr>
        <w:top w:val="none" w:sz="0" w:space="0" w:color="auto"/>
        <w:left w:val="none" w:sz="0" w:space="0" w:color="auto"/>
        <w:bottom w:val="none" w:sz="0" w:space="0" w:color="auto"/>
        <w:right w:val="none" w:sz="0" w:space="0" w:color="auto"/>
      </w:divBdr>
    </w:div>
    <w:div w:id="425005097">
      <w:bodyDiv w:val="1"/>
      <w:marLeft w:val="0"/>
      <w:marRight w:val="0"/>
      <w:marTop w:val="0"/>
      <w:marBottom w:val="0"/>
      <w:divBdr>
        <w:top w:val="none" w:sz="0" w:space="0" w:color="auto"/>
        <w:left w:val="none" w:sz="0" w:space="0" w:color="auto"/>
        <w:bottom w:val="none" w:sz="0" w:space="0" w:color="auto"/>
        <w:right w:val="none" w:sz="0" w:space="0" w:color="auto"/>
      </w:divBdr>
    </w:div>
    <w:div w:id="472219090">
      <w:bodyDiv w:val="1"/>
      <w:marLeft w:val="0"/>
      <w:marRight w:val="0"/>
      <w:marTop w:val="0"/>
      <w:marBottom w:val="0"/>
      <w:divBdr>
        <w:top w:val="none" w:sz="0" w:space="0" w:color="auto"/>
        <w:left w:val="none" w:sz="0" w:space="0" w:color="auto"/>
        <w:bottom w:val="none" w:sz="0" w:space="0" w:color="auto"/>
        <w:right w:val="none" w:sz="0" w:space="0" w:color="auto"/>
      </w:divBdr>
    </w:div>
    <w:div w:id="500852196">
      <w:marLeft w:val="0"/>
      <w:marRight w:val="0"/>
      <w:marTop w:val="0"/>
      <w:marBottom w:val="0"/>
      <w:divBdr>
        <w:top w:val="none" w:sz="0" w:space="0" w:color="auto"/>
        <w:left w:val="none" w:sz="0" w:space="0" w:color="auto"/>
        <w:bottom w:val="none" w:sz="0" w:space="0" w:color="auto"/>
        <w:right w:val="none" w:sz="0" w:space="0" w:color="auto"/>
      </w:divBdr>
    </w:div>
    <w:div w:id="529032339">
      <w:bodyDiv w:val="1"/>
      <w:marLeft w:val="0"/>
      <w:marRight w:val="0"/>
      <w:marTop w:val="0"/>
      <w:marBottom w:val="0"/>
      <w:divBdr>
        <w:top w:val="none" w:sz="0" w:space="0" w:color="auto"/>
        <w:left w:val="none" w:sz="0" w:space="0" w:color="auto"/>
        <w:bottom w:val="none" w:sz="0" w:space="0" w:color="auto"/>
        <w:right w:val="none" w:sz="0" w:space="0" w:color="auto"/>
      </w:divBdr>
    </w:div>
    <w:div w:id="550962256">
      <w:bodyDiv w:val="1"/>
      <w:marLeft w:val="0"/>
      <w:marRight w:val="0"/>
      <w:marTop w:val="0"/>
      <w:marBottom w:val="0"/>
      <w:divBdr>
        <w:top w:val="none" w:sz="0" w:space="0" w:color="auto"/>
        <w:left w:val="none" w:sz="0" w:space="0" w:color="auto"/>
        <w:bottom w:val="none" w:sz="0" w:space="0" w:color="auto"/>
        <w:right w:val="none" w:sz="0" w:space="0" w:color="auto"/>
      </w:divBdr>
    </w:div>
    <w:div w:id="559903237">
      <w:bodyDiv w:val="1"/>
      <w:marLeft w:val="0"/>
      <w:marRight w:val="0"/>
      <w:marTop w:val="0"/>
      <w:marBottom w:val="0"/>
      <w:divBdr>
        <w:top w:val="none" w:sz="0" w:space="0" w:color="auto"/>
        <w:left w:val="none" w:sz="0" w:space="0" w:color="auto"/>
        <w:bottom w:val="none" w:sz="0" w:space="0" w:color="auto"/>
        <w:right w:val="none" w:sz="0" w:space="0" w:color="auto"/>
      </w:divBdr>
    </w:div>
    <w:div w:id="562523441">
      <w:bodyDiv w:val="1"/>
      <w:marLeft w:val="0"/>
      <w:marRight w:val="0"/>
      <w:marTop w:val="0"/>
      <w:marBottom w:val="0"/>
      <w:divBdr>
        <w:top w:val="none" w:sz="0" w:space="0" w:color="auto"/>
        <w:left w:val="none" w:sz="0" w:space="0" w:color="auto"/>
        <w:bottom w:val="none" w:sz="0" w:space="0" w:color="auto"/>
        <w:right w:val="none" w:sz="0" w:space="0" w:color="auto"/>
      </w:divBdr>
    </w:div>
    <w:div w:id="562983626">
      <w:bodyDiv w:val="1"/>
      <w:marLeft w:val="0"/>
      <w:marRight w:val="0"/>
      <w:marTop w:val="0"/>
      <w:marBottom w:val="0"/>
      <w:divBdr>
        <w:top w:val="none" w:sz="0" w:space="0" w:color="auto"/>
        <w:left w:val="none" w:sz="0" w:space="0" w:color="auto"/>
        <w:bottom w:val="none" w:sz="0" w:space="0" w:color="auto"/>
        <w:right w:val="none" w:sz="0" w:space="0" w:color="auto"/>
      </w:divBdr>
    </w:div>
    <w:div w:id="583689336">
      <w:bodyDiv w:val="1"/>
      <w:marLeft w:val="0"/>
      <w:marRight w:val="0"/>
      <w:marTop w:val="0"/>
      <w:marBottom w:val="0"/>
      <w:divBdr>
        <w:top w:val="none" w:sz="0" w:space="0" w:color="auto"/>
        <w:left w:val="none" w:sz="0" w:space="0" w:color="auto"/>
        <w:bottom w:val="none" w:sz="0" w:space="0" w:color="auto"/>
        <w:right w:val="none" w:sz="0" w:space="0" w:color="auto"/>
      </w:divBdr>
      <w:divsChild>
        <w:div w:id="221214138">
          <w:marLeft w:val="0"/>
          <w:marRight w:val="0"/>
          <w:marTop w:val="0"/>
          <w:marBottom w:val="0"/>
          <w:divBdr>
            <w:top w:val="none" w:sz="0" w:space="0" w:color="auto"/>
            <w:left w:val="none" w:sz="0" w:space="0" w:color="auto"/>
            <w:bottom w:val="none" w:sz="0" w:space="0" w:color="auto"/>
            <w:right w:val="none" w:sz="0" w:space="0" w:color="auto"/>
          </w:divBdr>
          <w:divsChild>
            <w:div w:id="1097213818">
              <w:marLeft w:val="0"/>
              <w:marRight w:val="0"/>
              <w:marTop w:val="0"/>
              <w:marBottom w:val="0"/>
              <w:divBdr>
                <w:top w:val="none" w:sz="0" w:space="0" w:color="auto"/>
                <w:left w:val="none" w:sz="0" w:space="0" w:color="auto"/>
                <w:bottom w:val="none" w:sz="0" w:space="0" w:color="auto"/>
                <w:right w:val="none" w:sz="0" w:space="0" w:color="auto"/>
              </w:divBdr>
            </w:div>
          </w:divsChild>
        </w:div>
        <w:div w:id="397823290">
          <w:marLeft w:val="0"/>
          <w:marRight w:val="0"/>
          <w:marTop w:val="0"/>
          <w:marBottom w:val="0"/>
          <w:divBdr>
            <w:top w:val="none" w:sz="0" w:space="0" w:color="auto"/>
            <w:left w:val="none" w:sz="0" w:space="0" w:color="auto"/>
            <w:bottom w:val="none" w:sz="0" w:space="0" w:color="auto"/>
            <w:right w:val="none" w:sz="0" w:space="0" w:color="auto"/>
          </w:divBdr>
          <w:divsChild>
            <w:div w:id="1266965941">
              <w:marLeft w:val="0"/>
              <w:marRight w:val="0"/>
              <w:marTop w:val="0"/>
              <w:marBottom w:val="0"/>
              <w:divBdr>
                <w:top w:val="none" w:sz="0" w:space="0" w:color="auto"/>
                <w:left w:val="none" w:sz="0" w:space="0" w:color="auto"/>
                <w:bottom w:val="none" w:sz="0" w:space="0" w:color="auto"/>
                <w:right w:val="none" w:sz="0" w:space="0" w:color="auto"/>
              </w:divBdr>
            </w:div>
          </w:divsChild>
        </w:div>
        <w:div w:id="418255113">
          <w:marLeft w:val="0"/>
          <w:marRight w:val="0"/>
          <w:marTop w:val="0"/>
          <w:marBottom w:val="0"/>
          <w:divBdr>
            <w:top w:val="none" w:sz="0" w:space="0" w:color="auto"/>
            <w:left w:val="none" w:sz="0" w:space="0" w:color="auto"/>
            <w:bottom w:val="none" w:sz="0" w:space="0" w:color="auto"/>
            <w:right w:val="none" w:sz="0" w:space="0" w:color="auto"/>
          </w:divBdr>
          <w:divsChild>
            <w:div w:id="1181043925">
              <w:marLeft w:val="0"/>
              <w:marRight w:val="0"/>
              <w:marTop w:val="0"/>
              <w:marBottom w:val="0"/>
              <w:divBdr>
                <w:top w:val="none" w:sz="0" w:space="0" w:color="auto"/>
                <w:left w:val="none" w:sz="0" w:space="0" w:color="auto"/>
                <w:bottom w:val="none" w:sz="0" w:space="0" w:color="auto"/>
                <w:right w:val="none" w:sz="0" w:space="0" w:color="auto"/>
              </w:divBdr>
            </w:div>
          </w:divsChild>
        </w:div>
        <w:div w:id="640574916">
          <w:marLeft w:val="0"/>
          <w:marRight w:val="0"/>
          <w:marTop w:val="0"/>
          <w:marBottom w:val="0"/>
          <w:divBdr>
            <w:top w:val="none" w:sz="0" w:space="0" w:color="auto"/>
            <w:left w:val="none" w:sz="0" w:space="0" w:color="auto"/>
            <w:bottom w:val="none" w:sz="0" w:space="0" w:color="auto"/>
            <w:right w:val="none" w:sz="0" w:space="0" w:color="auto"/>
          </w:divBdr>
          <w:divsChild>
            <w:div w:id="1430394158">
              <w:marLeft w:val="0"/>
              <w:marRight w:val="0"/>
              <w:marTop w:val="0"/>
              <w:marBottom w:val="0"/>
              <w:divBdr>
                <w:top w:val="none" w:sz="0" w:space="0" w:color="auto"/>
                <w:left w:val="none" w:sz="0" w:space="0" w:color="auto"/>
                <w:bottom w:val="none" w:sz="0" w:space="0" w:color="auto"/>
                <w:right w:val="none" w:sz="0" w:space="0" w:color="auto"/>
              </w:divBdr>
            </w:div>
          </w:divsChild>
        </w:div>
        <w:div w:id="913900259">
          <w:marLeft w:val="0"/>
          <w:marRight w:val="0"/>
          <w:marTop w:val="0"/>
          <w:marBottom w:val="0"/>
          <w:divBdr>
            <w:top w:val="none" w:sz="0" w:space="0" w:color="auto"/>
            <w:left w:val="none" w:sz="0" w:space="0" w:color="auto"/>
            <w:bottom w:val="none" w:sz="0" w:space="0" w:color="auto"/>
            <w:right w:val="none" w:sz="0" w:space="0" w:color="auto"/>
          </w:divBdr>
          <w:divsChild>
            <w:div w:id="1659725252">
              <w:marLeft w:val="0"/>
              <w:marRight w:val="0"/>
              <w:marTop w:val="0"/>
              <w:marBottom w:val="0"/>
              <w:divBdr>
                <w:top w:val="none" w:sz="0" w:space="0" w:color="auto"/>
                <w:left w:val="none" w:sz="0" w:space="0" w:color="auto"/>
                <w:bottom w:val="none" w:sz="0" w:space="0" w:color="auto"/>
                <w:right w:val="none" w:sz="0" w:space="0" w:color="auto"/>
              </w:divBdr>
            </w:div>
          </w:divsChild>
        </w:div>
        <w:div w:id="1162889243">
          <w:marLeft w:val="0"/>
          <w:marRight w:val="0"/>
          <w:marTop w:val="0"/>
          <w:marBottom w:val="0"/>
          <w:divBdr>
            <w:top w:val="none" w:sz="0" w:space="0" w:color="auto"/>
            <w:left w:val="none" w:sz="0" w:space="0" w:color="auto"/>
            <w:bottom w:val="none" w:sz="0" w:space="0" w:color="auto"/>
            <w:right w:val="none" w:sz="0" w:space="0" w:color="auto"/>
          </w:divBdr>
          <w:divsChild>
            <w:div w:id="440418587">
              <w:marLeft w:val="0"/>
              <w:marRight w:val="0"/>
              <w:marTop w:val="0"/>
              <w:marBottom w:val="0"/>
              <w:divBdr>
                <w:top w:val="none" w:sz="0" w:space="0" w:color="auto"/>
                <w:left w:val="none" w:sz="0" w:space="0" w:color="auto"/>
                <w:bottom w:val="none" w:sz="0" w:space="0" w:color="auto"/>
                <w:right w:val="none" w:sz="0" w:space="0" w:color="auto"/>
              </w:divBdr>
            </w:div>
          </w:divsChild>
        </w:div>
        <w:div w:id="1294485428">
          <w:marLeft w:val="0"/>
          <w:marRight w:val="0"/>
          <w:marTop w:val="0"/>
          <w:marBottom w:val="0"/>
          <w:divBdr>
            <w:top w:val="none" w:sz="0" w:space="0" w:color="auto"/>
            <w:left w:val="none" w:sz="0" w:space="0" w:color="auto"/>
            <w:bottom w:val="none" w:sz="0" w:space="0" w:color="auto"/>
            <w:right w:val="none" w:sz="0" w:space="0" w:color="auto"/>
          </w:divBdr>
          <w:divsChild>
            <w:div w:id="797531448">
              <w:marLeft w:val="0"/>
              <w:marRight w:val="0"/>
              <w:marTop w:val="0"/>
              <w:marBottom w:val="0"/>
              <w:divBdr>
                <w:top w:val="none" w:sz="0" w:space="0" w:color="auto"/>
                <w:left w:val="none" w:sz="0" w:space="0" w:color="auto"/>
                <w:bottom w:val="none" w:sz="0" w:space="0" w:color="auto"/>
                <w:right w:val="none" w:sz="0" w:space="0" w:color="auto"/>
              </w:divBdr>
            </w:div>
          </w:divsChild>
        </w:div>
        <w:div w:id="1749956850">
          <w:marLeft w:val="0"/>
          <w:marRight w:val="0"/>
          <w:marTop w:val="0"/>
          <w:marBottom w:val="0"/>
          <w:divBdr>
            <w:top w:val="none" w:sz="0" w:space="0" w:color="auto"/>
            <w:left w:val="none" w:sz="0" w:space="0" w:color="auto"/>
            <w:bottom w:val="none" w:sz="0" w:space="0" w:color="auto"/>
            <w:right w:val="none" w:sz="0" w:space="0" w:color="auto"/>
          </w:divBdr>
          <w:divsChild>
            <w:div w:id="1271090457">
              <w:marLeft w:val="0"/>
              <w:marRight w:val="0"/>
              <w:marTop w:val="0"/>
              <w:marBottom w:val="0"/>
              <w:divBdr>
                <w:top w:val="none" w:sz="0" w:space="0" w:color="auto"/>
                <w:left w:val="none" w:sz="0" w:space="0" w:color="auto"/>
                <w:bottom w:val="none" w:sz="0" w:space="0" w:color="auto"/>
                <w:right w:val="none" w:sz="0" w:space="0" w:color="auto"/>
              </w:divBdr>
            </w:div>
          </w:divsChild>
        </w:div>
        <w:div w:id="2126197121">
          <w:marLeft w:val="0"/>
          <w:marRight w:val="0"/>
          <w:marTop w:val="0"/>
          <w:marBottom w:val="0"/>
          <w:divBdr>
            <w:top w:val="none" w:sz="0" w:space="0" w:color="auto"/>
            <w:left w:val="none" w:sz="0" w:space="0" w:color="auto"/>
            <w:bottom w:val="none" w:sz="0" w:space="0" w:color="auto"/>
            <w:right w:val="none" w:sz="0" w:space="0" w:color="auto"/>
          </w:divBdr>
          <w:divsChild>
            <w:div w:id="465777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532963">
      <w:bodyDiv w:val="1"/>
      <w:marLeft w:val="0"/>
      <w:marRight w:val="0"/>
      <w:marTop w:val="0"/>
      <w:marBottom w:val="0"/>
      <w:divBdr>
        <w:top w:val="none" w:sz="0" w:space="0" w:color="auto"/>
        <w:left w:val="none" w:sz="0" w:space="0" w:color="auto"/>
        <w:bottom w:val="none" w:sz="0" w:space="0" w:color="auto"/>
        <w:right w:val="none" w:sz="0" w:space="0" w:color="auto"/>
      </w:divBdr>
    </w:div>
    <w:div w:id="663125160">
      <w:bodyDiv w:val="1"/>
      <w:marLeft w:val="0"/>
      <w:marRight w:val="0"/>
      <w:marTop w:val="0"/>
      <w:marBottom w:val="0"/>
      <w:divBdr>
        <w:top w:val="none" w:sz="0" w:space="0" w:color="auto"/>
        <w:left w:val="none" w:sz="0" w:space="0" w:color="auto"/>
        <w:bottom w:val="none" w:sz="0" w:space="0" w:color="auto"/>
        <w:right w:val="none" w:sz="0" w:space="0" w:color="auto"/>
      </w:divBdr>
    </w:div>
    <w:div w:id="668797774">
      <w:bodyDiv w:val="1"/>
      <w:marLeft w:val="0"/>
      <w:marRight w:val="0"/>
      <w:marTop w:val="0"/>
      <w:marBottom w:val="0"/>
      <w:divBdr>
        <w:top w:val="none" w:sz="0" w:space="0" w:color="auto"/>
        <w:left w:val="none" w:sz="0" w:space="0" w:color="auto"/>
        <w:bottom w:val="none" w:sz="0" w:space="0" w:color="auto"/>
        <w:right w:val="none" w:sz="0" w:space="0" w:color="auto"/>
      </w:divBdr>
    </w:div>
    <w:div w:id="688332601">
      <w:bodyDiv w:val="1"/>
      <w:marLeft w:val="0"/>
      <w:marRight w:val="0"/>
      <w:marTop w:val="0"/>
      <w:marBottom w:val="0"/>
      <w:divBdr>
        <w:top w:val="none" w:sz="0" w:space="0" w:color="auto"/>
        <w:left w:val="none" w:sz="0" w:space="0" w:color="auto"/>
        <w:bottom w:val="none" w:sz="0" w:space="0" w:color="auto"/>
        <w:right w:val="none" w:sz="0" w:space="0" w:color="auto"/>
      </w:divBdr>
    </w:div>
    <w:div w:id="723480923">
      <w:bodyDiv w:val="1"/>
      <w:marLeft w:val="0"/>
      <w:marRight w:val="0"/>
      <w:marTop w:val="0"/>
      <w:marBottom w:val="0"/>
      <w:divBdr>
        <w:top w:val="none" w:sz="0" w:space="0" w:color="auto"/>
        <w:left w:val="none" w:sz="0" w:space="0" w:color="auto"/>
        <w:bottom w:val="none" w:sz="0" w:space="0" w:color="auto"/>
        <w:right w:val="none" w:sz="0" w:space="0" w:color="auto"/>
      </w:divBdr>
    </w:div>
    <w:div w:id="727804498">
      <w:bodyDiv w:val="1"/>
      <w:marLeft w:val="0"/>
      <w:marRight w:val="0"/>
      <w:marTop w:val="0"/>
      <w:marBottom w:val="0"/>
      <w:divBdr>
        <w:top w:val="none" w:sz="0" w:space="0" w:color="auto"/>
        <w:left w:val="none" w:sz="0" w:space="0" w:color="auto"/>
        <w:bottom w:val="none" w:sz="0" w:space="0" w:color="auto"/>
        <w:right w:val="none" w:sz="0" w:space="0" w:color="auto"/>
      </w:divBdr>
      <w:divsChild>
        <w:div w:id="377704198">
          <w:marLeft w:val="0"/>
          <w:marRight w:val="0"/>
          <w:marTop w:val="0"/>
          <w:marBottom w:val="0"/>
          <w:divBdr>
            <w:top w:val="single" w:sz="48" w:space="0" w:color="FFFFFF"/>
            <w:left w:val="none" w:sz="0" w:space="0" w:color="auto"/>
            <w:bottom w:val="single" w:sz="48" w:space="0" w:color="EDB600"/>
            <w:right w:val="none" w:sz="0" w:space="0" w:color="auto"/>
          </w:divBdr>
          <w:divsChild>
            <w:div w:id="1078285192">
              <w:marLeft w:val="0"/>
              <w:marRight w:val="0"/>
              <w:marTop w:val="0"/>
              <w:marBottom w:val="0"/>
              <w:divBdr>
                <w:top w:val="single" w:sz="12" w:space="0" w:color="E5EEFB"/>
                <w:left w:val="single" w:sz="12" w:space="9" w:color="E5EEFB"/>
                <w:bottom w:val="single" w:sz="12" w:space="0" w:color="E5EEFB"/>
                <w:right w:val="single" w:sz="12" w:space="9" w:color="E5EEFB"/>
              </w:divBdr>
              <w:divsChild>
                <w:div w:id="677804596">
                  <w:marLeft w:val="0"/>
                  <w:marRight w:val="0"/>
                  <w:marTop w:val="0"/>
                  <w:marBottom w:val="0"/>
                  <w:divBdr>
                    <w:top w:val="none" w:sz="0" w:space="0" w:color="auto"/>
                    <w:left w:val="none" w:sz="0" w:space="0" w:color="auto"/>
                    <w:bottom w:val="none" w:sz="0" w:space="0" w:color="auto"/>
                    <w:right w:val="none" w:sz="0" w:space="0" w:color="auto"/>
                  </w:divBdr>
                  <w:divsChild>
                    <w:div w:id="2097051050">
                      <w:marLeft w:val="0"/>
                      <w:marRight w:val="0"/>
                      <w:marTop w:val="0"/>
                      <w:marBottom w:val="0"/>
                      <w:divBdr>
                        <w:top w:val="none" w:sz="0" w:space="0" w:color="auto"/>
                        <w:left w:val="none" w:sz="0" w:space="0" w:color="auto"/>
                        <w:bottom w:val="none" w:sz="0" w:space="0" w:color="auto"/>
                        <w:right w:val="none" w:sz="0" w:space="0" w:color="auto"/>
                      </w:divBdr>
                      <w:divsChild>
                        <w:div w:id="165055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1930442">
          <w:marLeft w:val="0"/>
          <w:marRight w:val="0"/>
          <w:marTop w:val="0"/>
          <w:marBottom w:val="0"/>
          <w:divBdr>
            <w:top w:val="none" w:sz="0" w:space="0" w:color="auto"/>
            <w:left w:val="none" w:sz="0" w:space="0" w:color="auto"/>
            <w:bottom w:val="none" w:sz="0" w:space="0" w:color="auto"/>
            <w:right w:val="none" w:sz="0" w:space="0" w:color="auto"/>
          </w:divBdr>
          <w:divsChild>
            <w:div w:id="139466588">
              <w:marLeft w:val="0"/>
              <w:marRight w:val="0"/>
              <w:marTop w:val="0"/>
              <w:marBottom w:val="0"/>
              <w:divBdr>
                <w:top w:val="none" w:sz="0" w:space="0" w:color="auto"/>
                <w:left w:val="none" w:sz="0" w:space="0" w:color="auto"/>
                <w:bottom w:val="none" w:sz="0" w:space="0" w:color="auto"/>
                <w:right w:val="none" w:sz="0" w:space="0" w:color="auto"/>
              </w:divBdr>
              <w:divsChild>
                <w:div w:id="176970555">
                  <w:marLeft w:val="0"/>
                  <w:marRight w:val="0"/>
                  <w:marTop w:val="0"/>
                  <w:marBottom w:val="0"/>
                  <w:divBdr>
                    <w:top w:val="none" w:sz="0" w:space="0" w:color="auto"/>
                    <w:left w:val="none" w:sz="0" w:space="0" w:color="auto"/>
                    <w:bottom w:val="single" w:sz="2" w:space="0" w:color="068C69"/>
                    <w:right w:val="none" w:sz="0" w:space="0" w:color="auto"/>
                  </w:divBdr>
                  <w:divsChild>
                    <w:div w:id="742527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2122028">
      <w:bodyDiv w:val="1"/>
      <w:marLeft w:val="0"/>
      <w:marRight w:val="0"/>
      <w:marTop w:val="0"/>
      <w:marBottom w:val="0"/>
      <w:divBdr>
        <w:top w:val="none" w:sz="0" w:space="0" w:color="auto"/>
        <w:left w:val="none" w:sz="0" w:space="0" w:color="auto"/>
        <w:bottom w:val="none" w:sz="0" w:space="0" w:color="auto"/>
        <w:right w:val="none" w:sz="0" w:space="0" w:color="auto"/>
      </w:divBdr>
    </w:div>
    <w:div w:id="746533843">
      <w:bodyDiv w:val="1"/>
      <w:marLeft w:val="0"/>
      <w:marRight w:val="0"/>
      <w:marTop w:val="0"/>
      <w:marBottom w:val="0"/>
      <w:divBdr>
        <w:top w:val="none" w:sz="0" w:space="0" w:color="auto"/>
        <w:left w:val="none" w:sz="0" w:space="0" w:color="auto"/>
        <w:bottom w:val="none" w:sz="0" w:space="0" w:color="auto"/>
        <w:right w:val="none" w:sz="0" w:space="0" w:color="auto"/>
      </w:divBdr>
    </w:div>
    <w:div w:id="757138676">
      <w:bodyDiv w:val="1"/>
      <w:marLeft w:val="0"/>
      <w:marRight w:val="0"/>
      <w:marTop w:val="0"/>
      <w:marBottom w:val="0"/>
      <w:divBdr>
        <w:top w:val="none" w:sz="0" w:space="0" w:color="auto"/>
        <w:left w:val="none" w:sz="0" w:space="0" w:color="auto"/>
        <w:bottom w:val="none" w:sz="0" w:space="0" w:color="auto"/>
        <w:right w:val="none" w:sz="0" w:space="0" w:color="auto"/>
      </w:divBdr>
      <w:divsChild>
        <w:div w:id="1456751735">
          <w:marLeft w:val="0"/>
          <w:marRight w:val="0"/>
          <w:marTop w:val="0"/>
          <w:marBottom w:val="0"/>
          <w:divBdr>
            <w:top w:val="single" w:sz="48" w:space="0" w:color="FFFFFF"/>
            <w:left w:val="none" w:sz="0" w:space="0" w:color="auto"/>
            <w:bottom w:val="single" w:sz="48" w:space="0" w:color="EDB600"/>
            <w:right w:val="none" w:sz="0" w:space="0" w:color="auto"/>
          </w:divBdr>
          <w:divsChild>
            <w:div w:id="1329020090">
              <w:marLeft w:val="0"/>
              <w:marRight w:val="0"/>
              <w:marTop w:val="0"/>
              <w:marBottom w:val="0"/>
              <w:divBdr>
                <w:top w:val="single" w:sz="12" w:space="0" w:color="E5EEFB"/>
                <w:left w:val="single" w:sz="12" w:space="9" w:color="E5EEFB"/>
                <w:bottom w:val="single" w:sz="12" w:space="0" w:color="E5EEFB"/>
                <w:right w:val="single" w:sz="12" w:space="9" w:color="E5EEFB"/>
              </w:divBdr>
              <w:divsChild>
                <w:div w:id="2017222211">
                  <w:marLeft w:val="0"/>
                  <w:marRight w:val="0"/>
                  <w:marTop w:val="0"/>
                  <w:marBottom w:val="0"/>
                  <w:divBdr>
                    <w:top w:val="none" w:sz="0" w:space="0" w:color="auto"/>
                    <w:left w:val="none" w:sz="0" w:space="0" w:color="auto"/>
                    <w:bottom w:val="none" w:sz="0" w:space="0" w:color="auto"/>
                    <w:right w:val="none" w:sz="0" w:space="0" w:color="auto"/>
                  </w:divBdr>
                  <w:divsChild>
                    <w:div w:id="1694570738">
                      <w:marLeft w:val="0"/>
                      <w:marRight w:val="0"/>
                      <w:marTop w:val="0"/>
                      <w:marBottom w:val="0"/>
                      <w:divBdr>
                        <w:top w:val="none" w:sz="0" w:space="0" w:color="auto"/>
                        <w:left w:val="none" w:sz="0" w:space="0" w:color="auto"/>
                        <w:bottom w:val="none" w:sz="0" w:space="0" w:color="auto"/>
                        <w:right w:val="none" w:sz="0" w:space="0" w:color="auto"/>
                      </w:divBdr>
                      <w:divsChild>
                        <w:div w:id="10033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9107044">
          <w:marLeft w:val="0"/>
          <w:marRight w:val="0"/>
          <w:marTop w:val="0"/>
          <w:marBottom w:val="0"/>
          <w:divBdr>
            <w:top w:val="none" w:sz="0" w:space="0" w:color="auto"/>
            <w:left w:val="none" w:sz="0" w:space="0" w:color="auto"/>
            <w:bottom w:val="none" w:sz="0" w:space="0" w:color="auto"/>
            <w:right w:val="none" w:sz="0" w:space="0" w:color="auto"/>
          </w:divBdr>
          <w:divsChild>
            <w:div w:id="1456291964">
              <w:marLeft w:val="0"/>
              <w:marRight w:val="0"/>
              <w:marTop w:val="0"/>
              <w:marBottom w:val="0"/>
              <w:divBdr>
                <w:top w:val="none" w:sz="0" w:space="0" w:color="auto"/>
                <w:left w:val="none" w:sz="0" w:space="0" w:color="auto"/>
                <w:bottom w:val="none" w:sz="0" w:space="0" w:color="auto"/>
                <w:right w:val="none" w:sz="0" w:space="0" w:color="auto"/>
              </w:divBdr>
              <w:divsChild>
                <w:div w:id="954604675">
                  <w:marLeft w:val="0"/>
                  <w:marRight w:val="0"/>
                  <w:marTop w:val="0"/>
                  <w:marBottom w:val="0"/>
                  <w:divBdr>
                    <w:top w:val="none" w:sz="0" w:space="0" w:color="auto"/>
                    <w:left w:val="none" w:sz="0" w:space="0" w:color="auto"/>
                    <w:bottom w:val="single" w:sz="2" w:space="0" w:color="068C69"/>
                    <w:right w:val="none" w:sz="0" w:space="0" w:color="auto"/>
                  </w:divBdr>
                  <w:divsChild>
                    <w:div w:id="1574702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5003021">
      <w:bodyDiv w:val="1"/>
      <w:marLeft w:val="0"/>
      <w:marRight w:val="0"/>
      <w:marTop w:val="0"/>
      <w:marBottom w:val="0"/>
      <w:divBdr>
        <w:top w:val="none" w:sz="0" w:space="0" w:color="auto"/>
        <w:left w:val="none" w:sz="0" w:space="0" w:color="auto"/>
        <w:bottom w:val="none" w:sz="0" w:space="0" w:color="auto"/>
        <w:right w:val="none" w:sz="0" w:space="0" w:color="auto"/>
      </w:divBdr>
    </w:div>
    <w:div w:id="810561376">
      <w:bodyDiv w:val="1"/>
      <w:marLeft w:val="0"/>
      <w:marRight w:val="0"/>
      <w:marTop w:val="0"/>
      <w:marBottom w:val="0"/>
      <w:divBdr>
        <w:top w:val="none" w:sz="0" w:space="0" w:color="auto"/>
        <w:left w:val="none" w:sz="0" w:space="0" w:color="auto"/>
        <w:bottom w:val="none" w:sz="0" w:space="0" w:color="auto"/>
        <w:right w:val="none" w:sz="0" w:space="0" w:color="auto"/>
      </w:divBdr>
    </w:div>
    <w:div w:id="849876546">
      <w:bodyDiv w:val="1"/>
      <w:marLeft w:val="0"/>
      <w:marRight w:val="0"/>
      <w:marTop w:val="0"/>
      <w:marBottom w:val="0"/>
      <w:divBdr>
        <w:top w:val="none" w:sz="0" w:space="0" w:color="auto"/>
        <w:left w:val="none" w:sz="0" w:space="0" w:color="auto"/>
        <w:bottom w:val="none" w:sz="0" w:space="0" w:color="auto"/>
        <w:right w:val="none" w:sz="0" w:space="0" w:color="auto"/>
      </w:divBdr>
    </w:div>
    <w:div w:id="857550693">
      <w:bodyDiv w:val="1"/>
      <w:marLeft w:val="0"/>
      <w:marRight w:val="0"/>
      <w:marTop w:val="0"/>
      <w:marBottom w:val="0"/>
      <w:divBdr>
        <w:top w:val="none" w:sz="0" w:space="0" w:color="auto"/>
        <w:left w:val="none" w:sz="0" w:space="0" w:color="auto"/>
        <w:bottom w:val="none" w:sz="0" w:space="0" w:color="auto"/>
        <w:right w:val="none" w:sz="0" w:space="0" w:color="auto"/>
      </w:divBdr>
    </w:div>
    <w:div w:id="857887274">
      <w:bodyDiv w:val="1"/>
      <w:marLeft w:val="0"/>
      <w:marRight w:val="0"/>
      <w:marTop w:val="0"/>
      <w:marBottom w:val="0"/>
      <w:divBdr>
        <w:top w:val="none" w:sz="0" w:space="0" w:color="auto"/>
        <w:left w:val="none" w:sz="0" w:space="0" w:color="auto"/>
        <w:bottom w:val="none" w:sz="0" w:space="0" w:color="auto"/>
        <w:right w:val="none" w:sz="0" w:space="0" w:color="auto"/>
      </w:divBdr>
    </w:div>
    <w:div w:id="862473403">
      <w:bodyDiv w:val="1"/>
      <w:marLeft w:val="0"/>
      <w:marRight w:val="0"/>
      <w:marTop w:val="0"/>
      <w:marBottom w:val="0"/>
      <w:divBdr>
        <w:top w:val="none" w:sz="0" w:space="0" w:color="auto"/>
        <w:left w:val="none" w:sz="0" w:space="0" w:color="auto"/>
        <w:bottom w:val="none" w:sz="0" w:space="0" w:color="auto"/>
        <w:right w:val="none" w:sz="0" w:space="0" w:color="auto"/>
      </w:divBdr>
    </w:div>
    <w:div w:id="887492347">
      <w:bodyDiv w:val="1"/>
      <w:marLeft w:val="0"/>
      <w:marRight w:val="0"/>
      <w:marTop w:val="0"/>
      <w:marBottom w:val="0"/>
      <w:divBdr>
        <w:top w:val="none" w:sz="0" w:space="0" w:color="auto"/>
        <w:left w:val="none" w:sz="0" w:space="0" w:color="auto"/>
        <w:bottom w:val="none" w:sz="0" w:space="0" w:color="auto"/>
        <w:right w:val="none" w:sz="0" w:space="0" w:color="auto"/>
      </w:divBdr>
    </w:div>
    <w:div w:id="896672165">
      <w:bodyDiv w:val="1"/>
      <w:marLeft w:val="0"/>
      <w:marRight w:val="0"/>
      <w:marTop w:val="0"/>
      <w:marBottom w:val="0"/>
      <w:divBdr>
        <w:top w:val="none" w:sz="0" w:space="0" w:color="auto"/>
        <w:left w:val="none" w:sz="0" w:space="0" w:color="auto"/>
        <w:bottom w:val="none" w:sz="0" w:space="0" w:color="auto"/>
        <w:right w:val="none" w:sz="0" w:space="0" w:color="auto"/>
      </w:divBdr>
    </w:div>
    <w:div w:id="902134949">
      <w:bodyDiv w:val="1"/>
      <w:marLeft w:val="0"/>
      <w:marRight w:val="0"/>
      <w:marTop w:val="0"/>
      <w:marBottom w:val="0"/>
      <w:divBdr>
        <w:top w:val="none" w:sz="0" w:space="0" w:color="auto"/>
        <w:left w:val="none" w:sz="0" w:space="0" w:color="auto"/>
        <w:bottom w:val="none" w:sz="0" w:space="0" w:color="auto"/>
        <w:right w:val="none" w:sz="0" w:space="0" w:color="auto"/>
      </w:divBdr>
    </w:div>
    <w:div w:id="919219245">
      <w:marLeft w:val="0"/>
      <w:marRight w:val="0"/>
      <w:marTop w:val="0"/>
      <w:marBottom w:val="0"/>
      <w:divBdr>
        <w:top w:val="none" w:sz="0" w:space="0" w:color="auto"/>
        <w:left w:val="none" w:sz="0" w:space="0" w:color="auto"/>
        <w:bottom w:val="none" w:sz="0" w:space="0" w:color="auto"/>
        <w:right w:val="none" w:sz="0" w:space="0" w:color="auto"/>
      </w:divBdr>
    </w:div>
    <w:div w:id="933635503">
      <w:bodyDiv w:val="1"/>
      <w:marLeft w:val="0"/>
      <w:marRight w:val="0"/>
      <w:marTop w:val="0"/>
      <w:marBottom w:val="0"/>
      <w:divBdr>
        <w:top w:val="none" w:sz="0" w:space="0" w:color="auto"/>
        <w:left w:val="none" w:sz="0" w:space="0" w:color="auto"/>
        <w:bottom w:val="none" w:sz="0" w:space="0" w:color="auto"/>
        <w:right w:val="none" w:sz="0" w:space="0" w:color="auto"/>
      </w:divBdr>
    </w:div>
    <w:div w:id="945233374">
      <w:bodyDiv w:val="1"/>
      <w:marLeft w:val="0"/>
      <w:marRight w:val="0"/>
      <w:marTop w:val="0"/>
      <w:marBottom w:val="0"/>
      <w:divBdr>
        <w:top w:val="none" w:sz="0" w:space="0" w:color="auto"/>
        <w:left w:val="none" w:sz="0" w:space="0" w:color="auto"/>
        <w:bottom w:val="none" w:sz="0" w:space="0" w:color="auto"/>
        <w:right w:val="none" w:sz="0" w:space="0" w:color="auto"/>
      </w:divBdr>
    </w:div>
    <w:div w:id="1023434583">
      <w:bodyDiv w:val="1"/>
      <w:marLeft w:val="0"/>
      <w:marRight w:val="0"/>
      <w:marTop w:val="0"/>
      <w:marBottom w:val="0"/>
      <w:divBdr>
        <w:top w:val="none" w:sz="0" w:space="0" w:color="auto"/>
        <w:left w:val="none" w:sz="0" w:space="0" w:color="auto"/>
        <w:bottom w:val="none" w:sz="0" w:space="0" w:color="auto"/>
        <w:right w:val="none" w:sz="0" w:space="0" w:color="auto"/>
      </w:divBdr>
    </w:div>
    <w:div w:id="1026636169">
      <w:bodyDiv w:val="1"/>
      <w:marLeft w:val="0"/>
      <w:marRight w:val="0"/>
      <w:marTop w:val="0"/>
      <w:marBottom w:val="0"/>
      <w:divBdr>
        <w:top w:val="none" w:sz="0" w:space="0" w:color="auto"/>
        <w:left w:val="none" w:sz="0" w:space="0" w:color="auto"/>
        <w:bottom w:val="none" w:sz="0" w:space="0" w:color="auto"/>
        <w:right w:val="none" w:sz="0" w:space="0" w:color="auto"/>
      </w:divBdr>
    </w:div>
    <w:div w:id="1044864694">
      <w:bodyDiv w:val="1"/>
      <w:marLeft w:val="0"/>
      <w:marRight w:val="0"/>
      <w:marTop w:val="0"/>
      <w:marBottom w:val="0"/>
      <w:divBdr>
        <w:top w:val="none" w:sz="0" w:space="0" w:color="auto"/>
        <w:left w:val="none" w:sz="0" w:space="0" w:color="auto"/>
        <w:bottom w:val="none" w:sz="0" w:space="0" w:color="auto"/>
        <w:right w:val="none" w:sz="0" w:space="0" w:color="auto"/>
      </w:divBdr>
    </w:div>
    <w:div w:id="1057439294">
      <w:bodyDiv w:val="1"/>
      <w:marLeft w:val="0"/>
      <w:marRight w:val="0"/>
      <w:marTop w:val="0"/>
      <w:marBottom w:val="0"/>
      <w:divBdr>
        <w:top w:val="none" w:sz="0" w:space="0" w:color="auto"/>
        <w:left w:val="none" w:sz="0" w:space="0" w:color="auto"/>
        <w:bottom w:val="none" w:sz="0" w:space="0" w:color="auto"/>
        <w:right w:val="none" w:sz="0" w:space="0" w:color="auto"/>
      </w:divBdr>
    </w:div>
    <w:div w:id="1099914729">
      <w:bodyDiv w:val="1"/>
      <w:marLeft w:val="0"/>
      <w:marRight w:val="0"/>
      <w:marTop w:val="0"/>
      <w:marBottom w:val="0"/>
      <w:divBdr>
        <w:top w:val="none" w:sz="0" w:space="0" w:color="auto"/>
        <w:left w:val="none" w:sz="0" w:space="0" w:color="auto"/>
        <w:bottom w:val="none" w:sz="0" w:space="0" w:color="auto"/>
        <w:right w:val="none" w:sz="0" w:space="0" w:color="auto"/>
      </w:divBdr>
      <w:divsChild>
        <w:div w:id="790249483">
          <w:marLeft w:val="0"/>
          <w:marRight w:val="0"/>
          <w:marTop w:val="0"/>
          <w:marBottom w:val="0"/>
          <w:divBdr>
            <w:top w:val="none" w:sz="0" w:space="0" w:color="auto"/>
            <w:left w:val="none" w:sz="0" w:space="0" w:color="auto"/>
            <w:bottom w:val="none" w:sz="0" w:space="0" w:color="auto"/>
            <w:right w:val="none" w:sz="0" w:space="0" w:color="auto"/>
          </w:divBdr>
        </w:div>
        <w:div w:id="2067607881">
          <w:marLeft w:val="0"/>
          <w:marRight w:val="0"/>
          <w:marTop w:val="0"/>
          <w:marBottom w:val="0"/>
          <w:divBdr>
            <w:top w:val="none" w:sz="0" w:space="0" w:color="auto"/>
            <w:left w:val="none" w:sz="0" w:space="0" w:color="auto"/>
            <w:bottom w:val="none" w:sz="0" w:space="0" w:color="auto"/>
            <w:right w:val="none" w:sz="0" w:space="0" w:color="auto"/>
          </w:divBdr>
        </w:div>
      </w:divsChild>
    </w:div>
    <w:div w:id="1109398814">
      <w:bodyDiv w:val="1"/>
      <w:marLeft w:val="0"/>
      <w:marRight w:val="0"/>
      <w:marTop w:val="0"/>
      <w:marBottom w:val="0"/>
      <w:divBdr>
        <w:top w:val="none" w:sz="0" w:space="0" w:color="auto"/>
        <w:left w:val="none" w:sz="0" w:space="0" w:color="auto"/>
        <w:bottom w:val="none" w:sz="0" w:space="0" w:color="auto"/>
        <w:right w:val="none" w:sz="0" w:space="0" w:color="auto"/>
      </w:divBdr>
    </w:div>
    <w:div w:id="1144152934">
      <w:bodyDiv w:val="1"/>
      <w:marLeft w:val="0"/>
      <w:marRight w:val="0"/>
      <w:marTop w:val="0"/>
      <w:marBottom w:val="0"/>
      <w:divBdr>
        <w:top w:val="none" w:sz="0" w:space="0" w:color="auto"/>
        <w:left w:val="none" w:sz="0" w:space="0" w:color="auto"/>
        <w:bottom w:val="none" w:sz="0" w:space="0" w:color="auto"/>
        <w:right w:val="none" w:sz="0" w:space="0" w:color="auto"/>
      </w:divBdr>
    </w:div>
    <w:div w:id="1151411984">
      <w:bodyDiv w:val="1"/>
      <w:marLeft w:val="0"/>
      <w:marRight w:val="0"/>
      <w:marTop w:val="0"/>
      <w:marBottom w:val="0"/>
      <w:divBdr>
        <w:top w:val="none" w:sz="0" w:space="0" w:color="auto"/>
        <w:left w:val="none" w:sz="0" w:space="0" w:color="auto"/>
        <w:bottom w:val="none" w:sz="0" w:space="0" w:color="auto"/>
        <w:right w:val="none" w:sz="0" w:space="0" w:color="auto"/>
      </w:divBdr>
    </w:div>
    <w:div w:id="1174879658">
      <w:bodyDiv w:val="1"/>
      <w:marLeft w:val="0"/>
      <w:marRight w:val="0"/>
      <w:marTop w:val="0"/>
      <w:marBottom w:val="0"/>
      <w:divBdr>
        <w:top w:val="none" w:sz="0" w:space="0" w:color="auto"/>
        <w:left w:val="none" w:sz="0" w:space="0" w:color="auto"/>
        <w:bottom w:val="none" w:sz="0" w:space="0" w:color="auto"/>
        <w:right w:val="none" w:sz="0" w:space="0" w:color="auto"/>
      </w:divBdr>
      <w:divsChild>
        <w:div w:id="507401394">
          <w:marLeft w:val="0"/>
          <w:marRight w:val="0"/>
          <w:marTop w:val="0"/>
          <w:marBottom w:val="0"/>
          <w:divBdr>
            <w:top w:val="none" w:sz="0" w:space="0" w:color="auto"/>
            <w:left w:val="none" w:sz="0" w:space="0" w:color="auto"/>
            <w:bottom w:val="none" w:sz="0" w:space="0" w:color="auto"/>
            <w:right w:val="none" w:sz="0" w:space="0" w:color="auto"/>
          </w:divBdr>
        </w:div>
      </w:divsChild>
    </w:div>
    <w:div w:id="1197498685">
      <w:bodyDiv w:val="1"/>
      <w:marLeft w:val="0"/>
      <w:marRight w:val="0"/>
      <w:marTop w:val="0"/>
      <w:marBottom w:val="0"/>
      <w:divBdr>
        <w:top w:val="none" w:sz="0" w:space="0" w:color="auto"/>
        <w:left w:val="none" w:sz="0" w:space="0" w:color="auto"/>
        <w:bottom w:val="none" w:sz="0" w:space="0" w:color="auto"/>
        <w:right w:val="none" w:sz="0" w:space="0" w:color="auto"/>
      </w:divBdr>
    </w:div>
    <w:div w:id="1215390677">
      <w:bodyDiv w:val="1"/>
      <w:marLeft w:val="0"/>
      <w:marRight w:val="0"/>
      <w:marTop w:val="0"/>
      <w:marBottom w:val="0"/>
      <w:divBdr>
        <w:top w:val="none" w:sz="0" w:space="0" w:color="auto"/>
        <w:left w:val="none" w:sz="0" w:space="0" w:color="auto"/>
        <w:bottom w:val="none" w:sz="0" w:space="0" w:color="auto"/>
        <w:right w:val="none" w:sz="0" w:space="0" w:color="auto"/>
      </w:divBdr>
    </w:div>
    <w:div w:id="1234243412">
      <w:bodyDiv w:val="1"/>
      <w:marLeft w:val="0"/>
      <w:marRight w:val="0"/>
      <w:marTop w:val="0"/>
      <w:marBottom w:val="0"/>
      <w:divBdr>
        <w:top w:val="none" w:sz="0" w:space="0" w:color="auto"/>
        <w:left w:val="none" w:sz="0" w:space="0" w:color="auto"/>
        <w:bottom w:val="none" w:sz="0" w:space="0" w:color="auto"/>
        <w:right w:val="none" w:sz="0" w:space="0" w:color="auto"/>
      </w:divBdr>
    </w:div>
    <w:div w:id="1255088163">
      <w:bodyDiv w:val="1"/>
      <w:marLeft w:val="0"/>
      <w:marRight w:val="0"/>
      <w:marTop w:val="0"/>
      <w:marBottom w:val="0"/>
      <w:divBdr>
        <w:top w:val="none" w:sz="0" w:space="0" w:color="auto"/>
        <w:left w:val="none" w:sz="0" w:space="0" w:color="auto"/>
        <w:bottom w:val="none" w:sz="0" w:space="0" w:color="auto"/>
        <w:right w:val="none" w:sz="0" w:space="0" w:color="auto"/>
      </w:divBdr>
    </w:div>
    <w:div w:id="1272013248">
      <w:bodyDiv w:val="1"/>
      <w:marLeft w:val="0"/>
      <w:marRight w:val="0"/>
      <w:marTop w:val="0"/>
      <w:marBottom w:val="0"/>
      <w:divBdr>
        <w:top w:val="none" w:sz="0" w:space="0" w:color="auto"/>
        <w:left w:val="none" w:sz="0" w:space="0" w:color="auto"/>
        <w:bottom w:val="none" w:sz="0" w:space="0" w:color="auto"/>
        <w:right w:val="none" w:sz="0" w:space="0" w:color="auto"/>
      </w:divBdr>
    </w:div>
    <w:div w:id="1307003931">
      <w:bodyDiv w:val="1"/>
      <w:marLeft w:val="0"/>
      <w:marRight w:val="0"/>
      <w:marTop w:val="0"/>
      <w:marBottom w:val="0"/>
      <w:divBdr>
        <w:top w:val="none" w:sz="0" w:space="0" w:color="auto"/>
        <w:left w:val="none" w:sz="0" w:space="0" w:color="auto"/>
        <w:bottom w:val="none" w:sz="0" w:space="0" w:color="auto"/>
        <w:right w:val="none" w:sz="0" w:space="0" w:color="auto"/>
      </w:divBdr>
    </w:div>
    <w:div w:id="1334147040">
      <w:bodyDiv w:val="1"/>
      <w:marLeft w:val="0"/>
      <w:marRight w:val="0"/>
      <w:marTop w:val="0"/>
      <w:marBottom w:val="0"/>
      <w:divBdr>
        <w:top w:val="none" w:sz="0" w:space="0" w:color="auto"/>
        <w:left w:val="none" w:sz="0" w:space="0" w:color="auto"/>
        <w:bottom w:val="none" w:sz="0" w:space="0" w:color="auto"/>
        <w:right w:val="none" w:sz="0" w:space="0" w:color="auto"/>
      </w:divBdr>
    </w:div>
    <w:div w:id="1346056065">
      <w:bodyDiv w:val="1"/>
      <w:marLeft w:val="0"/>
      <w:marRight w:val="0"/>
      <w:marTop w:val="0"/>
      <w:marBottom w:val="0"/>
      <w:divBdr>
        <w:top w:val="none" w:sz="0" w:space="0" w:color="auto"/>
        <w:left w:val="none" w:sz="0" w:space="0" w:color="auto"/>
        <w:bottom w:val="none" w:sz="0" w:space="0" w:color="auto"/>
        <w:right w:val="none" w:sz="0" w:space="0" w:color="auto"/>
      </w:divBdr>
    </w:div>
    <w:div w:id="1353143825">
      <w:bodyDiv w:val="1"/>
      <w:marLeft w:val="0"/>
      <w:marRight w:val="0"/>
      <w:marTop w:val="0"/>
      <w:marBottom w:val="0"/>
      <w:divBdr>
        <w:top w:val="none" w:sz="0" w:space="0" w:color="auto"/>
        <w:left w:val="none" w:sz="0" w:space="0" w:color="auto"/>
        <w:bottom w:val="none" w:sz="0" w:space="0" w:color="auto"/>
        <w:right w:val="none" w:sz="0" w:space="0" w:color="auto"/>
      </w:divBdr>
    </w:div>
    <w:div w:id="1362785163">
      <w:bodyDiv w:val="1"/>
      <w:marLeft w:val="0"/>
      <w:marRight w:val="0"/>
      <w:marTop w:val="0"/>
      <w:marBottom w:val="0"/>
      <w:divBdr>
        <w:top w:val="none" w:sz="0" w:space="0" w:color="auto"/>
        <w:left w:val="none" w:sz="0" w:space="0" w:color="auto"/>
        <w:bottom w:val="none" w:sz="0" w:space="0" w:color="auto"/>
        <w:right w:val="none" w:sz="0" w:space="0" w:color="auto"/>
      </w:divBdr>
    </w:div>
    <w:div w:id="1392998965">
      <w:bodyDiv w:val="1"/>
      <w:marLeft w:val="0"/>
      <w:marRight w:val="0"/>
      <w:marTop w:val="0"/>
      <w:marBottom w:val="0"/>
      <w:divBdr>
        <w:top w:val="none" w:sz="0" w:space="0" w:color="auto"/>
        <w:left w:val="none" w:sz="0" w:space="0" w:color="auto"/>
        <w:bottom w:val="none" w:sz="0" w:space="0" w:color="auto"/>
        <w:right w:val="none" w:sz="0" w:space="0" w:color="auto"/>
      </w:divBdr>
    </w:div>
    <w:div w:id="1410615569">
      <w:bodyDiv w:val="1"/>
      <w:marLeft w:val="0"/>
      <w:marRight w:val="0"/>
      <w:marTop w:val="0"/>
      <w:marBottom w:val="0"/>
      <w:divBdr>
        <w:top w:val="none" w:sz="0" w:space="0" w:color="auto"/>
        <w:left w:val="none" w:sz="0" w:space="0" w:color="auto"/>
        <w:bottom w:val="none" w:sz="0" w:space="0" w:color="auto"/>
        <w:right w:val="none" w:sz="0" w:space="0" w:color="auto"/>
      </w:divBdr>
    </w:div>
    <w:div w:id="1413549389">
      <w:bodyDiv w:val="1"/>
      <w:marLeft w:val="0"/>
      <w:marRight w:val="0"/>
      <w:marTop w:val="0"/>
      <w:marBottom w:val="0"/>
      <w:divBdr>
        <w:top w:val="none" w:sz="0" w:space="0" w:color="auto"/>
        <w:left w:val="none" w:sz="0" w:space="0" w:color="auto"/>
        <w:bottom w:val="none" w:sz="0" w:space="0" w:color="auto"/>
        <w:right w:val="none" w:sz="0" w:space="0" w:color="auto"/>
      </w:divBdr>
    </w:div>
    <w:div w:id="1478256814">
      <w:bodyDiv w:val="1"/>
      <w:marLeft w:val="0"/>
      <w:marRight w:val="0"/>
      <w:marTop w:val="0"/>
      <w:marBottom w:val="0"/>
      <w:divBdr>
        <w:top w:val="none" w:sz="0" w:space="0" w:color="auto"/>
        <w:left w:val="none" w:sz="0" w:space="0" w:color="auto"/>
        <w:bottom w:val="none" w:sz="0" w:space="0" w:color="auto"/>
        <w:right w:val="none" w:sz="0" w:space="0" w:color="auto"/>
      </w:divBdr>
      <w:divsChild>
        <w:div w:id="597325601">
          <w:marLeft w:val="0"/>
          <w:marRight w:val="0"/>
          <w:marTop w:val="0"/>
          <w:marBottom w:val="0"/>
          <w:divBdr>
            <w:top w:val="none" w:sz="0" w:space="0" w:color="auto"/>
            <w:left w:val="none" w:sz="0" w:space="0" w:color="auto"/>
            <w:bottom w:val="none" w:sz="0" w:space="0" w:color="auto"/>
            <w:right w:val="none" w:sz="0" w:space="0" w:color="auto"/>
          </w:divBdr>
          <w:divsChild>
            <w:div w:id="808786106">
              <w:marLeft w:val="0"/>
              <w:marRight w:val="0"/>
              <w:marTop w:val="0"/>
              <w:marBottom w:val="0"/>
              <w:divBdr>
                <w:top w:val="none" w:sz="0" w:space="0" w:color="auto"/>
                <w:left w:val="none" w:sz="0" w:space="0" w:color="auto"/>
                <w:bottom w:val="none" w:sz="0" w:space="0" w:color="auto"/>
                <w:right w:val="none" w:sz="0" w:space="0" w:color="auto"/>
              </w:divBdr>
              <w:divsChild>
                <w:div w:id="1216310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4128679">
      <w:bodyDiv w:val="1"/>
      <w:marLeft w:val="0"/>
      <w:marRight w:val="0"/>
      <w:marTop w:val="0"/>
      <w:marBottom w:val="0"/>
      <w:divBdr>
        <w:top w:val="none" w:sz="0" w:space="0" w:color="auto"/>
        <w:left w:val="none" w:sz="0" w:space="0" w:color="auto"/>
        <w:bottom w:val="none" w:sz="0" w:space="0" w:color="auto"/>
        <w:right w:val="none" w:sz="0" w:space="0" w:color="auto"/>
      </w:divBdr>
    </w:div>
    <w:div w:id="1547765002">
      <w:bodyDiv w:val="1"/>
      <w:marLeft w:val="0"/>
      <w:marRight w:val="0"/>
      <w:marTop w:val="0"/>
      <w:marBottom w:val="0"/>
      <w:divBdr>
        <w:top w:val="none" w:sz="0" w:space="0" w:color="auto"/>
        <w:left w:val="none" w:sz="0" w:space="0" w:color="auto"/>
        <w:bottom w:val="none" w:sz="0" w:space="0" w:color="auto"/>
        <w:right w:val="none" w:sz="0" w:space="0" w:color="auto"/>
      </w:divBdr>
    </w:div>
    <w:div w:id="1579708251">
      <w:bodyDiv w:val="1"/>
      <w:marLeft w:val="0"/>
      <w:marRight w:val="0"/>
      <w:marTop w:val="0"/>
      <w:marBottom w:val="0"/>
      <w:divBdr>
        <w:top w:val="none" w:sz="0" w:space="0" w:color="auto"/>
        <w:left w:val="none" w:sz="0" w:space="0" w:color="auto"/>
        <w:bottom w:val="none" w:sz="0" w:space="0" w:color="auto"/>
        <w:right w:val="none" w:sz="0" w:space="0" w:color="auto"/>
      </w:divBdr>
    </w:div>
    <w:div w:id="1586572081">
      <w:bodyDiv w:val="1"/>
      <w:marLeft w:val="0"/>
      <w:marRight w:val="0"/>
      <w:marTop w:val="0"/>
      <w:marBottom w:val="0"/>
      <w:divBdr>
        <w:top w:val="none" w:sz="0" w:space="0" w:color="auto"/>
        <w:left w:val="none" w:sz="0" w:space="0" w:color="auto"/>
        <w:bottom w:val="none" w:sz="0" w:space="0" w:color="auto"/>
        <w:right w:val="none" w:sz="0" w:space="0" w:color="auto"/>
      </w:divBdr>
    </w:div>
    <w:div w:id="1624993961">
      <w:bodyDiv w:val="1"/>
      <w:marLeft w:val="0"/>
      <w:marRight w:val="0"/>
      <w:marTop w:val="0"/>
      <w:marBottom w:val="0"/>
      <w:divBdr>
        <w:top w:val="none" w:sz="0" w:space="0" w:color="auto"/>
        <w:left w:val="none" w:sz="0" w:space="0" w:color="auto"/>
        <w:bottom w:val="none" w:sz="0" w:space="0" w:color="auto"/>
        <w:right w:val="none" w:sz="0" w:space="0" w:color="auto"/>
      </w:divBdr>
      <w:divsChild>
        <w:div w:id="98381116">
          <w:marLeft w:val="0"/>
          <w:marRight w:val="0"/>
          <w:marTop w:val="0"/>
          <w:marBottom w:val="0"/>
          <w:divBdr>
            <w:top w:val="none" w:sz="0" w:space="0" w:color="auto"/>
            <w:left w:val="none" w:sz="0" w:space="0" w:color="auto"/>
            <w:bottom w:val="none" w:sz="0" w:space="0" w:color="auto"/>
            <w:right w:val="none" w:sz="0" w:space="0" w:color="auto"/>
          </w:divBdr>
          <w:divsChild>
            <w:div w:id="1820685724">
              <w:marLeft w:val="0"/>
              <w:marRight w:val="0"/>
              <w:marTop w:val="0"/>
              <w:marBottom w:val="0"/>
              <w:divBdr>
                <w:top w:val="none" w:sz="0" w:space="0" w:color="auto"/>
                <w:left w:val="none" w:sz="0" w:space="0" w:color="auto"/>
                <w:bottom w:val="none" w:sz="0" w:space="0" w:color="auto"/>
                <w:right w:val="none" w:sz="0" w:space="0" w:color="auto"/>
              </w:divBdr>
              <w:divsChild>
                <w:div w:id="1450902718">
                  <w:marLeft w:val="0"/>
                  <w:marRight w:val="0"/>
                  <w:marTop w:val="0"/>
                  <w:marBottom w:val="0"/>
                  <w:divBdr>
                    <w:top w:val="none" w:sz="0" w:space="0" w:color="auto"/>
                    <w:left w:val="none" w:sz="0" w:space="0" w:color="auto"/>
                    <w:bottom w:val="single" w:sz="2" w:space="0" w:color="068C69"/>
                    <w:right w:val="none" w:sz="0" w:space="0" w:color="auto"/>
                  </w:divBdr>
                  <w:divsChild>
                    <w:div w:id="852383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2679354">
          <w:marLeft w:val="0"/>
          <w:marRight w:val="0"/>
          <w:marTop w:val="0"/>
          <w:marBottom w:val="0"/>
          <w:divBdr>
            <w:top w:val="single" w:sz="48" w:space="0" w:color="FFFFFF"/>
            <w:left w:val="none" w:sz="0" w:space="0" w:color="auto"/>
            <w:bottom w:val="single" w:sz="48" w:space="0" w:color="EDB600"/>
            <w:right w:val="none" w:sz="0" w:space="0" w:color="auto"/>
          </w:divBdr>
          <w:divsChild>
            <w:div w:id="323551857">
              <w:marLeft w:val="0"/>
              <w:marRight w:val="0"/>
              <w:marTop w:val="0"/>
              <w:marBottom w:val="0"/>
              <w:divBdr>
                <w:top w:val="single" w:sz="12" w:space="0" w:color="E5EEFB"/>
                <w:left w:val="single" w:sz="12" w:space="9" w:color="E5EEFB"/>
                <w:bottom w:val="single" w:sz="12" w:space="0" w:color="E5EEFB"/>
                <w:right w:val="single" w:sz="12" w:space="9" w:color="E5EEFB"/>
              </w:divBdr>
              <w:divsChild>
                <w:div w:id="1772553347">
                  <w:marLeft w:val="0"/>
                  <w:marRight w:val="0"/>
                  <w:marTop w:val="0"/>
                  <w:marBottom w:val="0"/>
                  <w:divBdr>
                    <w:top w:val="none" w:sz="0" w:space="0" w:color="auto"/>
                    <w:left w:val="none" w:sz="0" w:space="0" w:color="auto"/>
                    <w:bottom w:val="none" w:sz="0" w:space="0" w:color="auto"/>
                    <w:right w:val="none" w:sz="0" w:space="0" w:color="auto"/>
                  </w:divBdr>
                  <w:divsChild>
                    <w:div w:id="1147821862">
                      <w:marLeft w:val="0"/>
                      <w:marRight w:val="0"/>
                      <w:marTop w:val="0"/>
                      <w:marBottom w:val="0"/>
                      <w:divBdr>
                        <w:top w:val="none" w:sz="0" w:space="0" w:color="auto"/>
                        <w:left w:val="none" w:sz="0" w:space="0" w:color="auto"/>
                        <w:bottom w:val="none" w:sz="0" w:space="0" w:color="auto"/>
                        <w:right w:val="none" w:sz="0" w:space="0" w:color="auto"/>
                      </w:divBdr>
                      <w:divsChild>
                        <w:div w:id="1565066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7034128">
      <w:marLeft w:val="0"/>
      <w:marRight w:val="0"/>
      <w:marTop w:val="0"/>
      <w:marBottom w:val="0"/>
      <w:divBdr>
        <w:top w:val="none" w:sz="0" w:space="0" w:color="auto"/>
        <w:left w:val="none" w:sz="0" w:space="0" w:color="auto"/>
        <w:bottom w:val="none" w:sz="0" w:space="0" w:color="auto"/>
        <w:right w:val="none" w:sz="0" w:space="0" w:color="auto"/>
      </w:divBdr>
    </w:div>
    <w:div w:id="1674408120">
      <w:bodyDiv w:val="1"/>
      <w:marLeft w:val="0"/>
      <w:marRight w:val="0"/>
      <w:marTop w:val="0"/>
      <w:marBottom w:val="0"/>
      <w:divBdr>
        <w:top w:val="none" w:sz="0" w:space="0" w:color="auto"/>
        <w:left w:val="none" w:sz="0" w:space="0" w:color="auto"/>
        <w:bottom w:val="none" w:sz="0" w:space="0" w:color="auto"/>
        <w:right w:val="none" w:sz="0" w:space="0" w:color="auto"/>
      </w:divBdr>
    </w:div>
    <w:div w:id="1685008925">
      <w:bodyDiv w:val="1"/>
      <w:marLeft w:val="0"/>
      <w:marRight w:val="0"/>
      <w:marTop w:val="0"/>
      <w:marBottom w:val="0"/>
      <w:divBdr>
        <w:top w:val="none" w:sz="0" w:space="0" w:color="auto"/>
        <w:left w:val="none" w:sz="0" w:space="0" w:color="auto"/>
        <w:bottom w:val="none" w:sz="0" w:space="0" w:color="auto"/>
        <w:right w:val="none" w:sz="0" w:space="0" w:color="auto"/>
      </w:divBdr>
    </w:div>
    <w:div w:id="1694066781">
      <w:bodyDiv w:val="1"/>
      <w:marLeft w:val="0"/>
      <w:marRight w:val="0"/>
      <w:marTop w:val="0"/>
      <w:marBottom w:val="0"/>
      <w:divBdr>
        <w:top w:val="none" w:sz="0" w:space="0" w:color="auto"/>
        <w:left w:val="none" w:sz="0" w:space="0" w:color="auto"/>
        <w:bottom w:val="none" w:sz="0" w:space="0" w:color="auto"/>
        <w:right w:val="none" w:sz="0" w:space="0" w:color="auto"/>
      </w:divBdr>
    </w:div>
    <w:div w:id="1710447205">
      <w:marLeft w:val="0"/>
      <w:marRight w:val="0"/>
      <w:marTop w:val="0"/>
      <w:marBottom w:val="0"/>
      <w:divBdr>
        <w:top w:val="none" w:sz="0" w:space="0" w:color="auto"/>
        <w:left w:val="none" w:sz="0" w:space="0" w:color="auto"/>
        <w:bottom w:val="none" w:sz="0" w:space="0" w:color="auto"/>
        <w:right w:val="none" w:sz="0" w:space="0" w:color="auto"/>
      </w:divBdr>
    </w:div>
    <w:div w:id="1712876428">
      <w:bodyDiv w:val="1"/>
      <w:marLeft w:val="0"/>
      <w:marRight w:val="0"/>
      <w:marTop w:val="0"/>
      <w:marBottom w:val="0"/>
      <w:divBdr>
        <w:top w:val="none" w:sz="0" w:space="0" w:color="auto"/>
        <w:left w:val="none" w:sz="0" w:space="0" w:color="auto"/>
        <w:bottom w:val="none" w:sz="0" w:space="0" w:color="auto"/>
        <w:right w:val="none" w:sz="0" w:space="0" w:color="auto"/>
      </w:divBdr>
    </w:div>
    <w:div w:id="1718550705">
      <w:bodyDiv w:val="1"/>
      <w:marLeft w:val="0"/>
      <w:marRight w:val="0"/>
      <w:marTop w:val="0"/>
      <w:marBottom w:val="0"/>
      <w:divBdr>
        <w:top w:val="none" w:sz="0" w:space="0" w:color="auto"/>
        <w:left w:val="none" w:sz="0" w:space="0" w:color="auto"/>
        <w:bottom w:val="none" w:sz="0" w:space="0" w:color="auto"/>
        <w:right w:val="none" w:sz="0" w:space="0" w:color="auto"/>
      </w:divBdr>
    </w:div>
    <w:div w:id="1761832767">
      <w:bodyDiv w:val="1"/>
      <w:marLeft w:val="0"/>
      <w:marRight w:val="0"/>
      <w:marTop w:val="0"/>
      <w:marBottom w:val="0"/>
      <w:divBdr>
        <w:top w:val="none" w:sz="0" w:space="0" w:color="auto"/>
        <w:left w:val="none" w:sz="0" w:space="0" w:color="auto"/>
        <w:bottom w:val="none" w:sz="0" w:space="0" w:color="auto"/>
        <w:right w:val="none" w:sz="0" w:space="0" w:color="auto"/>
      </w:divBdr>
    </w:div>
    <w:div w:id="1768312196">
      <w:marLeft w:val="0"/>
      <w:marRight w:val="0"/>
      <w:marTop w:val="0"/>
      <w:marBottom w:val="0"/>
      <w:divBdr>
        <w:top w:val="none" w:sz="0" w:space="0" w:color="auto"/>
        <w:left w:val="none" w:sz="0" w:space="0" w:color="auto"/>
        <w:bottom w:val="none" w:sz="0" w:space="0" w:color="auto"/>
        <w:right w:val="none" w:sz="0" w:space="0" w:color="auto"/>
      </w:divBdr>
    </w:div>
    <w:div w:id="1772506508">
      <w:bodyDiv w:val="1"/>
      <w:marLeft w:val="0"/>
      <w:marRight w:val="0"/>
      <w:marTop w:val="0"/>
      <w:marBottom w:val="0"/>
      <w:divBdr>
        <w:top w:val="none" w:sz="0" w:space="0" w:color="auto"/>
        <w:left w:val="none" w:sz="0" w:space="0" w:color="auto"/>
        <w:bottom w:val="none" w:sz="0" w:space="0" w:color="auto"/>
        <w:right w:val="none" w:sz="0" w:space="0" w:color="auto"/>
      </w:divBdr>
    </w:div>
    <w:div w:id="1813520139">
      <w:bodyDiv w:val="1"/>
      <w:marLeft w:val="0"/>
      <w:marRight w:val="0"/>
      <w:marTop w:val="0"/>
      <w:marBottom w:val="0"/>
      <w:divBdr>
        <w:top w:val="none" w:sz="0" w:space="0" w:color="auto"/>
        <w:left w:val="none" w:sz="0" w:space="0" w:color="auto"/>
        <w:bottom w:val="none" w:sz="0" w:space="0" w:color="auto"/>
        <w:right w:val="none" w:sz="0" w:space="0" w:color="auto"/>
      </w:divBdr>
    </w:div>
    <w:div w:id="1823503776">
      <w:bodyDiv w:val="1"/>
      <w:marLeft w:val="0"/>
      <w:marRight w:val="0"/>
      <w:marTop w:val="0"/>
      <w:marBottom w:val="0"/>
      <w:divBdr>
        <w:top w:val="none" w:sz="0" w:space="0" w:color="auto"/>
        <w:left w:val="none" w:sz="0" w:space="0" w:color="auto"/>
        <w:bottom w:val="none" w:sz="0" w:space="0" w:color="auto"/>
        <w:right w:val="none" w:sz="0" w:space="0" w:color="auto"/>
      </w:divBdr>
    </w:div>
    <w:div w:id="1869878763">
      <w:bodyDiv w:val="1"/>
      <w:marLeft w:val="0"/>
      <w:marRight w:val="0"/>
      <w:marTop w:val="0"/>
      <w:marBottom w:val="0"/>
      <w:divBdr>
        <w:top w:val="none" w:sz="0" w:space="0" w:color="auto"/>
        <w:left w:val="none" w:sz="0" w:space="0" w:color="auto"/>
        <w:bottom w:val="none" w:sz="0" w:space="0" w:color="auto"/>
        <w:right w:val="none" w:sz="0" w:space="0" w:color="auto"/>
      </w:divBdr>
    </w:div>
    <w:div w:id="1870293748">
      <w:bodyDiv w:val="1"/>
      <w:marLeft w:val="0"/>
      <w:marRight w:val="0"/>
      <w:marTop w:val="0"/>
      <w:marBottom w:val="0"/>
      <w:divBdr>
        <w:top w:val="none" w:sz="0" w:space="0" w:color="auto"/>
        <w:left w:val="none" w:sz="0" w:space="0" w:color="auto"/>
        <w:bottom w:val="none" w:sz="0" w:space="0" w:color="auto"/>
        <w:right w:val="none" w:sz="0" w:space="0" w:color="auto"/>
      </w:divBdr>
    </w:div>
    <w:div w:id="1873423992">
      <w:marLeft w:val="0"/>
      <w:marRight w:val="0"/>
      <w:marTop w:val="0"/>
      <w:marBottom w:val="0"/>
      <w:divBdr>
        <w:top w:val="none" w:sz="0" w:space="0" w:color="auto"/>
        <w:left w:val="none" w:sz="0" w:space="0" w:color="auto"/>
        <w:bottom w:val="none" w:sz="0" w:space="0" w:color="auto"/>
        <w:right w:val="none" w:sz="0" w:space="0" w:color="auto"/>
      </w:divBdr>
    </w:div>
    <w:div w:id="1889219781">
      <w:bodyDiv w:val="1"/>
      <w:marLeft w:val="0"/>
      <w:marRight w:val="0"/>
      <w:marTop w:val="0"/>
      <w:marBottom w:val="0"/>
      <w:divBdr>
        <w:top w:val="none" w:sz="0" w:space="0" w:color="auto"/>
        <w:left w:val="none" w:sz="0" w:space="0" w:color="auto"/>
        <w:bottom w:val="none" w:sz="0" w:space="0" w:color="auto"/>
        <w:right w:val="none" w:sz="0" w:space="0" w:color="auto"/>
      </w:divBdr>
    </w:div>
    <w:div w:id="1890991276">
      <w:bodyDiv w:val="1"/>
      <w:marLeft w:val="0"/>
      <w:marRight w:val="0"/>
      <w:marTop w:val="0"/>
      <w:marBottom w:val="0"/>
      <w:divBdr>
        <w:top w:val="none" w:sz="0" w:space="0" w:color="auto"/>
        <w:left w:val="none" w:sz="0" w:space="0" w:color="auto"/>
        <w:bottom w:val="none" w:sz="0" w:space="0" w:color="auto"/>
        <w:right w:val="none" w:sz="0" w:space="0" w:color="auto"/>
      </w:divBdr>
    </w:div>
    <w:div w:id="1902521140">
      <w:marLeft w:val="0"/>
      <w:marRight w:val="0"/>
      <w:marTop w:val="0"/>
      <w:marBottom w:val="0"/>
      <w:divBdr>
        <w:top w:val="none" w:sz="0" w:space="0" w:color="auto"/>
        <w:left w:val="none" w:sz="0" w:space="0" w:color="auto"/>
        <w:bottom w:val="none" w:sz="0" w:space="0" w:color="auto"/>
        <w:right w:val="none" w:sz="0" w:space="0" w:color="auto"/>
      </w:divBdr>
    </w:div>
    <w:div w:id="1912036499">
      <w:bodyDiv w:val="1"/>
      <w:marLeft w:val="0"/>
      <w:marRight w:val="0"/>
      <w:marTop w:val="0"/>
      <w:marBottom w:val="0"/>
      <w:divBdr>
        <w:top w:val="none" w:sz="0" w:space="0" w:color="auto"/>
        <w:left w:val="none" w:sz="0" w:space="0" w:color="auto"/>
        <w:bottom w:val="none" w:sz="0" w:space="0" w:color="auto"/>
        <w:right w:val="none" w:sz="0" w:space="0" w:color="auto"/>
      </w:divBdr>
      <w:divsChild>
        <w:div w:id="874925671">
          <w:marLeft w:val="0"/>
          <w:marRight w:val="0"/>
          <w:marTop w:val="0"/>
          <w:marBottom w:val="0"/>
          <w:divBdr>
            <w:top w:val="single" w:sz="48" w:space="0" w:color="FFFFFF"/>
            <w:left w:val="none" w:sz="0" w:space="0" w:color="auto"/>
            <w:bottom w:val="single" w:sz="48" w:space="0" w:color="EDB600"/>
            <w:right w:val="none" w:sz="0" w:space="0" w:color="auto"/>
          </w:divBdr>
          <w:divsChild>
            <w:div w:id="1480339384">
              <w:marLeft w:val="0"/>
              <w:marRight w:val="0"/>
              <w:marTop w:val="0"/>
              <w:marBottom w:val="0"/>
              <w:divBdr>
                <w:top w:val="single" w:sz="12" w:space="0" w:color="E5EEFB"/>
                <w:left w:val="single" w:sz="12" w:space="9" w:color="E5EEFB"/>
                <w:bottom w:val="single" w:sz="12" w:space="0" w:color="E5EEFB"/>
                <w:right w:val="single" w:sz="12" w:space="9" w:color="E5EEFB"/>
              </w:divBdr>
              <w:divsChild>
                <w:div w:id="1334797034">
                  <w:marLeft w:val="0"/>
                  <w:marRight w:val="0"/>
                  <w:marTop w:val="0"/>
                  <w:marBottom w:val="0"/>
                  <w:divBdr>
                    <w:top w:val="none" w:sz="0" w:space="0" w:color="auto"/>
                    <w:left w:val="none" w:sz="0" w:space="0" w:color="auto"/>
                    <w:bottom w:val="none" w:sz="0" w:space="0" w:color="auto"/>
                    <w:right w:val="none" w:sz="0" w:space="0" w:color="auto"/>
                  </w:divBdr>
                  <w:divsChild>
                    <w:div w:id="1793746910">
                      <w:marLeft w:val="0"/>
                      <w:marRight w:val="0"/>
                      <w:marTop w:val="0"/>
                      <w:marBottom w:val="0"/>
                      <w:divBdr>
                        <w:top w:val="none" w:sz="0" w:space="0" w:color="auto"/>
                        <w:left w:val="none" w:sz="0" w:space="0" w:color="auto"/>
                        <w:bottom w:val="none" w:sz="0" w:space="0" w:color="auto"/>
                        <w:right w:val="none" w:sz="0" w:space="0" w:color="auto"/>
                      </w:divBdr>
                      <w:divsChild>
                        <w:div w:id="1058481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9402861">
          <w:marLeft w:val="0"/>
          <w:marRight w:val="0"/>
          <w:marTop w:val="0"/>
          <w:marBottom w:val="0"/>
          <w:divBdr>
            <w:top w:val="none" w:sz="0" w:space="0" w:color="auto"/>
            <w:left w:val="none" w:sz="0" w:space="0" w:color="auto"/>
            <w:bottom w:val="none" w:sz="0" w:space="0" w:color="auto"/>
            <w:right w:val="none" w:sz="0" w:space="0" w:color="auto"/>
          </w:divBdr>
          <w:divsChild>
            <w:div w:id="151409166">
              <w:marLeft w:val="0"/>
              <w:marRight w:val="0"/>
              <w:marTop w:val="0"/>
              <w:marBottom w:val="0"/>
              <w:divBdr>
                <w:top w:val="none" w:sz="0" w:space="0" w:color="auto"/>
                <w:left w:val="none" w:sz="0" w:space="0" w:color="auto"/>
                <w:bottom w:val="none" w:sz="0" w:space="0" w:color="auto"/>
                <w:right w:val="none" w:sz="0" w:space="0" w:color="auto"/>
              </w:divBdr>
              <w:divsChild>
                <w:div w:id="1674604225">
                  <w:marLeft w:val="0"/>
                  <w:marRight w:val="0"/>
                  <w:marTop w:val="0"/>
                  <w:marBottom w:val="0"/>
                  <w:divBdr>
                    <w:top w:val="none" w:sz="0" w:space="0" w:color="auto"/>
                    <w:left w:val="none" w:sz="0" w:space="0" w:color="auto"/>
                    <w:bottom w:val="single" w:sz="2" w:space="0" w:color="068C69"/>
                    <w:right w:val="none" w:sz="0" w:space="0" w:color="auto"/>
                  </w:divBdr>
                  <w:divsChild>
                    <w:div w:id="197004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0041417">
      <w:bodyDiv w:val="1"/>
      <w:marLeft w:val="0"/>
      <w:marRight w:val="0"/>
      <w:marTop w:val="0"/>
      <w:marBottom w:val="0"/>
      <w:divBdr>
        <w:top w:val="none" w:sz="0" w:space="0" w:color="auto"/>
        <w:left w:val="none" w:sz="0" w:space="0" w:color="auto"/>
        <w:bottom w:val="none" w:sz="0" w:space="0" w:color="auto"/>
        <w:right w:val="none" w:sz="0" w:space="0" w:color="auto"/>
      </w:divBdr>
    </w:div>
    <w:div w:id="1955018581">
      <w:bodyDiv w:val="1"/>
      <w:marLeft w:val="0"/>
      <w:marRight w:val="0"/>
      <w:marTop w:val="0"/>
      <w:marBottom w:val="0"/>
      <w:divBdr>
        <w:top w:val="none" w:sz="0" w:space="0" w:color="auto"/>
        <w:left w:val="none" w:sz="0" w:space="0" w:color="auto"/>
        <w:bottom w:val="none" w:sz="0" w:space="0" w:color="auto"/>
        <w:right w:val="none" w:sz="0" w:space="0" w:color="auto"/>
      </w:divBdr>
      <w:divsChild>
        <w:div w:id="868756796">
          <w:marLeft w:val="0"/>
          <w:marRight w:val="0"/>
          <w:marTop w:val="0"/>
          <w:marBottom w:val="0"/>
          <w:divBdr>
            <w:top w:val="single" w:sz="48" w:space="0" w:color="FFFFFF"/>
            <w:left w:val="none" w:sz="0" w:space="0" w:color="auto"/>
            <w:bottom w:val="single" w:sz="48" w:space="0" w:color="EDB600"/>
            <w:right w:val="none" w:sz="0" w:space="0" w:color="auto"/>
          </w:divBdr>
          <w:divsChild>
            <w:div w:id="1378160729">
              <w:marLeft w:val="0"/>
              <w:marRight w:val="0"/>
              <w:marTop w:val="0"/>
              <w:marBottom w:val="0"/>
              <w:divBdr>
                <w:top w:val="single" w:sz="12" w:space="0" w:color="E5EEFB"/>
                <w:left w:val="single" w:sz="12" w:space="9" w:color="E5EEFB"/>
                <w:bottom w:val="single" w:sz="12" w:space="0" w:color="E5EEFB"/>
                <w:right w:val="single" w:sz="12" w:space="9" w:color="E5EEFB"/>
              </w:divBdr>
              <w:divsChild>
                <w:div w:id="98453898">
                  <w:marLeft w:val="0"/>
                  <w:marRight w:val="0"/>
                  <w:marTop w:val="0"/>
                  <w:marBottom w:val="0"/>
                  <w:divBdr>
                    <w:top w:val="none" w:sz="0" w:space="0" w:color="auto"/>
                    <w:left w:val="none" w:sz="0" w:space="0" w:color="auto"/>
                    <w:bottom w:val="none" w:sz="0" w:space="0" w:color="auto"/>
                    <w:right w:val="none" w:sz="0" w:space="0" w:color="auto"/>
                  </w:divBdr>
                  <w:divsChild>
                    <w:div w:id="977490152">
                      <w:marLeft w:val="0"/>
                      <w:marRight w:val="0"/>
                      <w:marTop w:val="0"/>
                      <w:marBottom w:val="0"/>
                      <w:divBdr>
                        <w:top w:val="none" w:sz="0" w:space="0" w:color="auto"/>
                        <w:left w:val="none" w:sz="0" w:space="0" w:color="auto"/>
                        <w:bottom w:val="none" w:sz="0" w:space="0" w:color="auto"/>
                        <w:right w:val="none" w:sz="0" w:space="0" w:color="auto"/>
                      </w:divBdr>
                      <w:divsChild>
                        <w:div w:id="19596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4092585">
          <w:marLeft w:val="0"/>
          <w:marRight w:val="0"/>
          <w:marTop w:val="0"/>
          <w:marBottom w:val="0"/>
          <w:divBdr>
            <w:top w:val="none" w:sz="0" w:space="0" w:color="auto"/>
            <w:left w:val="none" w:sz="0" w:space="0" w:color="auto"/>
            <w:bottom w:val="none" w:sz="0" w:space="0" w:color="auto"/>
            <w:right w:val="none" w:sz="0" w:space="0" w:color="auto"/>
          </w:divBdr>
          <w:divsChild>
            <w:div w:id="1122959970">
              <w:marLeft w:val="0"/>
              <w:marRight w:val="0"/>
              <w:marTop w:val="0"/>
              <w:marBottom w:val="0"/>
              <w:divBdr>
                <w:top w:val="none" w:sz="0" w:space="0" w:color="auto"/>
                <w:left w:val="none" w:sz="0" w:space="0" w:color="auto"/>
                <w:bottom w:val="none" w:sz="0" w:space="0" w:color="auto"/>
                <w:right w:val="none" w:sz="0" w:space="0" w:color="auto"/>
              </w:divBdr>
              <w:divsChild>
                <w:div w:id="1540704072">
                  <w:marLeft w:val="0"/>
                  <w:marRight w:val="0"/>
                  <w:marTop w:val="375"/>
                  <w:marBottom w:val="0"/>
                  <w:divBdr>
                    <w:top w:val="none" w:sz="0" w:space="0" w:color="auto"/>
                    <w:left w:val="none" w:sz="0" w:space="0" w:color="auto"/>
                    <w:bottom w:val="single" w:sz="2" w:space="0" w:color="068C69"/>
                    <w:right w:val="none" w:sz="0" w:space="0" w:color="auto"/>
                  </w:divBdr>
                  <w:divsChild>
                    <w:div w:id="2117822560">
                      <w:marLeft w:val="0"/>
                      <w:marRight w:val="0"/>
                      <w:marTop w:val="0"/>
                      <w:marBottom w:val="0"/>
                      <w:divBdr>
                        <w:top w:val="none" w:sz="0" w:space="0" w:color="auto"/>
                        <w:left w:val="none" w:sz="0" w:space="0" w:color="auto"/>
                        <w:bottom w:val="none" w:sz="0" w:space="0" w:color="auto"/>
                        <w:right w:val="none" w:sz="0" w:space="0" w:color="auto"/>
                      </w:divBdr>
                      <w:divsChild>
                        <w:div w:id="641353639">
                          <w:marLeft w:val="0"/>
                          <w:marRight w:val="0"/>
                          <w:marTop w:val="0"/>
                          <w:marBottom w:val="0"/>
                          <w:divBdr>
                            <w:top w:val="none" w:sz="0" w:space="0" w:color="auto"/>
                            <w:left w:val="none" w:sz="0" w:space="0" w:color="auto"/>
                            <w:bottom w:val="none" w:sz="0" w:space="0" w:color="auto"/>
                            <w:right w:val="none" w:sz="0" w:space="0" w:color="auto"/>
                          </w:divBdr>
                          <w:divsChild>
                            <w:div w:id="403264065">
                              <w:marLeft w:val="0"/>
                              <w:marRight w:val="0"/>
                              <w:marTop w:val="0"/>
                              <w:marBottom w:val="0"/>
                              <w:divBdr>
                                <w:top w:val="none" w:sz="0" w:space="0" w:color="auto"/>
                                <w:left w:val="none" w:sz="0" w:space="0" w:color="auto"/>
                                <w:bottom w:val="none" w:sz="0" w:space="0" w:color="auto"/>
                                <w:right w:val="none" w:sz="0" w:space="0" w:color="auto"/>
                              </w:divBdr>
                              <w:divsChild>
                                <w:div w:id="441652236">
                                  <w:marLeft w:val="0"/>
                                  <w:marRight w:val="0"/>
                                  <w:marTop w:val="0"/>
                                  <w:marBottom w:val="0"/>
                                  <w:divBdr>
                                    <w:top w:val="none" w:sz="0" w:space="0" w:color="auto"/>
                                    <w:left w:val="none" w:sz="0" w:space="0" w:color="auto"/>
                                    <w:bottom w:val="single" w:sz="2" w:space="0" w:color="068C69"/>
                                    <w:right w:val="none" w:sz="0" w:space="0" w:color="auto"/>
                                  </w:divBdr>
                                </w:div>
                              </w:divsChild>
                            </w:div>
                          </w:divsChild>
                        </w:div>
                      </w:divsChild>
                    </w:div>
                  </w:divsChild>
                </w:div>
              </w:divsChild>
            </w:div>
          </w:divsChild>
        </w:div>
      </w:divsChild>
    </w:div>
    <w:div w:id="1958102453">
      <w:bodyDiv w:val="1"/>
      <w:marLeft w:val="0"/>
      <w:marRight w:val="0"/>
      <w:marTop w:val="0"/>
      <w:marBottom w:val="0"/>
      <w:divBdr>
        <w:top w:val="none" w:sz="0" w:space="0" w:color="auto"/>
        <w:left w:val="none" w:sz="0" w:space="0" w:color="auto"/>
        <w:bottom w:val="none" w:sz="0" w:space="0" w:color="auto"/>
        <w:right w:val="none" w:sz="0" w:space="0" w:color="auto"/>
      </w:divBdr>
    </w:div>
    <w:div w:id="1961496699">
      <w:bodyDiv w:val="1"/>
      <w:marLeft w:val="0"/>
      <w:marRight w:val="0"/>
      <w:marTop w:val="0"/>
      <w:marBottom w:val="0"/>
      <w:divBdr>
        <w:top w:val="none" w:sz="0" w:space="0" w:color="auto"/>
        <w:left w:val="none" w:sz="0" w:space="0" w:color="auto"/>
        <w:bottom w:val="none" w:sz="0" w:space="0" w:color="auto"/>
        <w:right w:val="none" w:sz="0" w:space="0" w:color="auto"/>
      </w:divBdr>
    </w:div>
    <w:div w:id="2010403566">
      <w:bodyDiv w:val="1"/>
      <w:marLeft w:val="0"/>
      <w:marRight w:val="0"/>
      <w:marTop w:val="0"/>
      <w:marBottom w:val="0"/>
      <w:divBdr>
        <w:top w:val="none" w:sz="0" w:space="0" w:color="auto"/>
        <w:left w:val="none" w:sz="0" w:space="0" w:color="auto"/>
        <w:bottom w:val="none" w:sz="0" w:space="0" w:color="auto"/>
        <w:right w:val="none" w:sz="0" w:space="0" w:color="auto"/>
      </w:divBdr>
      <w:divsChild>
        <w:div w:id="949891435">
          <w:blockQuote w:val="1"/>
          <w:marLeft w:val="720"/>
          <w:marRight w:val="720"/>
          <w:marTop w:val="100"/>
          <w:marBottom w:val="100"/>
          <w:divBdr>
            <w:top w:val="none" w:sz="0" w:space="0" w:color="auto"/>
            <w:left w:val="none" w:sz="0" w:space="0" w:color="auto"/>
            <w:bottom w:val="none" w:sz="0" w:space="0" w:color="auto"/>
            <w:right w:val="none" w:sz="0" w:space="0" w:color="auto"/>
          </w:divBdr>
        </w:div>
        <w:div w:id="1985310577">
          <w:blockQuote w:val="1"/>
          <w:marLeft w:val="720"/>
          <w:marRight w:val="720"/>
          <w:marTop w:val="100"/>
          <w:marBottom w:val="100"/>
          <w:divBdr>
            <w:top w:val="none" w:sz="0" w:space="0" w:color="auto"/>
            <w:left w:val="none" w:sz="0" w:space="0" w:color="auto"/>
            <w:bottom w:val="none" w:sz="0" w:space="0" w:color="auto"/>
            <w:right w:val="none" w:sz="0" w:space="0" w:color="auto"/>
          </w:divBdr>
        </w:div>
        <w:div w:id="205318923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51104569">
      <w:bodyDiv w:val="1"/>
      <w:marLeft w:val="0"/>
      <w:marRight w:val="0"/>
      <w:marTop w:val="0"/>
      <w:marBottom w:val="0"/>
      <w:divBdr>
        <w:top w:val="none" w:sz="0" w:space="0" w:color="auto"/>
        <w:left w:val="none" w:sz="0" w:space="0" w:color="auto"/>
        <w:bottom w:val="none" w:sz="0" w:space="0" w:color="auto"/>
        <w:right w:val="none" w:sz="0" w:space="0" w:color="auto"/>
      </w:divBdr>
    </w:div>
    <w:div w:id="2077582780">
      <w:bodyDiv w:val="1"/>
      <w:marLeft w:val="0"/>
      <w:marRight w:val="0"/>
      <w:marTop w:val="0"/>
      <w:marBottom w:val="0"/>
      <w:divBdr>
        <w:top w:val="none" w:sz="0" w:space="0" w:color="auto"/>
        <w:left w:val="none" w:sz="0" w:space="0" w:color="auto"/>
        <w:bottom w:val="none" w:sz="0" w:space="0" w:color="auto"/>
        <w:right w:val="none" w:sz="0" w:space="0" w:color="auto"/>
      </w:divBdr>
      <w:divsChild>
        <w:div w:id="651522222">
          <w:marLeft w:val="0"/>
          <w:marRight w:val="0"/>
          <w:marTop w:val="0"/>
          <w:marBottom w:val="0"/>
          <w:divBdr>
            <w:top w:val="single" w:sz="48" w:space="0" w:color="FFFFFF"/>
            <w:left w:val="none" w:sz="0" w:space="0" w:color="auto"/>
            <w:bottom w:val="single" w:sz="48" w:space="0" w:color="EDB600"/>
            <w:right w:val="none" w:sz="0" w:space="0" w:color="auto"/>
          </w:divBdr>
          <w:divsChild>
            <w:div w:id="1812671282">
              <w:marLeft w:val="0"/>
              <w:marRight w:val="0"/>
              <w:marTop w:val="0"/>
              <w:marBottom w:val="0"/>
              <w:divBdr>
                <w:top w:val="single" w:sz="12" w:space="0" w:color="E5EEFB"/>
                <w:left w:val="single" w:sz="12" w:space="9" w:color="E5EEFB"/>
                <w:bottom w:val="single" w:sz="12" w:space="0" w:color="E5EEFB"/>
                <w:right w:val="single" w:sz="12" w:space="9" w:color="E5EEFB"/>
              </w:divBdr>
              <w:divsChild>
                <w:div w:id="404229297">
                  <w:marLeft w:val="0"/>
                  <w:marRight w:val="0"/>
                  <w:marTop w:val="0"/>
                  <w:marBottom w:val="0"/>
                  <w:divBdr>
                    <w:top w:val="none" w:sz="0" w:space="0" w:color="auto"/>
                    <w:left w:val="none" w:sz="0" w:space="0" w:color="auto"/>
                    <w:bottom w:val="none" w:sz="0" w:space="0" w:color="auto"/>
                    <w:right w:val="none" w:sz="0" w:space="0" w:color="auto"/>
                  </w:divBdr>
                  <w:divsChild>
                    <w:div w:id="1814129352">
                      <w:marLeft w:val="0"/>
                      <w:marRight w:val="0"/>
                      <w:marTop w:val="0"/>
                      <w:marBottom w:val="0"/>
                      <w:divBdr>
                        <w:top w:val="none" w:sz="0" w:space="0" w:color="auto"/>
                        <w:left w:val="none" w:sz="0" w:space="0" w:color="auto"/>
                        <w:bottom w:val="none" w:sz="0" w:space="0" w:color="auto"/>
                        <w:right w:val="none" w:sz="0" w:space="0" w:color="auto"/>
                      </w:divBdr>
                      <w:divsChild>
                        <w:div w:id="167179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1472116">
          <w:marLeft w:val="0"/>
          <w:marRight w:val="0"/>
          <w:marTop w:val="0"/>
          <w:marBottom w:val="0"/>
          <w:divBdr>
            <w:top w:val="none" w:sz="0" w:space="0" w:color="auto"/>
            <w:left w:val="none" w:sz="0" w:space="0" w:color="auto"/>
            <w:bottom w:val="none" w:sz="0" w:space="0" w:color="auto"/>
            <w:right w:val="none" w:sz="0" w:space="0" w:color="auto"/>
          </w:divBdr>
          <w:divsChild>
            <w:div w:id="649022285">
              <w:marLeft w:val="0"/>
              <w:marRight w:val="0"/>
              <w:marTop w:val="0"/>
              <w:marBottom w:val="0"/>
              <w:divBdr>
                <w:top w:val="none" w:sz="0" w:space="0" w:color="auto"/>
                <w:left w:val="none" w:sz="0" w:space="0" w:color="auto"/>
                <w:bottom w:val="none" w:sz="0" w:space="0" w:color="auto"/>
                <w:right w:val="none" w:sz="0" w:space="0" w:color="auto"/>
              </w:divBdr>
              <w:divsChild>
                <w:div w:id="1616130930">
                  <w:marLeft w:val="0"/>
                  <w:marRight w:val="0"/>
                  <w:marTop w:val="0"/>
                  <w:marBottom w:val="0"/>
                  <w:divBdr>
                    <w:top w:val="none" w:sz="0" w:space="0" w:color="auto"/>
                    <w:left w:val="none" w:sz="0" w:space="0" w:color="auto"/>
                    <w:bottom w:val="single" w:sz="2" w:space="0" w:color="068C69"/>
                    <w:right w:val="none" w:sz="0" w:space="0" w:color="auto"/>
                  </w:divBdr>
                  <w:divsChild>
                    <w:div w:id="715809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2360262">
      <w:bodyDiv w:val="1"/>
      <w:marLeft w:val="0"/>
      <w:marRight w:val="0"/>
      <w:marTop w:val="0"/>
      <w:marBottom w:val="0"/>
      <w:divBdr>
        <w:top w:val="none" w:sz="0" w:space="0" w:color="auto"/>
        <w:left w:val="none" w:sz="0" w:space="0" w:color="auto"/>
        <w:bottom w:val="none" w:sz="0" w:space="0" w:color="auto"/>
        <w:right w:val="none" w:sz="0" w:space="0" w:color="auto"/>
      </w:divBdr>
    </w:div>
    <w:div w:id="2085254622">
      <w:bodyDiv w:val="1"/>
      <w:marLeft w:val="0"/>
      <w:marRight w:val="0"/>
      <w:marTop w:val="0"/>
      <w:marBottom w:val="0"/>
      <w:divBdr>
        <w:top w:val="none" w:sz="0" w:space="0" w:color="auto"/>
        <w:left w:val="none" w:sz="0" w:space="0" w:color="auto"/>
        <w:bottom w:val="none" w:sz="0" w:space="0" w:color="auto"/>
        <w:right w:val="none" w:sz="0" w:space="0" w:color="auto"/>
      </w:divBdr>
    </w:div>
    <w:div w:id="2087335910">
      <w:bodyDiv w:val="1"/>
      <w:marLeft w:val="0"/>
      <w:marRight w:val="0"/>
      <w:marTop w:val="0"/>
      <w:marBottom w:val="0"/>
      <w:divBdr>
        <w:top w:val="none" w:sz="0" w:space="0" w:color="auto"/>
        <w:left w:val="none" w:sz="0" w:space="0" w:color="auto"/>
        <w:bottom w:val="none" w:sz="0" w:space="0" w:color="auto"/>
        <w:right w:val="none" w:sz="0" w:space="0" w:color="auto"/>
      </w:divBdr>
    </w:div>
    <w:div w:id="2105346867">
      <w:bodyDiv w:val="1"/>
      <w:marLeft w:val="0"/>
      <w:marRight w:val="0"/>
      <w:marTop w:val="0"/>
      <w:marBottom w:val="0"/>
      <w:divBdr>
        <w:top w:val="none" w:sz="0" w:space="0" w:color="auto"/>
        <w:left w:val="none" w:sz="0" w:space="0" w:color="auto"/>
        <w:bottom w:val="none" w:sz="0" w:space="0" w:color="auto"/>
        <w:right w:val="none" w:sz="0" w:space="0" w:color="auto"/>
      </w:divBdr>
    </w:div>
    <w:div w:id="2130005061">
      <w:bodyDiv w:val="1"/>
      <w:marLeft w:val="0"/>
      <w:marRight w:val="0"/>
      <w:marTop w:val="0"/>
      <w:marBottom w:val="0"/>
      <w:divBdr>
        <w:top w:val="none" w:sz="0" w:space="0" w:color="auto"/>
        <w:left w:val="none" w:sz="0" w:space="0" w:color="auto"/>
        <w:bottom w:val="none" w:sz="0" w:space="0" w:color="auto"/>
        <w:right w:val="none" w:sz="0" w:space="0" w:color="auto"/>
      </w:divBdr>
    </w:div>
    <w:div w:id="2131313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hyperlink" Target="https://www.funcionpublica.gov.co/eva/gestornormativo/norma.php?i=77887" TargetMode="External" Id="rId26" /><Relationship Type="http://schemas.openxmlformats.org/officeDocument/2006/relationships/diagramLayout" Target="diagrams/layout1.xml" Id="rId21" /><Relationship Type="http://schemas.openxmlformats.org/officeDocument/2006/relationships/hyperlink" Target="https://www.anh.gov.co/documents/26697/11._Plan_de_Seguridad_y_Privacidad_de_la_Informaci%C3%B3n_2025.pdf" TargetMode="External" Id="rId42" /><Relationship Type="http://schemas.openxmlformats.org/officeDocument/2006/relationships/hyperlink" Target="https://www.anm.gov.co/sites/default/files/2025-01-31-Plan-Estrategico-Tecnologias-Informacion-Comunicaciones-%28PETIC%29-2020-2030-Version-3.pdf" TargetMode="External" Id="rId47" /><Relationship Type="http://schemas.openxmlformats.org/officeDocument/2006/relationships/hyperlink" Target="https://ipse.gov.co/documento_planeacion/documento/planes_estrategicos_sectoriales_e_institucionales/2025/11_Plan-de-Seguridad-y-Privacidad-de-la-Informacion-2025-IPSE.pdf" TargetMode="External" Id="rId63" /><Relationship Type="http://schemas.openxmlformats.org/officeDocument/2006/relationships/hyperlink" Target="https://www.sgc.gov.co/" TargetMode="External" Id="rId68" /><Relationship Type="http://schemas.openxmlformats.org/officeDocument/2006/relationships/image" Target="media/image13.png" Id="rId84" /><Relationship Type="http://schemas.openxmlformats.org/officeDocument/2006/relationships/footer" Target="footer2.xml" Id="rId89" /><Relationship Type="http://schemas.openxmlformats.org/officeDocument/2006/relationships/image" Target="media/image6.png" Id="rId16" /><Relationship Type="http://schemas.openxmlformats.org/officeDocument/2006/relationships/image" Target="media/image1.png" Id="rId11" /><Relationship Type="http://schemas.openxmlformats.org/officeDocument/2006/relationships/hyperlink" Target="https://www.minenergia.gov.co/es/ministerio/gestion/procesos-y-procedimientos/" TargetMode="External" Id="rId32" /><Relationship Type="http://schemas.openxmlformats.org/officeDocument/2006/relationships/hyperlink" Target="https://www.funcionpublica.gov.co/eva/gestornormativo/norma.php?i=65495" TargetMode="External" Id="rId37" /><Relationship Type="http://schemas.openxmlformats.org/officeDocument/2006/relationships/hyperlink" Target="https://creg.gov.co/" TargetMode="External" Id="rId53" /><Relationship Type="http://schemas.openxmlformats.org/officeDocument/2006/relationships/hyperlink" Target="https://creg.gov.co/publicaciones/10234/procedimientos/" TargetMode="External" Id="rId58" /><Relationship Type="http://schemas.openxmlformats.org/officeDocument/2006/relationships/hyperlink" Target="https://www.funcionpublica.gov.co/eva/gestornormativo/norma.php?i=226770" TargetMode="External" Id="rId74" /><Relationship Type="http://schemas.openxmlformats.org/officeDocument/2006/relationships/hyperlink" Target="https://docs.upme.gov.co/Planes/Plan_de_tratamiento_de_riesgos_de_seguridad_y_privacidad_de_la_informacion_2025.pdf" TargetMode="External" Id="rId79" /><Relationship Type="http://schemas.openxmlformats.org/officeDocument/2006/relationships/numbering" Target="numbering.xml" Id="rId5" /><Relationship Type="http://schemas.openxmlformats.org/officeDocument/2006/relationships/fontTable" Target="fontTable.xml" Id="rId90" /><Relationship Type="http://schemas.openxmlformats.org/officeDocument/2006/relationships/diagramQuickStyle" Target="diagrams/quickStyle1.xml" Id="rId22" /><Relationship Type="http://schemas.openxmlformats.org/officeDocument/2006/relationships/hyperlink" Target="https://www.minenergia.gov.co/es" TargetMode="External" Id="rId27" /><Relationship Type="http://schemas.openxmlformats.org/officeDocument/2006/relationships/hyperlink" Target="https://www.anh.gov.co/es/la-anh/procesos-y-procedimientos/mapa-de-procesos-anh/" TargetMode="External" Id="rId43" /><Relationship Type="http://schemas.openxmlformats.org/officeDocument/2006/relationships/hyperlink" Target="https://www.anm.gov.co/sites/default/files/2025-01-31-Plan-seguridad-privacidad-informacion-2025.pdf" TargetMode="External" Id="rId48" /><Relationship Type="http://schemas.openxmlformats.org/officeDocument/2006/relationships/hyperlink" Target="https://ipse.gov.co/documento_planeacion/documento/planes_estrategicos_sectoriales_e_institucionales/2025/12_Plan-de-Tratamiento-de-Riesgos-de-Seguridad-y-Privacidad-de-la-Informacion-2025-IPSE.pdf" TargetMode="External" Id="rId64" /><Relationship Type="http://schemas.openxmlformats.org/officeDocument/2006/relationships/hyperlink" Target="https://www2.sgc.gov.co/Nosotros/Documents/Plan-estrategico-decenal-SGC-2023-2032.pdf" TargetMode="External" Id="rId69" /><Relationship Type="http://schemas.openxmlformats.org/officeDocument/2006/relationships/webSettings" Target="webSettings.xml" Id="rId8" /><Relationship Type="http://schemas.openxmlformats.org/officeDocument/2006/relationships/hyperlink" Target="https://www.funcionpublica.gov.co/eva/gestornormativo/norma.php?i=2752" TargetMode="External" Id="rId51" /><Relationship Type="http://schemas.openxmlformats.org/officeDocument/2006/relationships/hyperlink" Target="https://www2.sgc.gov.co/ControlYRendicion/TransparenciasYAccesoAlaInformacion/Documents/Plan-de-accion/2025/Plan-de-Tratamiento-de-Riesgos-de-Seguridad-y-Privacidad-de-la-Informacion-2025.pdf" TargetMode="External" Id="rId72" /><Relationship Type="http://schemas.openxmlformats.org/officeDocument/2006/relationships/hyperlink" Target="https://www1.upme.gov.co/Gestion-y-control/Paginas/Mapa-de-procesos.aspx" TargetMode="External" Id="rId80" /><Relationship Type="http://schemas.openxmlformats.org/officeDocument/2006/relationships/image" Target="media/image14.png" Id="rId85" /><Relationship Type="http://schemas.microsoft.com/office/2020/10/relationships/intelligence" Target="intelligence2.xml" Id="rId93"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hyperlink" Target="https://colaboracion.dnp.gov.co/CDT/Prensa/Publicaciones/plan-nacional-de-desarrollo-2022-2026-colombia-potencia-mundial-de-la-vida.pdf" TargetMode="External" Id="rId25" /><Relationship Type="http://schemas.openxmlformats.org/officeDocument/2006/relationships/hyperlink" Target="https://www.funcionpublica.gov.co/eva/gestornormativo/norma.php?i=83537" TargetMode="External" Id="rId33" /><Relationship Type="http://schemas.openxmlformats.org/officeDocument/2006/relationships/hyperlink" Target="https://www.anh.gov.co/es/" TargetMode="External" Id="rId38" /><Relationship Type="http://schemas.openxmlformats.org/officeDocument/2006/relationships/hyperlink" Target="https://www.anm.gov.co/sites/default/files/2025-06-03-Plan-Estrategico-Institucional-PEI-Plan.xlsx" TargetMode="External" Id="rId46" /><Relationship Type="http://schemas.openxmlformats.org/officeDocument/2006/relationships/hyperlink" Target="https://www.funcionpublica.gov.co/eva/gestornormativo/norma.php?i=66897" TargetMode="External" Id="rId59" /><Relationship Type="http://schemas.openxmlformats.org/officeDocument/2006/relationships/hyperlink" Target="https://www.funcionpublica.gov.co/eva/gestornormativo/norma.php?i=68363" TargetMode="External" Id="rId67" /><Relationship Type="http://schemas.openxmlformats.org/officeDocument/2006/relationships/diagramData" Target="diagrams/data1.xml" Id="rId20" /><Relationship Type="http://schemas.openxmlformats.org/officeDocument/2006/relationships/hyperlink" Target="https://www.anh.gov.co/documents/26697/11._Plan_de_Seguridad_y_Privacidad_de_la_Informaci%C3%B3n_2025.pdf" TargetMode="External" Id="rId41" /><Relationship Type="http://schemas.openxmlformats.org/officeDocument/2006/relationships/hyperlink" Target="https://creg.gov.co/publicaciones/15892/plan-estrategico-institucional/" TargetMode="External" Id="rId54" /><Relationship Type="http://schemas.openxmlformats.org/officeDocument/2006/relationships/hyperlink" Target="https://ipse.gov.co/documento_planeacion/documento/planes_estrategicos_sectoriales_e_institucionales/2025/10_PLAN-ESTRATEGICO-DE-TECNOLOGIAS-DE-LA-INFORMACION-PETIC-2024-2027-TSI-V2.pdf" TargetMode="External" Id="rId62" /><Relationship Type="http://schemas.openxmlformats.org/officeDocument/2006/relationships/hyperlink" Target="https://www2.sgc.gov.co/ControlYRendicion/TransparenciasYAccesoAlaInformacion/Documents/Planeacion/Planes-institucionales/2024/11-Plan-Estrategico-de-Tecnologias-de-la-Informacion-PETI-2023-2026_v3.pdf" TargetMode="External" Id="rId70" /><Relationship Type="http://schemas.openxmlformats.org/officeDocument/2006/relationships/hyperlink" Target="https://www.upme.gov.co/" TargetMode="External" Id="rId75" /><Relationship Type="http://schemas.openxmlformats.org/officeDocument/2006/relationships/image" Target="media/image12.png" Id="rId83" /><Relationship Type="http://schemas.openxmlformats.org/officeDocument/2006/relationships/footer" Target="footer1.xml" Id="rId88" /><Relationship Type="http://schemas.openxmlformats.org/officeDocument/2006/relationships/theme" Target="theme/theme1.xml" Id="rId9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15" /><Relationship Type="http://schemas.openxmlformats.org/officeDocument/2006/relationships/diagramColors" Target="diagrams/colors1.xml" Id="rId23" /><Relationship Type="http://schemas.openxmlformats.org/officeDocument/2006/relationships/hyperlink" Target="https://www.minenergia.gov.co/documents/11801/Plan_Estrat%C3%A9gico_Sectorial_Mina_y_Energ%C3%ADa.pdf" TargetMode="External" Id="rId28" /><Relationship Type="http://schemas.openxmlformats.org/officeDocument/2006/relationships/hyperlink" Target="https://fenoge.gov.co/nuestra-organizacion/" TargetMode="External" Id="rId36" /><Relationship Type="http://schemas.openxmlformats.org/officeDocument/2006/relationships/hyperlink" Target="https://www.anm.gov.co/sites/default/files/2025-01-31-Plan-Tratamiento-Riesgos-Seguridad-Privacidad-Informacion.pdf" TargetMode="External" Id="rId49" /><Relationship Type="http://schemas.openxmlformats.org/officeDocument/2006/relationships/hyperlink" Target="https://creg.analitica.com.co/AZDigital/ControlAdmin/BajarArchivo.php?ArId=1352237" TargetMode="External" Id="rId57" /><Relationship Type="http://schemas.openxmlformats.org/officeDocument/2006/relationships/endnotes" Target="endnotes.xml" Id="rId10" /><Relationship Type="http://schemas.openxmlformats.org/officeDocument/2006/relationships/hyperlink" Target="https://www.minenergia.gov.co/documents/13128/Plan_de_tratamiento_de_riesgos_de_seguridad_de_la_informaci%C3%B3n_MME_2025.pdf" TargetMode="External" Id="rId31" /><Relationship Type="http://schemas.openxmlformats.org/officeDocument/2006/relationships/hyperlink" Target="https://www.funcionpublica.gov.co/eva/gestornormativo/norma.php?i=44599" TargetMode="External" Id="rId44" /><Relationship Type="http://schemas.openxmlformats.org/officeDocument/2006/relationships/hyperlink" Target="https://www.funcionpublica.gov.co/eva/gestornormativo/norma.php?i=1253" TargetMode="External" Id="rId52" /><Relationship Type="http://schemas.openxmlformats.org/officeDocument/2006/relationships/hyperlink" Target="https://ipse.gov.co/" TargetMode="External" Id="rId60" /><Relationship Type="http://schemas.openxmlformats.org/officeDocument/2006/relationships/hyperlink" Target="https://ipse.gov.co/mapa-del-sitio/transparencia-ipse/estructura-organica-y-talento-humano/procesos-y-procedimientos/" TargetMode="External" Id="rId65" /><Relationship Type="http://schemas.openxmlformats.org/officeDocument/2006/relationships/hyperlink" Target="https://www.funcionpublica.gov.co/eva/gestornormativo/norma.php?i=65467" TargetMode="External" Id="rId73" /><Relationship Type="http://schemas.openxmlformats.org/officeDocument/2006/relationships/hyperlink" Target="https://docs.upme.gov.co/Planes/Plan_de_seguridad_y_privacidad_de_la_informacion_2025.pdf" TargetMode="External" Id="rId78" /><Relationship Type="http://schemas.openxmlformats.org/officeDocument/2006/relationships/image" Target="media/image10.png" Id="rId81" /><Relationship Type="http://schemas.openxmlformats.org/officeDocument/2006/relationships/image" Target="media/image15.png" Id="rId86"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hyperlink" Target="https://www.anh.gov.co/documents/21255/Plan_Estrat%C3%A9gico_ANH_-_2023-2026.pdf" TargetMode="External" Id="rId39" /><Relationship Type="http://schemas.openxmlformats.org/officeDocument/2006/relationships/hyperlink" Target="https://fenoge.gov.co/" TargetMode="External" Id="rId34" /><Relationship Type="http://schemas.openxmlformats.org/officeDocument/2006/relationships/hyperlink" Target="https://www.anm.gov.co/acceso-isolucion" TargetMode="External" Id="rId50" /><Relationship Type="http://schemas.openxmlformats.org/officeDocument/2006/relationships/hyperlink" Target="https://creg.analitica.com.co/AZDigital/ControlAdmin/BajarArchivo.php?ArId=1352334" TargetMode="External" Id="rId55" /><Relationship Type="http://schemas.openxmlformats.org/officeDocument/2006/relationships/hyperlink" Target="https://docs.upme.gov.co/Planes/Plan_Estrategico_institucional_2023-2026_para_consulta.pdf" TargetMode="External" Id="rId76" /><Relationship Type="http://schemas.openxmlformats.org/officeDocument/2006/relationships/settings" Target="settings.xml" Id="rId7" /><Relationship Type="http://schemas.openxmlformats.org/officeDocument/2006/relationships/hyperlink" Target="https://www2.sgc.gov.co/ControlYRendicion/TransparenciasYAccesoAlaInformacion/Documents/Planeacion/Planes-institucionales/2024/13-Plan-Seguridad-Privacidad-Informacion-2024.pdf" TargetMode="External" Id="rId71" /><Relationship Type="http://schemas.microsoft.com/office/2019/05/relationships/documenttasks" Target="documenttasks/documenttasks1.xml" Id="rId92" /><Relationship Type="http://schemas.openxmlformats.org/officeDocument/2006/relationships/customXml" Target="../customXml/item2.xml" Id="rId2" /><Relationship Type="http://schemas.openxmlformats.org/officeDocument/2006/relationships/hyperlink" Target="https://www.minenergia.gov.co/documents/13127/Plan_Estrat%C3%A9gico_de_Tecnologias_de_la_Informaci%C3%B3n_PETI_MME_2024-2027.pdf" TargetMode="External" Id="rId29" /><Relationship Type="http://schemas.microsoft.com/office/2007/relationships/diagramDrawing" Target="diagrams/drawing1.xml" Id="rId24" /><Relationship Type="http://schemas.openxmlformats.org/officeDocument/2006/relationships/hyperlink" Target="https://www.anh.gov.co/documents/21589/ANH-PETI_V1.0_2023-2026.pdf" TargetMode="External" Id="rId40" /><Relationship Type="http://schemas.openxmlformats.org/officeDocument/2006/relationships/hyperlink" Target="https://www.anm.gov.co/" TargetMode="External" Id="rId45" /><Relationship Type="http://schemas.openxmlformats.org/officeDocument/2006/relationships/hyperlink" Target="https://www.funcionpublica.gov.co/eva/gestornormativo/norma.php?i=66360" TargetMode="External" Id="rId66" /><Relationship Type="http://schemas.openxmlformats.org/officeDocument/2006/relationships/header" Target="header1.xml" Id="rId87" /><Relationship Type="http://schemas.openxmlformats.org/officeDocument/2006/relationships/hyperlink" Target="https://ipse.gov.co/mapa-del-sitio/transparencia-ipse/planeacion/plan-estrategico-institucional-pei/?utm_source=chatgpt.com" TargetMode="External" Id="rId61" /><Relationship Type="http://schemas.openxmlformats.org/officeDocument/2006/relationships/image" Target="media/image11.png" Id="rId82" /><Relationship Type="http://schemas.openxmlformats.org/officeDocument/2006/relationships/image" Target="media/image9.png" Id="rId19" /><Relationship Type="http://schemas.openxmlformats.org/officeDocument/2006/relationships/image" Target="media/image4.png" Id="rId14" /><Relationship Type="http://schemas.openxmlformats.org/officeDocument/2006/relationships/hyperlink" Target="https://www.minenergia.gov.co/documents/13096/Plan_de_seguridad_y_privacidad_de_la_informaci%C3%B3n_2025.pdf" TargetMode="External" Id="rId30" /><Relationship Type="http://schemas.openxmlformats.org/officeDocument/2006/relationships/hyperlink" Target="https://fenoge.gov.co/documentos-pdf/Politicas/Politica_de_privacidad_y_seguridad_de_la_informacion.pdf" TargetMode="External" Id="rId35" /><Relationship Type="http://schemas.openxmlformats.org/officeDocument/2006/relationships/hyperlink" Target="https://creg.analitica.com.co/AZDigital/ControlAdmin/BajarArchivo.php?ArId=1352243" TargetMode="External" Id="rId56" /><Relationship Type="http://schemas.openxmlformats.org/officeDocument/2006/relationships/hyperlink" Target="https://docs.upme.gov.co/Planes/Plan_estrategico_de_tecnologias_de_la_informacion_PETI_2025.pdf" TargetMode="External" Id="rId7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gobiernodigital.mintic.gov.co/portal/Politica-de-Gobierno-Digital/" TargetMode="External"/><Relationship Id="rId3" Type="http://schemas.openxmlformats.org/officeDocument/2006/relationships/hyperlink" Target="https://www.minenergia.gov.co/documents/15217/PLAN_ESTRAT%C3%89GICO_DE_TECNOLOG%C3%8DAS_DE_LA_INFORMACI%C3%93N_Y_LAS_COMUNICACIONES_2026.pdf" TargetMode="External"/><Relationship Id="rId7" Type="http://schemas.openxmlformats.org/officeDocument/2006/relationships/hyperlink" Target="https://www.minenergia.gov.co/documents/15218/PLAN_DE_TRATAMIENTO_DE_RIESGOS_DE_SEGURIDAD_DE_LA_INFORMACI%C3%93N_2026.pdf" TargetMode="External"/><Relationship Id="rId2" Type="http://schemas.openxmlformats.org/officeDocument/2006/relationships/hyperlink" Target="https://www.mintic.gov.co/portal/715/articles-334120_recurso_1.pdf" TargetMode="External"/><Relationship Id="rId1" Type="http://schemas.openxmlformats.org/officeDocument/2006/relationships/hyperlink" Target="https://www.funcionpublica.gov.co/eva/gestornormativo/norma.php?i=209510" TargetMode="External"/><Relationship Id="rId6" Type="http://schemas.openxmlformats.org/officeDocument/2006/relationships/hyperlink" Target="https://www.minenergia.gov.co/documents/15219/PLAN_DE_SEGURIDAD_Y_PRIVACIDAD_DE_LA_INFORMACI%C3%93N_2026.pdf" TargetMode="External"/><Relationship Id="rId11" Type="http://schemas.openxmlformats.org/officeDocument/2006/relationships/hyperlink" Target="https://www.minenergia.gov.co/documents/11801/Plan_Estrat%C3%A9gico_Sectorial_Mina_y_Energ%C3%ADa.pdf" TargetMode="External"/><Relationship Id="rId5" Type="http://schemas.openxmlformats.org/officeDocument/2006/relationships/hyperlink" Target="https://colaboracion.dnp.gov.co/CDT/Conpes/Econ%C3%B3micos/4144.pdf" TargetMode="External"/><Relationship Id="rId10" Type="http://schemas.openxmlformats.org/officeDocument/2006/relationships/hyperlink" Target="https://minenergiacol.sharepoint.com/:x:/r/sites/MAE-ModelodeArquitecturaEmpresarial/Documentos%20compartidos/A.%20Institucional-%20AIN/Gesti%C3%B3n%20AIN/1.%20Planeaci%C3%B3n%20Inst/PETI%20Sectorial/2026/Anexos%20PETI%20Sectorial/Anexo%2014%20-%20DOFA.xlsx?d=w99d534ed8ae149afa0c4dd6464d12d1d&amp;csf=1&amp;web=1&amp;e=IF8erz" TargetMode="External"/><Relationship Id="rId4" Type="http://schemas.openxmlformats.org/officeDocument/2006/relationships/hyperlink" Target="https://colaboracion.dnp.gov.co/CDT/Conpes/Econ%C3%B3micos/4075.pdf" TargetMode="External"/><Relationship Id="rId9" Type="http://schemas.openxmlformats.org/officeDocument/2006/relationships/hyperlink" Target="https://www1.funcionpublica.gov.co/web/mi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diagrams/colors1.xml><?xml version="1.0" encoding="utf-8"?>
<dgm:colorsDef xmlns:dgm="http://schemas.openxmlformats.org/drawingml/2006/diagram" xmlns:a="http://schemas.openxmlformats.org/drawingml/2006/main" uniqueId="urn:microsoft.com/office/officeart/2005/8/colors/accent1_5">
  <dgm:title val=""/>
  <dgm:desc val=""/>
  <dgm:catLst>
    <dgm:cat type="accent1" pri="11500"/>
  </dgm:catLst>
  <dgm:styleLbl name="node0">
    <dgm:fillClrLst meth="cycle">
      <a:schemeClr val="accent1">
        <a:alpha val="80000"/>
      </a:schemeClr>
    </dgm:fillClrLst>
    <dgm:linClrLst meth="repeat">
      <a:schemeClr val="lt1"/>
    </dgm:linClrLst>
    <dgm:effectClrLst/>
    <dgm:txLinClrLst/>
    <dgm:txFillClrLst/>
    <dgm:txEffectClrLst/>
  </dgm:styleLbl>
  <dgm:styleLbl name="node1">
    <dgm:fillClrLst>
      <a:schemeClr val="accent1">
        <a:alpha val="90000"/>
      </a:schemeClr>
      <a:schemeClr val="accent1">
        <a:alpha val="50000"/>
      </a:schemeClr>
    </dgm:fillClrLst>
    <dgm:linClrLst meth="repeat">
      <a:schemeClr val="lt1"/>
    </dgm:linClrLst>
    <dgm:effectClrLst/>
    <dgm:txLinClrLst/>
    <dgm:txFillClrLst/>
    <dgm:txEffectClrLst/>
  </dgm:styleLbl>
  <dgm:styleLbl name="alignNode1">
    <dgm:fillClrLst>
      <a:schemeClr val="accent1">
        <a:alpha val="90000"/>
      </a:schemeClr>
      <a:schemeClr val="accent1">
        <a:alpha val="50000"/>
      </a:schemeClr>
    </dgm:fillClrLst>
    <dgm:linClrLst>
      <a:schemeClr val="accent1">
        <a:alpha val="90000"/>
      </a:schemeClr>
      <a:schemeClr val="accent1">
        <a:alpha val="50000"/>
      </a:schemeClr>
    </dgm:linClrLst>
    <dgm:effectClrLst/>
    <dgm:txLinClrLst/>
    <dgm:txFillClrLst/>
    <dgm:txEffectClrLst/>
  </dgm:styleLbl>
  <dgm:styleLbl name="lnNode1">
    <dgm:fillClrLst>
      <a:schemeClr val="accent1">
        <a:shade val="90000"/>
      </a:schemeClr>
      <a:schemeClr val="accent1">
        <a:alpha val="50000"/>
        <a:tint val="5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alpha val="80000"/>
      </a:schemeClr>
    </dgm:fillClrLst>
    <dgm:linClrLst meth="repeat">
      <a:schemeClr val="lt1"/>
    </dgm:linClrLst>
    <dgm:effectClrLst/>
    <dgm:txLinClrLst/>
    <dgm:txFillClrLst/>
    <dgm:txEffectClrLst/>
  </dgm:styleLbl>
  <dgm:styleLbl name="node2">
    <dgm:fillClrLst>
      <a:schemeClr val="accent1">
        <a:alpha val="70000"/>
      </a:schemeClr>
    </dgm:fillClrLst>
    <dgm:linClrLst meth="repeat">
      <a:schemeClr val="lt1"/>
    </dgm:linClrLst>
    <dgm:effectClrLst/>
    <dgm:txLinClrLst/>
    <dgm:txFillClrLst/>
    <dgm:txEffectClrLst/>
  </dgm:styleLbl>
  <dgm:styleLbl name="node3">
    <dgm:fillClrLst>
      <a:schemeClr val="accent1">
        <a:alpha val="50000"/>
      </a:schemeClr>
    </dgm:fillClrLst>
    <dgm:linClrLst meth="repeat">
      <a:schemeClr val="lt1"/>
    </dgm:linClrLst>
    <dgm:effectClrLst/>
    <dgm:txLinClrLst/>
    <dgm:txFillClrLst/>
    <dgm:txEffectClrLst/>
  </dgm:styleLbl>
  <dgm:styleLbl name="node4">
    <dgm:fillClrLst>
      <a:schemeClr val="accent1">
        <a:alpha val="30000"/>
      </a:schemeClr>
    </dgm:fillClrLst>
    <dgm:linClrLst meth="repeat">
      <a:schemeClr val="lt1"/>
    </dgm:linClrLst>
    <dgm:effectClrLst/>
    <dgm:txLinClrLst/>
    <dgm:txFillClrLst/>
    <dgm:txEffectClrLst/>
  </dgm:styleLbl>
  <dgm:styleLbl name="fgImgPlace1">
    <dgm:fillClrLst>
      <a:schemeClr val="accent1">
        <a:tint val="50000"/>
        <a:alpha val="90000"/>
      </a:schemeClr>
      <a:schemeClr val="accent1">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f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bgSibTrans2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dgm:txEffectClrLst/>
  </dgm:styleLbl>
  <dgm:styleLbl name="sibTrans1D1">
    <dgm:fillClrLst>
      <a:schemeClr val="accent1">
        <a:shade val="90000"/>
      </a:schemeClr>
      <a:schemeClr val="accent1">
        <a:tint val="50000"/>
      </a:schemeClr>
    </dgm:fillClrLst>
    <dgm:linClrLst>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alpha val="90000"/>
      </a:schemeClr>
    </dgm:fillClrLst>
    <dgm:linClrLst meth="repeat">
      <a:schemeClr val="lt1"/>
    </dgm:linClrLst>
    <dgm:effectClrLst/>
    <dgm:txLinClrLst/>
    <dgm:txFillClrLst/>
    <dgm:txEffectClrLst/>
  </dgm:styleLbl>
  <dgm:styleLbl name="asst1">
    <dgm:fillClrLst meth="repeat">
      <a:schemeClr val="accent1">
        <a:alpha val="90000"/>
      </a:schemeClr>
    </dgm:fillClrLst>
    <dgm:linClrLst meth="repeat">
      <a:schemeClr val="lt1"/>
    </dgm:linClrLst>
    <dgm:effectClrLst/>
    <dgm:txLinClrLst/>
    <dgm:txFillClrLst/>
    <dgm:txEffectClrLst/>
  </dgm:styleLbl>
  <dgm:styleLbl name="asst2">
    <dgm:fillClrLst>
      <a:schemeClr val="accent1">
        <a:alpha val="90000"/>
      </a:schemeClr>
    </dgm:fillClrLst>
    <dgm:linClrLst meth="repeat">
      <a:schemeClr val="lt1"/>
    </dgm:linClrLst>
    <dgm:effectClrLst/>
    <dgm:txLinClrLst/>
    <dgm:txFillClrLst/>
    <dgm:txEffectClrLst/>
  </dgm:styleLbl>
  <dgm:styleLbl name="asst3">
    <dgm:fillClrLst>
      <a:schemeClr val="accent1">
        <a:alpha val="70000"/>
      </a:schemeClr>
    </dgm:fillClrLst>
    <dgm:linClrLst meth="repeat">
      <a:schemeClr val="lt1"/>
    </dgm:linClrLst>
    <dgm:effectClrLst/>
    <dgm:txLinClrLst/>
    <dgm:txFillClrLst/>
    <dgm:txEffectClrLst/>
  </dgm:styleLbl>
  <dgm:styleLbl name="asst4">
    <dgm:fillClrLst>
      <a:schemeClr val="accent1">
        <a:alpha val="50000"/>
      </a:schemeClr>
    </dgm:fillClrLst>
    <dgm:linClrLst meth="repeat">
      <a:schemeClr val="lt1"/>
    </dgm:linClrLst>
    <dgm:effectClrLst/>
    <dgm:txLinClrLst/>
    <dgm:txFillClrLst/>
    <dgm:txEffectClrLst/>
  </dgm:styleLbl>
  <dgm:styleLbl name="parChTrans2D1">
    <dgm:fillClrLst meth="repeat">
      <a:schemeClr val="accent1">
        <a:shade val="8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1">
        <a:alpha val="90000"/>
      </a:schemeClr>
      <a:schemeClr val="accent1">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a:schemeClr val="accent1">
        <a:alpha val="90000"/>
        <a:tint val="40000"/>
      </a:schemeClr>
      <a:schemeClr val="accent1">
        <a:alpha val="5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8A3641F-D22D-4E43-84DE-6F47A7DB9746}" type="doc">
      <dgm:prSet loTypeId="urn:microsoft.com/office/officeart/2005/8/layout/process1" loCatId="" qsTypeId="urn:microsoft.com/office/officeart/2005/8/quickstyle/simple1" qsCatId="simple" csTypeId="urn:microsoft.com/office/officeart/2005/8/colors/accent1_5" csCatId="accent1" phldr="1"/>
      <dgm:spPr/>
    </dgm:pt>
    <dgm:pt modelId="{EFB7C1F7-FA3C-E140-B189-0BCF1E3E1624}">
      <dgm:prSet phldrT="[Texto]"/>
      <dgm:spPr>
        <a:solidFill>
          <a:srgbClr val="E5B543">
            <a:alpha val="90000"/>
          </a:srgbClr>
        </a:solidFill>
      </dgm:spPr>
      <dgm:t>
        <a:bodyPr/>
        <a:lstStyle/>
        <a:p>
          <a:pPr algn="ctr"/>
          <a:r>
            <a:rPr lang="es-ES"/>
            <a:t>Comprender</a:t>
          </a:r>
        </a:p>
      </dgm:t>
    </dgm:pt>
    <dgm:pt modelId="{707FAB91-F48A-314F-9875-F8779E13534E}" type="parTrans" cxnId="{459EF7CC-3886-6C4E-8D09-E16EDAF0CE78}">
      <dgm:prSet/>
      <dgm:spPr/>
      <dgm:t>
        <a:bodyPr/>
        <a:lstStyle/>
        <a:p>
          <a:pPr algn="ctr"/>
          <a:endParaRPr lang="es-ES"/>
        </a:p>
      </dgm:t>
    </dgm:pt>
    <dgm:pt modelId="{7F2B6207-2E75-184A-8156-3259FDB02A37}" type="sibTrans" cxnId="{459EF7CC-3886-6C4E-8D09-E16EDAF0CE78}">
      <dgm:prSet/>
      <dgm:spPr>
        <a:solidFill>
          <a:srgbClr val="E1AF3B"/>
        </a:solidFill>
      </dgm:spPr>
      <dgm:t>
        <a:bodyPr/>
        <a:lstStyle/>
        <a:p>
          <a:pPr algn="ctr"/>
          <a:endParaRPr lang="es-ES"/>
        </a:p>
      </dgm:t>
    </dgm:pt>
    <dgm:pt modelId="{BDB7F0FA-EF7D-EB43-965F-CC5FF975D812}">
      <dgm:prSet phldrT="[Texto]"/>
      <dgm:spPr>
        <a:solidFill>
          <a:srgbClr val="E5B43B">
            <a:alpha val="76667"/>
          </a:srgbClr>
        </a:solidFill>
      </dgm:spPr>
      <dgm:t>
        <a:bodyPr/>
        <a:lstStyle/>
        <a:p>
          <a:pPr algn="ctr"/>
          <a:r>
            <a:rPr lang="es-ES"/>
            <a:t>Analizar</a:t>
          </a:r>
        </a:p>
      </dgm:t>
    </dgm:pt>
    <dgm:pt modelId="{467A39F7-E216-E744-9F94-EECB9BA12949}" type="parTrans" cxnId="{6DEBC48E-581F-EF45-A9D3-39E2C49318AE}">
      <dgm:prSet/>
      <dgm:spPr/>
      <dgm:t>
        <a:bodyPr/>
        <a:lstStyle/>
        <a:p>
          <a:pPr algn="ctr"/>
          <a:endParaRPr lang="es-ES"/>
        </a:p>
      </dgm:t>
    </dgm:pt>
    <dgm:pt modelId="{03F87159-198B-2B4D-9B10-D3AC10082F60}" type="sibTrans" cxnId="{6DEBC48E-581F-EF45-A9D3-39E2C49318AE}">
      <dgm:prSet/>
      <dgm:spPr>
        <a:solidFill>
          <a:srgbClr val="E5B543"/>
        </a:solidFill>
      </dgm:spPr>
      <dgm:t>
        <a:bodyPr/>
        <a:lstStyle/>
        <a:p>
          <a:pPr algn="ctr"/>
          <a:endParaRPr lang="es-ES"/>
        </a:p>
      </dgm:t>
    </dgm:pt>
    <dgm:pt modelId="{4AAAC233-6E45-1644-9549-9463B85BC84D}">
      <dgm:prSet phldrT="[Texto]"/>
      <dgm:spPr>
        <a:solidFill>
          <a:srgbClr val="E1AF3B">
            <a:alpha val="63333"/>
          </a:srgbClr>
        </a:solidFill>
      </dgm:spPr>
      <dgm:t>
        <a:bodyPr/>
        <a:lstStyle/>
        <a:p>
          <a:pPr algn="ctr"/>
          <a:r>
            <a:rPr lang="es-ES"/>
            <a:t>Construir</a:t>
          </a:r>
        </a:p>
      </dgm:t>
    </dgm:pt>
    <dgm:pt modelId="{C5EBB5F1-3A9C-7542-9170-F35BB57462AC}" type="parTrans" cxnId="{04AD2CD7-946D-7741-A915-B0F76798F63A}">
      <dgm:prSet/>
      <dgm:spPr/>
      <dgm:t>
        <a:bodyPr/>
        <a:lstStyle/>
        <a:p>
          <a:pPr algn="ctr"/>
          <a:endParaRPr lang="es-ES"/>
        </a:p>
      </dgm:t>
    </dgm:pt>
    <dgm:pt modelId="{557AF702-5D34-B94E-A31C-187FCC526F16}" type="sibTrans" cxnId="{04AD2CD7-946D-7741-A915-B0F76798F63A}">
      <dgm:prSet/>
      <dgm:spPr>
        <a:solidFill>
          <a:srgbClr val="E5B43B"/>
        </a:solidFill>
      </dgm:spPr>
      <dgm:t>
        <a:bodyPr/>
        <a:lstStyle/>
        <a:p>
          <a:pPr algn="ctr"/>
          <a:endParaRPr lang="es-ES"/>
        </a:p>
      </dgm:t>
    </dgm:pt>
    <dgm:pt modelId="{E8656166-D9F7-8140-9FE4-23034F62BE7E}">
      <dgm:prSet/>
      <dgm:spPr>
        <a:solidFill>
          <a:srgbClr val="E5B543">
            <a:alpha val="50000"/>
          </a:srgbClr>
        </a:solidFill>
      </dgm:spPr>
      <dgm:t>
        <a:bodyPr/>
        <a:lstStyle/>
        <a:p>
          <a:pPr algn="ctr"/>
          <a:r>
            <a:rPr lang="es-ES"/>
            <a:t>Presentar</a:t>
          </a:r>
        </a:p>
      </dgm:t>
    </dgm:pt>
    <dgm:pt modelId="{327976F9-8BC8-4041-8DCC-53FBE0451D12}" type="parTrans" cxnId="{1C2F656B-346E-274B-B25B-3C4A3D99430F}">
      <dgm:prSet/>
      <dgm:spPr/>
      <dgm:t>
        <a:bodyPr/>
        <a:lstStyle/>
        <a:p>
          <a:pPr algn="ctr"/>
          <a:endParaRPr lang="es-ES"/>
        </a:p>
      </dgm:t>
    </dgm:pt>
    <dgm:pt modelId="{54616D79-10CF-EF42-B8D9-4FF794563E66}" type="sibTrans" cxnId="{1C2F656B-346E-274B-B25B-3C4A3D99430F}">
      <dgm:prSet/>
      <dgm:spPr/>
      <dgm:t>
        <a:bodyPr/>
        <a:lstStyle/>
        <a:p>
          <a:pPr algn="ctr"/>
          <a:endParaRPr lang="es-ES"/>
        </a:p>
      </dgm:t>
    </dgm:pt>
    <dgm:pt modelId="{9A27F323-D743-8B4D-8923-011C635DF930}" type="pres">
      <dgm:prSet presAssocID="{58A3641F-D22D-4E43-84DE-6F47A7DB9746}" presName="Name0" presStyleCnt="0">
        <dgm:presLayoutVars>
          <dgm:dir/>
          <dgm:resizeHandles val="exact"/>
        </dgm:presLayoutVars>
      </dgm:prSet>
      <dgm:spPr/>
    </dgm:pt>
    <dgm:pt modelId="{36776383-493A-D04D-9B28-5D688123A7CD}" type="pres">
      <dgm:prSet presAssocID="{EFB7C1F7-FA3C-E140-B189-0BCF1E3E1624}" presName="node" presStyleLbl="node1" presStyleIdx="0" presStyleCnt="4">
        <dgm:presLayoutVars>
          <dgm:bulletEnabled val="1"/>
        </dgm:presLayoutVars>
      </dgm:prSet>
      <dgm:spPr/>
    </dgm:pt>
    <dgm:pt modelId="{B9B08F50-F6B3-1643-A884-AA067E5D994B}" type="pres">
      <dgm:prSet presAssocID="{7F2B6207-2E75-184A-8156-3259FDB02A37}" presName="sibTrans" presStyleLbl="sibTrans2D1" presStyleIdx="0" presStyleCnt="3"/>
      <dgm:spPr/>
    </dgm:pt>
    <dgm:pt modelId="{F28207B9-2113-454D-8F3D-BB7BC9F52B92}" type="pres">
      <dgm:prSet presAssocID="{7F2B6207-2E75-184A-8156-3259FDB02A37}" presName="connectorText" presStyleLbl="sibTrans2D1" presStyleIdx="0" presStyleCnt="3"/>
      <dgm:spPr/>
    </dgm:pt>
    <dgm:pt modelId="{828ABC77-570D-D249-9708-53A1CA9FC53A}" type="pres">
      <dgm:prSet presAssocID="{BDB7F0FA-EF7D-EB43-965F-CC5FF975D812}" presName="node" presStyleLbl="node1" presStyleIdx="1" presStyleCnt="4">
        <dgm:presLayoutVars>
          <dgm:bulletEnabled val="1"/>
        </dgm:presLayoutVars>
      </dgm:prSet>
      <dgm:spPr/>
    </dgm:pt>
    <dgm:pt modelId="{754B784D-936B-3B47-BBC8-D20B132194E2}" type="pres">
      <dgm:prSet presAssocID="{03F87159-198B-2B4D-9B10-D3AC10082F60}" presName="sibTrans" presStyleLbl="sibTrans2D1" presStyleIdx="1" presStyleCnt="3"/>
      <dgm:spPr/>
    </dgm:pt>
    <dgm:pt modelId="{B47F7399-99F0-834A-9FB1-E0AE6BF20A80}" type="pres">
      <dgm:prSet presAssocID="{03F87159-198B-2B4D-9B10-D3AC10082F60}" presName="connectorText" presStyleLbl="sibTrans2D1" presStyleIdx="1" presStyleCnt="3"/>
      <dgm:spPr/>
    </dgm:pt>
    <dgm:pt modelId="{E5AB39A8-6F62-4D48-AE57-DF63BF64E09D}" type="pres">
      <dgm:prSet presAssocID="{4AAAC233-6E45-1644-9549-9463B85BC84D}" presName="node" presStyleLbl="node1" presStyleIdx="2" presStyleCnt="4">
        <dgm:presLayoutVars>
          <dgm:bulletEnabled val="1"/>
        </dgm:presLayoutVars>
      </dgm:prSet>
      <dgm:spPr/>
    </dgm:pt>
    <dgm:pt modelId="{9C7F9867-EDA9-D64A-B0DA-A7B22C25C3AD}" type="pres">
      <dgm:prSet presAssocID="{557AF702-5D34-B94E-A31C-187FCC526F16}" presName="sibTrans" presStyleLbl="sibTrans2D1" presStyleIdx="2" presStyleCnt="3"/>
      <dgm:spPr/>
    </dgm:pt>
    <dgm:pt modelId="{C5CD3158-1508-2B48-AA85-3BB7A69915AF}" type="pres">
      <dgm:prSet presAssocID="{557AF702-5D34-B94E-A31C-187FCC526F16}" presName="connectorText" presStyleLbl="sibTrans2D1" presStyleIdx="2" presStyleCnt="3"/>
      <dgm:spPr/>
    </dgm:pt>
    <dgm:pt modelId="{E9431CA9-7AD0-2D47-8C73-6089E2A02BE1}" type="pres">
      <dgm:prSet presAssocID="{E8656166-D9F7-8140-9FE4-23034F62BE7E}" presName="node" presStyleLbl="node1" presStyleIdx="3" presStyleCnt="4">
        <dgm:presLayoutVars>
          <dgm:bulletEnabled val="1"/>
        </dgm:presLayoutVars>
      </dgm:prSet>
      <dgm:spPr/>
    </dgm:pt>
  </dgm:ptLst>
  <dgm:cxnLst>
    <dgm:cxn modelId="{9B924104-9224-E949-8C04-190464FFE964}" type="presOf" srcId="{BDB7F0FA-EF7D-EB43-965F-CC5FF975D812}" destId="{828ABC77-570D-D249-9708-53A1CA9FC53A}" srcOrd="0" destOrd="0" presId="urn:microsoft.com/office/officeart/2005/8/layout/process1"/>
    <dgm:cxn modelId="{BE9C3313-03E7-3B42-81A6-67F6AD6CF829}" type="presOf" srcId="{03F87159-198B-2B4D-9B10-D3AC10082F60}" destId="{754B784D-936B-3B47-BBC8-D20B132194E2}" srcOrd="0" destOrd="0" presId="urn:microsoft.com/office/officeart/2005/8/layout/process1"/>
    <dgm:cxn modelId="{5C3A4922-8D28-5344-BD32-3F3E6E91BA59}" type="presOf" srcId="{557AF702-5D34-B94E-A31C-187FCC526F16}" destId="{9C7F9867-EDA9-D64A-B0DA-A7B22C25C3AD}" srcOrd="0" destOrd="0" presId="urn:microsoft.com/office/officeart/2005/8/layout/process1"/>
    <dgm:cxn modelId="{0AE19224-6A75-BD4A-8BF1-F665296D4435}" type="presOf" srcId="{7F2B6207-2E75-184A-8156-3259FDB02A37}" destId="{F28207B9-2113-454D-8F3D-BB7BC9F52B92}" srcOrd="1" destOrd="0" presId="urn:microsoft.com/office/officeart/2005/8/layout/process1"/>
    <dgm:cxn modelId="{8776D325-F24A-9340-8738-348B6A890D85}" type="presOf" srcId="{E8656166-D9F7-8140-9FE4-23034F62BE7E}" destId="{E9431CA9-7AD0-2D47-8C73-6089E2A02BE1}" srcOrd="0" destOrd="0" presId="urn:microsoft.com/office/officeart/2005/8/layout/process1"/>
    <dgm:cxn modelId="{EC088A66-512C-6740-AA29-B6AA048D8275}" type="presOf" srcId="{557AF702-5D34-B94E-A31C-187FCC526F16}" destId="{C5CD3158-1508-2B48-AA85-3BB7A69915AF}" srcOrd="1" destOrd="0" presId="urn:microsoft.com/office/officeart/2005/8/layout/process1"/>
    <dgm:cxn modelId="{1C2F656B-346E-274B-B25B-3C4A3D99430F}" srcId="{58A3641F-D22D-4E43-84DE-6F47A7DB9746}" destId="{E8656166-D9F7-8140-9FE4-23034F62BE7E}" srcOrd="3" destOrd="0" parTransId="{327976F9-8BC8-4041-8DCC-53FBE0451D12}" sibTransId="{54616D79-10CF-EF42-B8D9-4FF794563E66}"/>
    <dgm:cxn modelId="{6DEBC48E-581F-EF45-A9D3-39E2C49318AE}" srcId="{58A3641F-D22D-4E43-84DE-6F47A7DB9746}" destId="{BDB7F0FA-EF7D-EB43-965F-CC5FF975D812}" srcOrd="1" destOrd="0" parTransId="{467A39F7-E216-E744-9F94-EECB9BA12949}" sibTransId="{03F87159-198B-2B4D-9B10-D3AC10082F60}"/>
    <dgm:cxn modelId="{0B44AF9B-0160-064B-9842-D56F0AE32F8A}" type="presOf" srcId="{4AAAC233-6E45-1644-9549-9463B85BC84D}" destId="{E5AB39A8-6F62-4D48-AE57-DF63BF64E09D}" srcOrd="0" destOrd="0" presId="urn:microsoft.com/office/officeart/2005/8/layout/process1"/>
    <dgm:cxn modelId="{A9BCF6AA-C9A1-A84F-B51B-A84C8D834B15}" type="presOf" srcId="{EFB7C1F7-FA3C-E140-B189-0BCF1E3E1624}" destId="{36776383-493A-D04D-9B28-5D688123A7CD}" srcOrd="0" destOrd="0" presId="urn:microsoft.com/office/officeart/2005/8/layout/process1"/>
    <dgm:cxn modelId="{1BB599AE-A4B3-7647-A097-17694265275E}" type="presOf" srcId="{03F87159-198B-2B4D-9B10-D3AC10082F60}" destId="{B47F7399-99F0-834A-9FB1-E0AE6BF20A80}" srcOrd="1" destOrd="0" presId="urn:microsoft.com/office/officeart/2005/8/layout/process1"/>
    <dgm:cxn modelId="{286F5ECA-4D4B-B647-8F4E-3192AC2EF9E2}" type="presOf" srcId="{7F2B6207-2E75-184A-8156-3259FDB02A37}" destId="{B9B08F50-F6B3-1643-A884-AA067E5D994B}" srcOrd="0" destOrd="0" presId="urn:microsoft.com/office/officeart/2005/8/layout/process1"/>
    <dgm:cxn modelId="{459EF7CC-3886-6C4E-8D09-E16EDAF0CE78}" srcId="{58A3641F-D22D-4E43-84DE-6F47A7DB9746}" destId="{EFB7C1F7-FA3C-E140-B189-0BCF1E3E1624}" srcOrd="0" destOrd="0" parTransId="{707FAB91-F48A-314F-9875-F8779E13534E}" sibTransId="{7F2B6207-2E75-184A-8156-3259FDB02A37}"/>
    <dgm:cxn modelId="{04AD2CD7-946D-7741-A915-B0F76798F63A}" srcId="{58A3641F-D22D-4E43-84DE-6F47A7DB9746}" destId="{4AAAC233-6E45-1644-9549-9463B85BC84D}" srcOrd="2" destOrd="0" parTransId="{C5EBB5F1-3A9C-7542-9170-F35BB57462AC}" sibTransId="{557AF702-5D34-B94E-A31C-187FCC526F16}"/>
    <dgm:cxn modelId="{8A297AF8-745E-6148-9DAA-A47F6E196AF6}" type="presOf" srcId="{58A3641F-D22D-4E43-84DE-6F47A7DB9746}" destId="{9A27F323-D743-8B4D-8923-011C635DF930}" srcOrd="0" destOrd="0" presId="urn:microsoft.com/office/officeart/2005/8/layout/process1"/>
    <dgm:cxn modelId="{2B3143D0-D17C-B440-8995-87D073CFE725}" type="presParOf" srcId="{9A27F323-D743-8B4D-8923-011C635DF930}" destId="{36776383-493A-D04D-9B28-5D688123A7CD}" srcOrd="0" destOrd="0" presId="urn:microsoft.com/office/officeart/2005/8/layout/process1"/>
    <dgm:cxn modelId="{C0D901F6-8A6B-3A4A-9F86-C6FE1D33674B}" type="presParOf" srcId="{9A27F323-D743-8B4D-8923-011C635DF930}" destId="{B9B08F50-F6B3-1643-A884-AA067E5D994B}" srcOrd="1" destOrd="0" presId="urn:microsoft.com/office/officeart/2005/8/layout/process1"/>
    <dgm:cxn modelId="{44365A93-A6E8-0941-9C7A-B9328C724129}" type="presParOf" srcId="{B9B08F50-F6B3-1643-A884-AA067E5D994B}" destId="{F28207B9-2113-454D-8F3D-BB7BC9F52B92}" srcOrd="0" destOrd="0" presId="urn:microsoft.com/office/officeart/2005/8/layout/process1"/>
    <dgm:cxn modelId="{8D1E7D6F-6600-A24F-B113-EC23DAB537BE}" type="presParOf" srcId="{9A27F323-D743-8B4D-8923-011C635DF930}" destId="{828ABC77-570D-D249-9708-53A1CA9FC53A}" srcOrd="2" destOrd="0" presId="urn:microsoft.com/office/officeart/2005/8/layout/process1"/>
    <dgm:cxn modelId="{77549ED3-37D2-CE46-AE6A-7AF6D7BABAD0}" type="presParOf" srcId="{9A27F323-D743-8B4D-8923-011C635DF930}" destId="{754B784D-936B-3B47-BBC8-D20B132194E2}" srcOrd="3" destOrd="0" presId="urn:microsoft.com/office/officeart/2005/8/layout/process1"/>
    <dgm:cxn modelId="{B1234907-1839-464F-99F1-41F3433A31A7}" type="presParOf" srcId="{754B784D-936B-3B47-BBC8-D20B132194E2}" destId="{B47F7399-99F0-834A-9FB1-E0AE6BF20A80}" srcOrd="0" destOrd="0" presId="urn:microsoft.com/office/officeart/2005/8/layout/process1"/>
    <dgm:cxn modelId="{99B617E3-E002-244A-BB54-E87CA26C2C13}" type="presParOf" srcId="{9A27F323-D743-8B4D-8923-011C635DF930}" destId="{E5AB39A8-6F62-4D48-AE57-DF63BF64E09D}" srcOrd="4" destOrd="0" presId="urn:microsoft.com/office/officeart/2005/8/layout/process1"/>
    <dgm:cxn modelId="{DC8A72E8-677F-FE4D-A36E-1BA5EC5B0E08}" type="presParOf" srcId="{9A27F323-D743-8B4D-8923-011C635DF930}" destId="{9C7F9867-EDA9-D64A-B0DA-A7B22C25C3AD}" srcOrd="5" destOrd="0" presId="urn:microsoft.com/office/officeart/2005/8/layout/process1"/>
    <dgm:cxn modelId="{EF86B91D-37FF-CC4E-8E73-A01C77750E7C}" type="presParOf" srcId="{9C7F9867-EDA9-D64A-B0DA-A7B22C25C3AD}" destId="{C5CD3158-1508-2B48-AA85-3BB7A69915AF}" srcOrd="0" destOrd="0" presId="urn:microsoft.com/office/officeart/2005/8/layout/process1"/>
    <dgm:cxn modelId="{24F3979D-6AAF-FE41-95CE-B5FAC7AE310C}" type="presParOf" srcId="{9A27F323-D743-8B4D-8923-011C635DF930}" destId="{E9431CA9-7AD0-2D47-8C73-6089E2A02BE1}" srcOrd="6" destOrd="0" presId="urn:microsoft.com/office/officeart/2005/8/layout/process1"/>
  </dgm:cxnLst>
  <dgm:bg>
    <a:solidFill>
      <a:schemeClr val="lt1"/>
    </a:solidFill>
  </dgm:bg>
  <dgm:whole>
    <a:ln>
      <a:noFill/>
    </a:ln>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776383-493A-D04D-9B28-5D688123A7CD}">
      <dsp:nvSpPr>
        <dsp:cNvPr id="0" name=""/>
        <dsp:cNvSpPr/>
      </dsp:nvSpPr>
      <dsp:spPr>
        <a:xfrm>
          <a:off x="2411" y="85963"/>
          <a:ext cx="1054149" cy="632489"/>
        </a:xfrm>
        <a:prstGeom prst="roundRect">
          <a:avLst>
            <a:gd name="adj" fmla="val 10000"/>
          </a:avLst>
        </a:prstGeom>
        <a:solidFill>
          <a:srgbClr val="E5B543">
            <a:alpha val="90000"/>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t>Comprender</a:t>
          </a:r>
        </a:p>
      </dsp:txBody>
      <dsp:txXfrm>
        <a:off x="20936" y="104488"/>
        <a:ext cx="1017099" cy="595439"/>
      </dsp:txXfrm>
    </dsp:sp>
    <dsp:sp modelId="{B9B08F50-F6B3-1643-A884-AA067E5D994B}">
      <dsp:nvSpPr>
        <dsp:cNvPr id="0" name=""/>
        <dsp:cNvSpPr/>
      </dsp:nvSpPr>
      <dsp:spPr>
        <a:xfrm>
          <a:off x="1161975" y="271493"/>
          <a:ext cx="223479" cy="261429"/>
        </a:xfrm>
        <a:prstGeom prst="rightArrow">
          <a:avLst>
            <a:gd name="adj1" fmla="val 60000"/>
            <a:gd name="adj2" fmla="val 50000"/>
          </a:avLst>
        </a:prstGeom>
        <a:solidFill>
          <a:srgbClr val="E1AF3B"/>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s-ES" sz="900" kern="1200"/>
        </a:p>
      </dsp:txBody>
      <dsp:txXfrm>
        <a:off x="1161975" y="323779"/>
        <a:ext cx="156435" cy="156857"/>
      </dsp:txXfrm>
    </dsp:sp>
    <dsp:sp modelId="{828ABC77-570D-D249-9708-53A1CA9FC53A}">
      <dsp:nvSpPr>
        <dsp:cNvPr id="0" name=""/>
        <dsp:cNvSpPr/>
      </dsp:nvSpPr>
      <dsp:spPr>
        <a:xfrm>
          <a:off x="1478220" y="85963"/>
          <a:ext cx="1054149" cy="632489"/>
        </a:xfrm>
        <a:prstGeom prst="roundRect">
          <a:avLst>
            <a:gd name="adj" fmla="val 10000"/>
          </a:avLst>
        </a:prstGeom>
        <a:solidFill>
          <a:srgbClr val="E5B43B">
            <a:alpha val="76667"/>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t>Analizar</a:t>
          </a:r>
        </a:p>
      </dsp:txBody>
      <dsp:txXfrm>
        <a:off x="1496745" y="104488"/>
        <a:ext cx="1017099" cy="595439"/>
      </dsp:txXfrm>
    </dsp:sp>
    <dsp:sp modelId="{754B784D-936B-3B47-BBC8-D20B132194E2}">
      <dsp:nvSpPr>
        <dsp:cNvPr id="0" name=""/>
        <dsp:cNvSpPr/>
      </dsp:nvSpPr>
      <dsp:spPr>
        <a:xfrm>
          <a:off x="2637785" y="271493"/>
          <a:ext cx="223479" cy="261429"/>
        </a:xfrm>
        <a:prstGeom prst="rightArrow">
          <a:avLst>
            <a:gd name="adj1" fmla="val 60000"/>
            <a:gd name="adj2" fmla="val 50000"/>
          </a:avLst>
        </a:prstGeom>
        <a:solidFill>
          <a:srgbClr val="E5B543"/>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s-ES" sz="900" kern="1200"/>
        </a:p>
      </dsp:txBody>
      <dsp:txXfrm>
        <a:off x="2637785" y="323779"/>
        <a:ext cx="156435" cy="156857"/>
      </dsp:txXfrm>
    </dsp:sp>
    <dsp:sp modelId="{E5AB39A8-6F62-4D48-AE57-DF63BF64E09D}">
      <dsp:nvSpPr>
        <dsp:cNvPr id="0" name=""/>
        <dsp:cNvSpPr/>
      </dsp:nvSpPr>
      <dsp:spPr>
        <a:xfrm>
          <a:off x="2954029" y="85963"/>
          <a:ext cx="1054149" cy="632489"/>
        </a:xfrm>
        <a:prstGeom prst="roundRect">
          <a:avLst>
            <a:gd name="adj" fmla="val 10000"/>
          </a:avLst>
        </a:prstGeom>
        <a:solidFill>
          <a:srgbClr val="E1AF3B">
            <a:alpha val="63333"/>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t>Construir</a:t>
          </a:r>
        </a:p>
      </dsp:txBody>
      <dsp:txXfrm>
        <a:off x="2972554" y="104488"/>
        <a:ext cx="1017099" cy="595439"/>
      </dsp:txXfrm>
    </dsp:sp>
    <dsp:sp modelId="{9C7F9867-EDA9-D64A-B0DA-A7B22C25C3AD}">
      <dsp:nvSpPr>
        <dsp:cNvPr id="0" name=""/>
        <dsp:cNvSpPr/>
      </dsp:nvSpPr>
      <dsp:spPr>
        <a:xfrm>
          <a:off x="4113594" y="271493"/>
          <a:ext cx="223479" cy="261429"/>
        </a:xfrm>
        <a:prstGeom prst="rightArrow">
          <a:avLst>
            <a:gd name="adj1" fmla="val 60000"/>
            <a:gd name="adj2" fmla="val 50000"/>
          </a:avLst>
        </a:prstGeom>
        <a:solidFill>
          <a:srgbClr val="E5B43B"/>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00050">
            <a:lnSpc>
              <a:spcPct val="90000"/>
            </a:lnSpc>
            <a:spcBef>
              <a:spcPct val="0"/>
            </a:spcBef>
            <a:spcAft>
              <a:spcPct val="35000"/>
            </a:spcAft>
            <a:buNone/>
          </a:pPr>
          <a:endParaRPr lang="es-ES" sz="900" kern="1200"/>
        </a:p>
      </dsp:txBody>
      <dsp:txXfrm>
        <a:off x="4113594" y="323779"/>
        <a:ext cx="156435" cy="156857"/>
      </dsp:txXfrm>
    </dsp:sp>
    <dsp:sp modelId="{E9431CA9-7AD0-2D47-8C73-6089E2A02BE1}">
      <dsp:nvSpPr>
        <dsp:cNvPr id="0" name=""/>
        <dsp:cNvSpPr/>
      </dsp:nvSpPr>
      <dsp:spPr>
        <a:xfrm>
          <a:off x="4429839" y="85963"/>
          <a:ext cx="1054149" cy="632489"/>
        </a:xfrm>
        <a:prstGeom prst="roundRect">
          <a:avLst>
            <a:gd name="adj" fmla="val 10000"/>
          </a:avLst>
        </a:prstGeom>
        <a:solidFill>
          <a:srgbClr val="E5B543">
            <a:alpha val="50000"/>
          </a:srgb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s-ES" sz="1100" kern="1200"/>
            <a:t>Presentar</a:t>
          </a:r>
        </a:p>
      </dsp:txBody>
      <dsp:txXfrm>
        <a:off x="4448364" y="104488"/>
        <a:ext cx="1017099" cy="595439"/>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ocumenttasks/documenttasks1.xml><?xml version="1.0" encoding="utf-8"?>
<t:Tasks xmlns:t="http://schemas.microsoft.com/office/tasks/2019/documenttasks" xmlns:oel="http://schemas.microsoft.com/office/2019/extlst">
  <t:Task id="{E7C1C9FF-F91F-4D31-9D46-C9F2684B9F96}">
    <t:Anchor>
      <t:Comment id="687403456"/>
    </t:Anchor>
    <t:History>
      <t:Event id="{DD987B6C-7109-4190-8206-6ABFCFE0ABCC}" time="2025-11-14T12:44:02.443Z">
        <t:Attribution userId="S::isanchez@minenergia.gov.co::7766f851-e56f-4781-a5d8-bcea64a24ca3" userProvider="AD" userName="INGRID SANCHEZ GONZALEZ"/>
        <t:Anchor>
          <t:Comment id="687403456"/>
        </t:Anchor>
        <t:Create/>
      </t:Event>
      <t:Event id="{518BCC4D-C635-43EF-9C96-B4EEB8754547}" time="2025-11-14T12:44:02.443Z">
        <t:Attribution userId="S::isanchez@minenergia.gov.co::7766f851-e56f-4781-a5d8-bcea64a24ca3" userProvider="AD" userName="INGRID SANCHEZ GONZALEZ"/>
        <t:Anchor>
          <t:Comment id="687403456"/>
        </t:Anchor>
        <t:Assign userId="S::lfbarajas@minenergia.gov.co::fd83e331-1879-471d-b1b4-a2024b3c9d51" userProvider="AD" userName="LUIS FERNANDO BARAJAS DUARTE"/>
      </t:Event>
      <t:Event id="{8736F577-3999-4BCB-8752-2D5966E70A5C}" time="2025-11-14T12:44:02.443Z">
        <t:Attribution userId="S::isanchez@minenergia.gov.co::7766f851-e56f-4781-a5d8-bcea64a24ca3" userProvider="AD" userName="INGRID SANCHEZ GONZALEZ"/>
        <t:Anchor>
          <t:Comment id="687403456"/>
        </t:Anchor>
        <t:SetTitle title="@LUIS FERNANDO BARAJAS DUARTE"/>
      </t:Event>
    </t:History>
  </t:Task>
</t:Tasks>
</file>

<file path=word/theme/theme1.xml><?xml version="1.0" encoding="utf-8"?>
<a:theme xmlns:a="http://schemas.openxmlformats.org/drawingml/2006/main" xmlns:thm15="http://schemas.microsoft.com/office/thememl/2012/main" name="TICS">
  <a:themeElements>
    <a:clrScheme name="Transmisión de listas">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Personalizado 1">
      <a:majorFont>
        <a:latin typeface="Montserrat SemiBold"/>
        <a:ea typeface=""/>
        <a:cs typeface=""/>
      </a:majorFont>
      <a:minorFont>
        <a:latin typeface="Montserra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FD012AB5FDAE7D45BC13BC54C7C92791" ma:contentTypeVersion="12" ma:contentTypeDescription="Crear nuevo documento." ma:contentTypeScope="" ma:versionID="ce79a55f1c9c9a6419a54d71104b4f17">
  <xsd:schema xmlns:xsd="http://www.w3.org/2001/XMLSchema" xmlns:xs="http://www.w3.org/2001/XMLSchema" xmlns:p="http://schemas.microsoft.com/office/2006/metadata/properties" xmlns:ns2="f714011b-fead-4bf4-8fb3-35d3f6c5dca6" xmlns:ns3="b1c8787f-f227-49f7-991a-b87b9795996f" targetNamespace="http://schemas.microsoft.com/office/2006/metadata/properties" ma:root="true" ma:fieldsID="a8271980c91b8692552e50fa33ed0890" ns2:_="" ns3:_="">
    <xsd:import namespace="f714011b-fead-4bf4-8fb3-35d3f6c5dca6"/>
    <xsd:import namespace="b1c8787f-f227-49f7-991a-b87b979599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ineamiento"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4011b-fead-4bf4-8fb3-35d3f6c5dc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ineamiento" ma:index="15" nillable="true" ma:displayName="Detalle carpeta" ma:format="Dropdown" ma:internalName="Lineamiento">
      <xsd:simpleType>
        <xsd:restriction base="dms:Text">
          <xsd:maxLength value="255"/>
        </xsd:restrictio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c8787f-f227-49f7-991a-b87b9795996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468dcbd6-e700-4b5a-970b-bab383680322}" ma:internalName="TaxCatchAll" ma:showField="CatchAllData" ma:web="b1c8787f-f227-49f7-991a-b87b979599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1c8787f-f227-49f7-991a-b87b9795996f" xsi:nil="true"/>
    <Lineamiento xmlns="f714011b-fead-4bf4-8fb3-35d3f6c5dca6" xsi:nil="true"/>
    <lcf76f155ced4ddcb4097134ff3c332f xmlns="f714011b-fead-4bf4-8fb3-35d3f6c5dca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5DB2581-DBE0-4F32-97E0-553878087C6D}">
  <ds:schemaRefs>
    <ds:schemaRef ds:uri="http://schemas.microsoft.com/sharepoint/v3/contenttype/forms"/>
  </ds:schemaRefs>
</ds:datastoreItem>
</file>

<file path=customXml/itemProps2.xml><?xml version="1.0" encoding="utf-8"?>
<ds:datastoreItem xmlns:ds="http://schemas.openxmlformats.org/officeDocument/2006/customXml" ds:itemID="{5462F7CD-79DE-4FCB-9782-51599FCBAF6E}">
  <ds:schemaRefs>
    <ds:schemaRef ds:uri="http://schemas.openxmlformats.org/officeDocument/2006/bibliography"/>
  </ds:schemaRefs>
</ds:datastoreItem>
</file>

<file path=customXml/itemProps3.xml><?xml version="1.0" encoding="utf-8"?>
<ds:datastoreItem xmlns:ds="http://schemas.openxmlformats.org/officeDocument/2006/customXml" ds:itemID="{39CADA75-82C6-4429-AF59-8CAFA83135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4011b-fead-4bf4-8fb3-35d3f6c5dca6"/>
    <ds:schemaRef ds:uri="b1c8787f-f227-49f7-991a-b87b979599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19FE391-1483-4472-8ACF-F50CEE9C1782}">
  <ds:schemaRefs>
    <ds:schemaRef ds:uri="http://schemas.microsoft.com/office/2006/metadata/properties"/>
    <ds:schemaRef ds:uri="http://schemas.microsoft.com/office/infopath/2007/PartnerControls"/>
    <ds:schemaRef ds:uri="b1c8787f-f227-49f7-991a-b87b9795996f"/>
    <ds:schemaRef ds:uri="f714011b-fead-4bf4-8fb3-35d3f6c5dca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Adriana Molano</dc:creator>
  <keywords/>
  <dc:description/>
  <lastModifiedBy>CRISTIAN FELIPE BAQUERO CASTRILLON</lastModifiedBy>
  <revision>205</revision>
  <lastPrinted>2026-01-30T16:17:00.0000000Z</lastPrinted>
  <dcterms:created xsi:type="dcterms:W3CDTF">2026-01-30T16:17:00.0000000Z</dcterms:created>
  <dcterms:modified xsi:type="dcterms:W3CDTF">2026-07-08T15:43:52.4812015Z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NXPowerLiteLastOptimized">
    <vt:lpwstr>2642527</vt:lpwstr>
  </property>
  <property fmtid="{D5CDD505-2E9C-101B-9397-08002B2CF9AE}" pid="3" name="NXPowerLiteSettings">
    <vt:lpwstr>C7000400038000</vt:lpwstr>
  </property>
  <property fmtid="{D5CDD505-2E9C-101B-9397-08002B2CF9AE}" pid="4" name="NXPowerLiteVersion">
    <vt:lpwstr>S9.0.1</vt:lpwstr>
  </property>
  <property fmtid="{D5CDD505-2E9C-101B-9397-08002B2CF9AE}" pid="5" name="MediaServiceImageTags">
    <vt:lpwstr/>
  </property>
  <property fmtid="{D5CDD505-2E9C-101B-9397-08002B2CF9AE}" pid="6" name="ContentTypeId">
    <vt:lpwstr>0x010100FD012AB5FDAE7D45BC13BC54C7C92791</vt:lpwstr>
  </property>
  <property fmtid="{D5CDD505-2E9C-101B-9397-08002B2CF9AE}" pid="7" name="Order">
    <vt:r8>757100</vt:r8>
  </property>
  <property fmtid="{D5CDD505-2E9C-101B-9397-08002B2CF9AE}" pid="8" name="xd_Signature">
    <vt:bool>false</vt:bool>
  </property>
  <property fmtid="{D5CDD505-2E9C-101B-9397-08002B2CF9AE}" pid="9" name="xd_ProgID">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ies>
</file>